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0554F" w14:textId="77777777" w:rsidR="00A6701B" w:rsidRDefault="00A6701B">
      <w:pPr>
        <w:spacing w:line="240" w:lineRule="auto"/>
        <w:jc w:val="center"/>
        <w:rPr>
          <w:rFonts w:ascii="Times New Roman" w:eastAsia="Times New Roman" w:hAnsi="Times New Roman" w:cs="Times New Roman"/>
          <w:b/>
          <w:sz w:val="40"/>
          <w:szCs w:val="40"/>
        </w:rPr>
      </w:pPr>
    </w:p>
    <w:p w14:paraId="4F85A28C" w14:textId="77777777" w:rsidR="00A6701B" w:rsidRDefault="006404CF">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14:anchorId="764EB7D3" wp14:editId="44EF0FE4">
            <wp:extent cx="3481388" cy="1654521"/>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l="12616" t="20551" r="12616" b="20300"/>
                    <a:stretch>
                      <a:fillRect/>
                    </a:stretch>
                  </pic:blipFill>
                  <pic:spPr>
                    <a:xfrm>
                      <a:off x="0" y="0"/>
                      <a:ext cx="3481388" cy="1654521"/>
                    </a:xfrm>
                    <a:prstGeom prst="rect">
                      <a:avLst/>
                    </a:prstGeom>
                    <a:ln/>
                  </pic:spPr>
                </pic:pic>
              </a:graphicData>
            </a:graphic>
          </wp:inline>
        </w:drawing>
      </w:r>
    </w:p>
    <w:p w14:paraId="54B9AF99" w14:textId="77777777" w:rsidR="00A6701B" w:rsidRDefault="00A6701B">
      <w:pPr>
        <w:spacing w:line="240" w:lineRule="auto"/>
        <w:jc w:val="center"/>
        <w:rPr>
          <w:rFonts w:ascii="Times New Roman" w:eastAsia="Times New Roman" w:hAnsi="Times New Roman" w:cs="Times New Roman"/>
          <w:b/>
          <w:sz w:val="28"/>
          <w:szCs w:val="28"/>
        </w:rPr>
      </w:pPr>
    </w:p>
    <w:p w14:paraId="72925925" w14:textId="77777777" w:rsidR="00A6701B" w:rsidRDefault="00A6701B">
      <w:pPr>
        <w:spacing w:line="240" w:lineRule="auto"/>
        <w:jc w:val="center"/>
        <w:rPr>
          <w:rFonts w:ascii="Times New Roman" w:eastAsia="Times New Roman" w:hAnsi="Times New Roman" w:cs="Times New Roman"/>
          <w:b/>
          <w:sz w:val="28"/>
          <w:szCs w:val="28"/>
        </w:rPr>
      </w:pPr>
    </w:p>
    <w:p w14:paraId="7372D51A" w14:textId="77777777" w:rsidR="00A6701B" w:rsidRDefault="006404C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BT4016 Risk Analytics for Financial Services</w:t>
      </w:r>
    </w:p>
    <w:p w14:paraId="17663F9B" w14:textId="77777777" w:rsidR="00A6701B" w:rsidRDefault="006404C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1 AY 20/21</w:t>
      </w:r>
    </w:p>
    <w:p w14:paraId="48A2EC35" w14:textId="77777777" w:rsidR="00A6701B" w:rsidRDefault="00A6701B">
      <w:pPr>
        <w:spacing w:line="240" w:lineRule="auto"/>
        <w:jc w:val="center"/>
        <w:rPr>
          <w:rFonts w:ascii="Times New Roman" w:eastAsia="Times New Roman" w:hAnsi="Times New Roman" w:cs="Times New Roman"/>
          <w:b/>
          <w:sz w:val="28"/>
          <w:szCs w:val="28"/>
        </w:rPr>
      </w:pPr>
    </w:p>
    <w:p w14:paraId="2D4C915C" w14:textId="77777777" w:rsidR="00A6701B" w:rsidRDefault="00A6701B">
      <w:pPr>
        <w:spacing w:line="240" w:lineRule="auto"/>
        <w:jc w:val="center"/>
        <w:rPr>
          <w:rFonts w:ascii="Times New Roman" w:eastAsia="Times New Roman" w:hAnsi="Times New Roman" w:cs="Times New Roman"/>
          <w:b/>
          <w:sz w:val="28"/>
          <w:szCs w:val="28"/>
        </w:rPr>
      </w:pPr>
    </w:p>
    <w:p w14:paraId="6D7143AC" w14:textId="77777777" w:rsidR="00A6701B" w:rsidRDefault="006404C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Portfolio Risk Management Project</w:t>
      </w:r>
    </w:p>
    <w:p w14:paraId="2D3E01BD" w14:textId="77777777" w:rsidR="00A6701B" w:rsidRDefault="006404C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Midterm Report</w:t>
      </w:r>
    </w:p>
    <w:p w14:paraId="3ED58B00" w14:textId="77777777" w:rsidR="00A6701B" w:rsidRDefault="006404C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Group 10</w:t>
      </w:r>
    </w:p>
    <w:p w14:paraId="21424296" w14:textId="77777777" w:rsidR="00A6701B" w:rsidRDefault="00A6701B">
      <w:pPr>
        <w:spacing w:line="240" w:lineRule="auto"/>
        <w:jc w:val="center"/>
        <w:rPr>
          <w:rFonts w:ascii="Times New Roman" w:eastAsia="Times New Roman" w:hAnsi="Times New Roman" w:cs="Times New Roman"/>
          <w:sz w:val="24"/>
          <w:szCs w:val="24"/>
        </w:rPr>
      </w:pPr>
    </w:p>
    <w:p w14:paraId="06014831" w14:textId="77777777" w:rsidR="00A6701B" w:rsidRDefault="00A6701B">
      <w:pPr>
        <w:spacing w:line="240" w:lineRule="auto"/>
        <w:jc w:val="center"/>
        <w:rPr>
          <w:rFonts w:ascii="Times New Roman" w:eastAsia="Times New Roman" w:hAnsi="Times New Roman" w:cs="Times New Roman"/>
          <w:sz w:val="24"/>
          <w:szCs w:val="24"/>
        </w:rPr>
      </w:pPr>
    </w:p>
    <w:p w14:paraId="7A3B2F27" w14:textId="77777777" w:rsidR="00A6701B" w:rsidRDefault="00A6701B">
      <w:pPr>
        <w:spacing w:line="240" w:lineRule="auto"/>
        <w:jc w:val="center"/>
        <w:rPr>
          <w:rFonts w:ascii="Times New Roman" w:eastAsia="Times New Roman" w:hAnsi="Times New Roman" w:cs="Times New Roman"/>
          <w:sz w:val="24"/>
          <w:szCs w:val="24"/>
        </w:rPr>
      </w:pPr>
    </w:p>
    <w:p w14:paraId="4B8CE394" w14:textId="77777777" w:rsidR="00A6701B" w:rsidRDefault="00A6701B">
      <w:pPr>
        <w:spacing w:line="240" w:lineRule="auto"/>
        <w:jc w:val="center"/>
        <w:rPr>
          <w:rFonts w:ascii="Times New Roman" w:eastAsia="Times New Roman" w:hAnsi="Times New Roman" w:cs="Times New Roman"/>
          <w:sz w:val="24"/>
          <w:szCs w:val="24"/>
        </w:rPr>
      </w:pPr>
    </w:p>
    <w:p w14:paraId="77037AB5" w14:textId="77777777" w:rsidR="00A6701B" w:rsidRDefault="006404C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14:paraId="5B8758B4" w14:textId="77777777" w:rsidR="00A6701B" w:rsidRDefault="006404C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Chew En Ren Janson (A0183927R)</w:t>
      </w:r>
    </w:p>
    <w:p w14:paraId="7262E168" w14:textId="77777777" w:rsidR="00A6701B" w:rsidRDefault="006404C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 Ying Rong (A0188843M)</w:t>
      </w:r>
    </w:p>
    <w:p w14:paraId="566E41D3" w14:textId="77777777" w:rsidR="00A6701B" w:rsidRDefault="006404C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Koh Kai </w:t>
      </w:r>
      <w:proofErr w:type="spellStart"/>
      <w:r>
        <w:rPr>
          <w:rFonts w:ascii="Times New Roman" w:eastAsia="Times New Roman" w:hAnsi="Times New Roman" w:cs="Times New Roman"/>
          <w:sz w:val="24"/>
          <w:szCs w:val="24"/>
        </w:rPr>
        <w:t>Jie</w:t>
      </w:r>
      <w:proofErr w:type="spellEnd"/>
      <w:r>
        <w:rPr>
          <w:rFonts w:ascii="Times New Roman" w:eastAsia="Times New Roman" w:hAnsi="Times New Roman" w:cs="Times New Roman"/>
          <w:sz w:val="24"/>
          <w:szCs w:val="24"/>
        </w:rPr>
        <w:t xml:space="preserve"> Bryan (A0183858L)</w:t>
      </w:r>
    </w:p>
    <w:p w14:paraId="5EE01CFC" w14:textId="77777777" w:rsidR="00A6701B" w:rsidRDefault="006404C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 Jermaine (A0187866E)</w:t>
      </w:r>
    </w:p>
    <w:p w14:paraId="56C4C783" w14:textId="77777777" w:rsidR="00A6701B" w:rsidRDefault="006404C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Timothy Lim Shyen En (A0167597H)</w:t>
      </w:r>
    </w:p>
    <w:p w14:paraId="5626CFDE" w14:textId="77777777" w:rsidR="00A6701B" w:rsidRDefault="006404CF">
      <w:pPr>
        <w:jc w:val="both"/>
        <w:rPr>
          <w:rFonts w:ascii="Times New Roman" w:eastAsia="Times New Roman" w:hAnsi="Times New Roman" w:cs="Times New Roman"/>
        </w:rPr>
      </w:pPr>
      <w:r>
        <w:br w:type="page"/>
      </w:r>
      <w:r>
        <w:rPr>
          <w:rFonts w:ascii="Times New Roman" w:eastAsia="Times New Roman" w:hAnsi="Times New Roman" w:cs="Times New Roman"/>
        </w:rPr>
        <w:lastRenderedPageBreak/>
        <w:t xml:space="preserve">As an aggressive investor, Kris is willing to tolerate higher levels of risk in exchange for potentially greater returns. Quantitatively, he is willing to accept the </w:t>
      </w:r>
      <w:proofErr w:type="spellStart"/>
      <w:r>
        <w:rPr>
          <w:rFonts w:ascii="Times New Roman" w:eastAsia="Times New Roman" w:hAnsi="Times New Roman" w:cs="Times New Roman"/>
        </w:rPr>
        <w:t>V</w:t>
      </w:r>
      <w:r>
        <w:rPr>
          <w:rFonts w:ascii="Times New Roman" w:eastAsia="Times New Roman" w:hAnsi="Times New Roman" w:cs="Times New Roman"/>
        </w:rPr>
        <w:t>aR</w:t>
      </w:r>
      <w:proofErr w:type="spellEnd"/>
      <w:r>
        <w:rPr>
          <w:rFonts w:ascii="Times New Roman" w:eastAsia="Times New Roman" w:hAnsi="Times New Roman" w:cs="Times New Roman"/>
        </w:rPr>
        <w:t xml:space="preserve"> (5%) of his portfolio to be no greater than 20% while </w:t>
      </w:r>
      <w:proofErr w:type="spellStart"/>
      <w:r>
        <w:rPr>
          <w:rFonts w:ascii="Times New Roman" w:eastAsia="Times New Roman" w:hAnsi="Times New Roman" w:cs="Times New Roman"/>
        </w:rPr>
        <w:t>maximising</w:t>
      </w:r>
      <w:proofErr w:type="spellEnd"/>
      <w:r>
        <w:rPr>
          <w:rFonts w:ascii="Times New Roman" w:eastAsia="Times New Roman" w:hAnsi="Times New Roman" w:cs="Times New Roman"/>
        </w:rPr>
        <w:t xml:space="preserve"> expected returns. </w:t>
      </w:r>
    </w:p>
    <w:p w14:paraId="2A016B57" w14:textId="77777777" w:rsidR="00A6701B" w:rsidRDefault="00A6701B">
      <w:pPr>
        <w:jc w:val="both"/>
        <w:rPr>
          <w:rFonts w:ascii="Times New Roman" w:eastAsia="Times New Roman" w:hAnsi="Times New Roman" w:cs="Times New Roman"/>
        </w:rPr>
      </w:pPr>
    </w:p>
    <w:p w14:paraId="137FAD78" w14:textId="77777777"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rPr>
        <w:t xml:space="preserve">We optimize our portfolio by </w:t>
      </w:r>
      <w:proofErr w:type="spellStart"/>
      <w:r>
        <w:rPr>
          <w:rFonts w:ascii="Times New Roman" w:eastAsia="Times New Roman" w:hAnsi="Times New Roman" w:cs="Times New Roman"/>
        </w:rPr>
        <w:t>minimising</w:t>
      </w:r>
      <w:proofErr w:type="spellEnd"/>
      <w:r>
        <w:rPr>
          <w:rFonts w:ascii="Times New Roman" w:eastAsia="Times New Roman" w:hAnsi="Times New Roman" w:cs="Times New Roman"/>
        </w:rPr>
        <w:t xml:space="preserve"> risk and </w:t>
      </w:r>
      <w:proofErr w:type="spellStart"/>
      <w:r>
        <w:rPr>
          <w:rFonts w:ascii="Times New Roman" w:eastAsia="Times New Roman" w:hAnsi="Times New Roman" w:cs="Times New Roman"/>
        </w:rPr>
        <w:t>maximising</w:t>
      </w:r>
      <w:proofErr w:type="spellEnd"/>
      <w:r>
        <w:rPr>
          <w:rFonts w:ascii="Times New Roman" w:eastAsia="Times New Roman" w:hAnsi="Times New Roman" w:cs="Times New Roman"/>
        </w:rPr>
        <w:t xml:space="preserve"> returns. </w:t>
      </w:r>
      <w:r>
        <w:rPr>
          <w:rFonts w:ascii="Times New Roman" w:eastAsia="Times New Roman" w:hAnsi="Times New Roman" w:cs="Times New Roman"/>
          <w:color w:val="212121"/>
          <w:highlight w:val="white"/>
        </w:rPr>
        <w:t>W</w:t>
      </w:r>
      <w:r>
        <w:rPr>
          <w:rFonts w:ascii="Times New Roman" w:eastAsia="Times New Roman" w:hAnsi="Times New Roman" w:cs="Times New Roman"/>
        </w:rPr>
        <w:t xml:space="preserve">e </w:t>
      </w:r>
      <w:proofErr w:type="spellStart"/>
      <w:r>
        <w:rPr>
          <w:rFonts w:ascii="Times New Roman" w:eastAsia="Times New Roman" w:hAnsi="Times New Roman" w:cs="Times New Roman"/>
        </w:rPr>
        <w:t>minimise</w:t>
      </w:r>
      <w:proofErr w:type="spellEnd"/>
      <w:r>
        <w:rPr>
          <w:rFonts w:ascii="Times New Roman" w:eastAsia="Times New Roman" w:hAnsi="Times New Roman" w:cs="Times New Roman"/>
        </w:rPr>
        <w:t xml:space="preserve"> the following objective function </w:t>
      </w:r>
      <w:r>
        <w:rPr>
          <w:rFonts w:ascii="Times New Roman" w:eastAsia="Times New Roman" w:hAnsi="Times New Roman" w:cs="Times New Roman"/>
          <w:highlight w:val="white"/>
        </w:rPr>
        <w:t>to achieve a desired trade-off between return and risk.</w:t>
      </w:r>
    </w:p>
    <w:p w14:paraId="242E854D" w14:textId="77777777" w:rsidR="00A6701B" w:rsidRDefault="006404CF">
      <w:pPr>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22416995" wp14:editId="427C451B">
            <wp:extent cx="4367213" cy="1043833"/>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367213" cy="1043833"/>
                    </a:xfrm>
                    <a:prstGeom prst="rect">
                      <a:avLst/>
                    </a:prstGeom>
                    <a:ln/>
                  </pic:spPr>
                </pic:pic>
              </a:graphicData>
            </a:graphic>
          </wp:inline>
        </w:drawing>
      </w:r>
    </w:p>
    <w:p w14:paraId="27BC90FF" w14:textId="77777777" w:rsidR="00A6701B" w:rsidRDefault="00A6701B">
      <w:pPr>
        <w:jc w:val="both"/>
        <w:rPr>
          <w:rFonts w:ascii="Times New Roman" w:eastAsia="Times New Roman" w:hAnsi="Times New Roman" w:cs="Times New Roman"/>
          <w:highlight w:val="white"/>
        </w:rPr>
      </w:pPr>
    </w:p>
    <w:p w14:paraId="08135F0E" w14:textId="77777777"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w:t>
      </w:r>
      <w:proofErr w:type="spellStart"/>
      <w:r>
        <w:rPr>
          <w:rFonts w:ascii="Times New Roman" w:eastAsia="Times New Roman" w:hAnsi="Times New Roman" w:cs="Times New Roman"/>
          <w:highlight w:val="white"/>
        </w:rPr>
        <w:t>optimisation</w:t>
      </w:r>
      <w:proofErr w:type="spellEnd"/>
      <w:r>
        <w:rPr>
          <w:rFonts w:ascii="Times New Roman" w:eastAsia="Times New Roman" w:hAnsi="Times New Roman" w:cs="Times New Roman"/>
          <w:highlight w:val="white"/>
        </w:rPr>
        <w:t xml:space="preserve"> is subject to multiple constraints:</w:t>
      </w:r>
    </w:p>
    <w:p w14:paraId="6A325C72" w14:textId="77777777" w:rsidR="00A6701B" w:rsidRDefault="00A6701B">
      <w:pPr>
        <w:jc w:val="both"/>
        <w:rPr>
          <w:rFonts w:ascii="Times New Roman" w:eastAsia="Times New Roman" w:hAnsi="Times New Roman" w:cs="Times New Roman"/>
          <w:highlight w:val="white"/>
        </w:rPr>
      </w:pPr>
    </w:p>
    <w:p w14:paraId="291182BE" w14:textId="77777777" w:rsidR="00A6701B" w:rsidRDefault="006404CF">
      <w:pPr>
        <w:numPr>
          <w:ilvl w:val="0"/>
          <w:numId w:val="1"/>
        </w:numPr>
        <w:jc w:val="both"/>
        <w:rPr>
          <w:rFonts w:ascii="Times New Roman" w:eastAsia="Times New Roman" w:hAnsi="Times New Roman" w:cs="Times New Roman"/>
        </w:rPr>
      </w:pPr>
      <w:r>
        <w:rPr>
          <w:rFonts w:ascii="Times New Roman" w:eastAsia="Times New Roman" w:hAnsi="Times New Roman" w:cs="Times New Roman"/>
          <w:highlight w:val="white"/>
        </w:rPr>
        <w:t>Group constraint: C</w:t>
      </w:r>
      <w:r>
        <w:rPr>
          <w:rFonts w:ascii="Times New Roman" w:eastAsia="Times New Roman" w:hAnsi="Times New Roman" w:cs="Times New Roman"/>
          <w:shd w:val="clear" w:color="auto" w:fill="FCFCFC"/>
        </w:rPr>
        <w:t xml:space="preserve">onstraints are imposed on the sum of weights based on the market capitalization of assets. </w:t>
      </w:r>
      <w:r>
        <w:rPr>
          <w:rFonts w:ascii="Times New Roman" w:eastAsia="Times New Roman" w:hAnsi="Times New Roman" w:cs="Times New Roman"/>
          <w:highlight w:val="white"/>
        </w:rPr>
        <w:t>In the initial report, we noted that better performing funds saw more market cap diversification. To avoid situations where large-cap stocks are overweight, we intro</w:t>
      </w:r>
      <w:r>
        <w:rPr>
          <w:rFonts w:ascii="Times New Roman" w:eastAsia="Times New Roman" w:hAnsi="Times New Roman" w:cs="Times New Roman"/>
          <w:highlight w:val="white"/>
        </w:rPr>
        <w:t xml:space="preserve">duced constraints on the weights assigned to different classes of stock based on their market cap. We classify large-cap stocks with market cap over $10 billion, mid-cap stocks with market cap between </w:t>
      </w:r>
      <w:r>
        <w:rPr>
          <w:rFonts w:ascii="Times New Roman" w:eastAsia="Times New Roman" w:hAnsi="Times New Roman" w:cs="Times New Roman"/>
        </w:rPr>
        <w:t>$2 billion</w:t>
      </w:r>
      <w:r>
        <w:rPr>
          <w:rFonts w:ascii="Times New Roman" w:eastAsia="Times New Roman" w:hAnsi="Times New Roman" w:cs="Times New Roman"/>
          <w:highlight w:val="white"/>
        </w:rPr>
        <w:t xml:space="preserve"> and $10 billion, and small-cap stocks with m</w:t>
      </w:r>
      <w:r>
        <w:rPr>
          <w:rFonts w:ascii="Times New Roman" w:eastAsia="Times New Roman" w:hAnsi="Times New Roman" w:cs="Times New Roman"/>
          <w:highlight w:val="white"/>
        </w:rPr>
        <w:t xml:space="preserve">arket cap less than </w:t>
      </w:r>
      <w:r>
        <w:rPr>
          <w:rFonts w:ascii="Times New Roman" w:eastAsia="Times New Roman" w:hAnsi="Times New Roman" w:cs="Times New Roman"/>
        </w:rPr>
        <w:t>$2 billion</w:t>
      </w:r>
      <w:r>
        <w:rPr>
          <w:rFonts w:ascii="Times New Roman" w:eastAsia="Times New Roman" w:hAnsi="Times New Roman" w:cs="Times New Roman"/>
          <w:highlight w:val="white"/>
        </w:rPr>
        <w:t>.</w:t>
      </w:r>
      <w:r>
        <w:rPr>
          <w:rFonts w:ascii="Times New Roman" w:eastAsia="Times New Roman" w:hAnsi="Times New Roman" w:cs="Times New Roman"/>
          <w:highlight w:val="white"/>
          <w:vertAlign w:val="superscript"/>
        </w:rPr>
        <w:footnoteReference w:id="1"/>
      </w:r>
      <w:r>
        <w:rPr>
          <w:rFonts w:ascii="Times New Roman" w:eastAsia="Times New Roman" w:hAnsi="Times New Roman" w:cs="Times New Roman"/>
          <w:highlight w:val="white"/>
        </w:rPr>
        <w:t xml:space="preserve"> </w:t>
      </w:r>
      <w:r>
        <w:rPr>
          <w:rFonts w:ascii="Times New Roman" w:eastAsia="Times New Roman" w:hAnsi="Times New Roman" w:cs="Times New Roman"/>
          <w:shd w:val="clear" w:color="auto" w:fill="FCFCFC"/>
        </w:rPr>
        <w:t xml:space="preserve">We set the portfolio’s exposure to large-cap, mid-cap and small-cap stocks to be no more than </w:t>
      </w:r>
      <w:r>
        <w:rPr>
          <w:rFonts w:ascii="Times New Roman" w:eastAsia="Times New Roman" w:hAnsi="Times New Roman" w:cs="Times New Roman"/>
        </w:rPr>
        <w:t>10%, 60% and 30%</w:t>
      </w:r>
      <w:r>
        <w:rPr>
          <w:rFonts w:ascii="Times New Roman" w:eastAsia="Times New Roman" w:hAnsi="Times New Roman" w:cs="Times New Roman"/>
          <w:shd w:val="clear" w:color="auto" w:fill="FCFCFC"/>
        </w:rPr>
        <w:t xml:space="preserve"> respectively. This allocation is </w:t>
      </w:r>
      <w:proofErr w:type="gramStart"/>
      <w:r>
        <w:rPr>
          <w:rFonts w:ascii="Times New Roman" w:eastAsia="Times New Roman" w:hAnsi="Times New Roman" w:cs="Times New Roman"/>
          <w:shd w:val="clear" w:color="auto" w:fill="FCFCFC"/>
        </w:rPr>
        <w:t>similar to</w:t>
      </w:r>
      <w:proofErr w:type="gramEnd"/>
      <w:r>
        <w:rPr>
          <w:rFonts w:ascii="Times New Roman" w:eastAsia="Times New Roman" w:hAnsi="Times New Roman" w:cs="Times New Roman"/>
          <w:shd w:val="clear" w:color="auto" w:fill="FCFCFC"/>
        </w:rPr>
        <w:t xml:space="preserve"> that of our selected best portfolio, ETIHX. While small-cap stocks </w:t>
      </w:r>
      <w:r>
        <w:rPr>
          <w:rFonts w:ascii="Times New Roman" w:eastAsia="Times New Roman" w:hAnsi="Times New Roman" w:cs="Times New Roman"/>
          <w:shd w:val="clear" w:color="auto" w:fill="FCFCFC"/>
        </w:rPr>
        <w:t>are more volatile than larger caps, yet they have greater growth potential and tend to offer better returns over the long term.</w:t>
      </w:r>
      <w:r>
        <w:rPr>
          <w:rFonts w:ascii="Times New Roman" w:eastAsia="Times New Roman" w:hAnsi="Times New Roman" w:cs="Times New Roman"/>
          <w:shd w:val="clear" w:color="auto" w:fill="FCFCFC"/>
          <w:vertAlign w:val="superscript"/>
        </w:rPr>
        <w:footnoteReference w:id="2"/>
      </w:r>
      <w:r>
        <w:rPr>
          <w:rFonts w:ascii="Times New Roman" w:eastAsia="Times New Roman" w:hAnsi="Times New Roman" w:cs="Times New Roman"/>
          <w:shd w:val="clear" w:color="auto" w:fill="FCFCFC"/>
        </w:rPr>
        <w:t xml:space="preserve"> </w:t>
      </w:r>
      <w:proofErr w:type="gramStart"/>
      <w:r>
        <w:rPr>
          <w:rFonts w:ascii="Times New Roman" w:eastAsia="Times New Roman" w:hAnsi="Times New Roman" w:cs="Times New Roman"/>
          <w:shd w:val="clear" w:color="auto" w:fill="FCFCFC"/>
        </w:rPr>
        <w:t>This fits</w:t>
      </w:r>
      <w:proofErr w:type="gramEnd"/>
      <w:r>
        <w:rPr>
          <w:rFonts w:ascii="Times New Roman" w:eastAsia="Times New Roman" w:hAnsi="Times New Roman" w:cs="Times New Roman"/>
          <w:shd w:val="clear" w:color="auto" w:fill="FCFCFC"/>
        </w:rPr>
        <w:t xml:space="preserve"> with Kris’ investor profile.</w:t>
      </w:r>
    </w:p>
    <w:p w14:paraId="1FD17A22" w14:textId="77777777" w:rsidR="00A6701B" w:rsidRDefault="006404CF">
      <w:pPr>
        <w:numPr>
          <w:ilvl w:val="0"/>
          <w:numId w:val="1"/>
        </w:numPr>
        <w:jc w:val="both"/>
        <w:rPr>
          <w:rFonts w:ascii="Times New Roman" w:eastAsia="Times New Roman" w:hAnsi="Times New Roman" w:cs="Times New Roman"/>
          <w:shd w:val="clear" w:color="auto" w:fill="FCFCFC"/>
        </w:rPr>
      </w:pPr>
      <w:r>
        <w:rPr>
          <w:rFonts w:ascii="Times New Roman" w:eastAsia="Times New Roman" w:hAnsi="Times New Roman" w:cs="Times New Roman"/>
          <w:highlight w:val="white"/>
        </w:rPr>
        <w:t>Box constraint: Assuming long only positions, each weight must be positive. For risk ma</w:t>
      </w:r>
      <w:r>
        <w:rPr>
          <w:rFonts w:ascii="Times New Roman" w:eastAsia="Times New Roman" w:hAnsi="Times New Roman" w:cs="Times New Roman"/>
          <w:highlight w:val="white"/>
        </w:rPr>
        <w:t xml:space="preserve">nagement purposes, the maximum amount allocated to an individual asset is 20%. </w:t>
      </w:r>
    </w:p>
    <w:p w14:paraId="42472C4A" w14:textId="77777777" w:rsidR="00A6701B" w:rsidRDefault="006404CF">
      <w:pPr>
        <w:numPr>
          <w:ilvl w:val="0"/>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Sum of weights constraint: As per the requirements, we invest all our capital. Thus, the summation of all asset weights must be equal to 1. </w:t>
      </w:r>
    </w:p>
    <w:p w14:paraId="3F7AE6BA" w14:textId="77777777" w:rsidR="00A6701B" w:rsidRDefault="006404CF">
      <w:pPr>
        <w:numPr>
          <w:ilvl w:val="0"/>
          <w:numId w:val="1"/>
        </w:numPr>
        <w:jc w:val="both"/>
      </w:pPr>
      <w:r>
        <w:rPr>
          <w:rFonts w:ascii="Times New Roman" w:eastAsia="Times New Roman" w:hAnsi="Times New Roman" w:cs="Times New Roman"/>
        </w:rPr>
        <w:t>Benchmark return constraint: The pe</w:t>
      </w:r>
      <w:r>
        <w:rPr>
          <w:rFonts w:ascii="Times New Roman" w:eastAsia="Times New Roman" w:hAnsi="Times New Roman" w:cs="Times New Roman"/>
        </w:rPr>
        <w:t xml:space="preserve">rformance of our portfolio is benchmarked against the </w:t>
      </w:r>
      <w:r>
        <w:rPr>
          <w:rFonts w:ascii="Times New Roman" w:eastAsia="Times New Roman" w:hAnsi="Times New Roman" w:cs="Times New Roman"/>
          <w:b/>
        </w:rPr>
        <w:t xml:space="preserve">Nasdaq Biotechnology Index (^NBI), </w:t>
      </w:r>
      <w:r>
        <w:rPr>
          <w:rFonts w:ascii="Times New Roman" w:eastAsia="Times New Roman" w:hAnsi="Times New Roman" w:cs="Times New Roman"/>
        </w:rPr>
        <w:t xml:space="preserve">which is tracked by the </w:t>
      </w:r>
      <w:r>
        <w:rPr>
          <w:rFonts w:ascii="Times New Roman" w:eastAsia="Times New Roman" w:hAnsi="Times New Roman" w:cs="Times New Roman"/>
          <w:b/>
        </w:rPr>
        <w:t>iShares Nasdaq Biotechnology Index (IBB)</w:t>
      </w:r>
      <w:r>
        <w:rPr>
          <w:rFonts w:ascii="Times New Roman" w:eastAsia="Times New Roman" w:hAnsi="Times New Roman" w:cs="Times New Roman"/>
          <w:b/>
          <w:vertAlign w:val="superscript"/>
        </w:rPr>
        <w:footnoteReference w:id="3"/>
      </w:r>
      <w:r>
        <w:rPr>
          <w:rFonts w:ascii="Times New Roman" w:eastAsia="Times New Roman" w:hAnsi="Times New Roman" w:cs="Times New Roman"/>
        </w:rPr>
        <w:t xml:space="preserve">. As we are seeking to outperform our benchmark, the returns from the portfolio optimization should be at least equal to the returns of the benchmark. If our </w:t>
      </w:r>
      <w:proofErr w:type="spellStart"/>
      <w:r>
        <w:rPr>
          <w:rFonts w:ascii="Times New Roman" w:eastAsia="Times New Roman" w:hAnsi="Times New Roman" w:cs="Times New Roman"/>
        </w:rPr>
        <w:t>optimised</w:t>
      </w:r>
      <w:proofErr w:type="spellEnd"/>
      <w:r>
        <w:rPr>
          <w:rFonts w:ascii="Times New Roman" w:eastAsia="Times New Roman" w:hAnsi="Times New Roman" w:cs="Times New Roman"/>
        </w:rPr>
        <w:t xml:space="preserve"> portfolio could not yield a better in-sample result than the benchmark, it would suggest</w:t>
      </w:r>
      <w:r>
        <w:rPr>
          <w:rFonts w:ascii="Times New Roman" w:eastAsia="Times New Roman" w:hAnsi="Times New Roman" w:cs="Times New Roman"/>
        </w:rPr>
        <w:t xml:space="preserve"> that Kris is better off holding the benchmark index instead. </w:t>
      </w:r>
    </w:p>
    <w:p w14:paraId="68F25139" w14:textId="77777777" w:rsidR="00A6701B" w:rsidRDefault="006404CF">
      <w:pPr>
        <w:numPr>
          <w:ilvl w:val="0"/>
          <w:numId w:val="1"/>
        </w:numPr>
        <w:jc w:val="both"/>
        <w:rPr>
          <w:rFonts w:ascii="Times New Roman" w:eastAsia="Times New Roman" w:hAnsi="Times New Roman" w:cs="Times New Roman"/>
        </w:rPr>
      </w:pP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constraint: Kris is willing to accept 5%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of up to 20%. We assumed the following for this constraint:</w:t>
      </w:r>
    </w:p>
    <w:p w14:paraId="3322E7E0" w14:textId="77777777" w:rsidR="00A6701B" w:rsidRDefault="00A6701B">
      <w:pPr>
        <w:ind w:left="1440"/>
        <w:jc w:val="both"/>
        <w:rPr>
          <w:rFonts w:ascii="Times New Roman" w:eastAsia="Times New Roman" w:hAnsi="Times New Roman" w:cs="Times New Roman"/>
          <w:highlight w:val="white"/>
        </w:rPr>
      </w:pPr>
    </w:p>
    <w:p w14:paraId="5D2652FE" w14:textId="77777777" w:rsidR="00A6701B" w:rsidRDefault="006404CF">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Mean returns of the portfolio is equal to 0. </w:t>
      </w:r>
    </w:p>
    <w:p w14:paraId="224AB337" w14:textId="77777777" w:rsidR="00A6701B" w:rsidRDefault="006404CF">
      <w:pPr>
        <w:numPr>
          <w:ilvl w:val="0"/>
          <w:numId w:val="2"/>
        </w:numPr>
        <w:jc w:val="both"/>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VaR</w:t>
      </w:r>
      <w:proofErr w:type="spellEnd"/>
      <w:r>
        <w:rPr>
          <w:rFonts w:ascii="Times New Roman" w:eastAsia="Times New Roman" w:hAnsi="Times New Roman" w:cs="Times New Roman"/>
          <w:highlight w:val="white"/>
        </w:rPr>
        <w:t xml:space="preserve"> is calculated using a parametric </w:t>
      </w:r>
      <w:r>
        <w:rPr>
          <w:rFonts w:ascii="Times New Roman" w:eastAsia="Times New Roman" w:hAnsi="Times New Roman" w:cs="Times New Roman"/>
          <w:highlight w:val="white"/>
        </w:rPr>
        <w:t xml:space="preserve">approach, returns are normally distributed </w:t>
      </w:r>
    </w:p>
    <w:p w14:paraId="26CA0FC3" w14:textId="77777777" w:rsidR="00A6701B" w:rsidRDefault="00A6701B">
      <w:pPr>
        <w:ind w:left="720"/>
        <w:jc w:val="both"/>
        <w:rPr>
          <w:rFonts w:ascii="Times New Roman" w:eastAsia="Times New Roman" w:hAnsi="Times New Roman" w:cs="Times New Roman"/>
          <w:highlight w:val="white"/>
        </w:rPr>
      </w:pPr>
    </w:p>
    <w:p w14:paraId="30CB69F5" w14:textId="77777777"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ab/>
        <w:t>The standard deviation of the portfolio should be no greater than 20% / 1.66. To satisfy</w:t>
      </w:r>
    </w:p>
    <w:p w14:paraId="06ACA5BD" w14:textId="77777777" w:rsidR="00A6701B" w:rsidRDefault="006404CF">
      <w:pPr>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convex requirements of the </w:t>
      </w:r>
      <w:proofErr w:type="spellStart"/>
      <w:r>
        <w:rPr>
          <w:rFonts w:ascii="Times New Roman" w:eastAsia="Times New Roman" w:hAnsi="Times New Roman" w:cs="Times New Roman"/>
          <w:highlight w:val="white"/>
        </w:rPr>
        <w:t>optimisation</w:t>
      </w:r>
      <w:proofErr w:type="spellEnd"/>
      <w:r>
        <w:rPr>
          <w:rFonts w:ascii="Times New Roman" w:eastAsia="Times New Roman" w:hAnsi="Times New Roman" w:cs="Times New Roman"/>
          <w:highlight w:val="white"/>
        </w:rPr>
        <w:t>, we set the constraint as the variance of the portfolio to be no greater than</w:t>
      </w:r>
      <w:r>
        <w:rPr>
          <w:rFonts w:ascii="Times New Roman" w:eastAsia="Times New Roman" w:hAnsi="Times New Roman" w:cs="Times New Roman"/>
          <w:highlight w:val="white"/>
        </w:rPr>
        <w:t xml:space="preserve"> the square of (20% / 1.66). Given the bullish performance of the biotech sector in 2019, the first assumption would yield a more conservative estimate as assuming mean returns equal to 0 would yield a larger estimate for </w:t>
      </w:r>
      <w:proofErr w:type="spellStart"/>
      <w:r>
        <w:rPr>
          <w:rFonts w:ascii="Times New Roman" w:eastAsia="Times New Roman" w:hAnsi="Times New Roman" w:cs="Times New Roman"/>
          <w:highlight w:val="white"/>
        </w:rPr>
        <w:t>VaR</w:t>
      </w:r>
      <w:proofErr w:type="spellEnd"/>
      <w:r>
        <w:rPr>
          <w:rFonts w:ascii="Times New Roman" w:eastAsia="Times New Roman" w:hAnsi="Times New Roman" w:cs="Times New Roman"/>
          <w:highlight w:val="white"/>
        </w:rPr>
        <w:t xml:space="preserve"> than if we had used the observ</w:t>
      </w:r>
      <w:r>
        <w:rPr>
          <w:rFonts w:ascii="Times New Roman" w:eastAsia="Times New Roman" w:hAnsi="Times New Roman" w:cs="Times New Roman"/>
          <w:highlight w:val="white"/>
        </w:rPr>
        <w:t xml:space="preserve">ed mean returns. </w:t>
      </w:r>
    </w:p>
    <w:p w14:paraId="285EECF3" w14:textId="77777777" w:rsidR="00A6701B" w:rsidRDefault="00A6701B">
      <w:pPr>
        <w:jc w:val="both"/>
        <w:rPr>
          <w:rFonts w:ascii="Times New Roman" w:eastAsia="Times New Roman" w:hAnsi="Times New Roman" w:cs="Times New Roman"/>
          <w:shd w:val="clear" w:color="auto" w:fill="FCFCFC"/>
        </w:rPr>
      </w:pPr>
    </w:p>
    <w:p w14:paraId="5CB4DCF9" w14:textId="77777777" w:rsidR="00A6701B" w:rsidRDefault="006404CF">
      <w:pPr>
        <w:jc w:val="both"/>
        <w:rPr>
          <w:rFonts w:ascii="Times New Roman" w:eastAsia="Times New Roman" w:hAnsi="Times New Roman" w:cs="Times New Roman"/>
          <w:shd w:val="clear" w:color="auto" w:fill="FCFCFC"/>
        </w:rPr>
      </w:pPr>
      <w:r>
        <w:rPr>
          <w:rFonts w:ascii="Times New Roman" w:eastAsia="Times New Roman" w:hAnsi="Times New Roman" w:cs="Times New Roman"/>
          <w:shd w:val="clear" w:color="auto" w:fill="FCFCFC"/>
        </w:rPr>
        <w:t>These constraints ensure our constructed portfolio has in-sample performance at least equal to the benchmark portfolio. Further constraints on the maximum weight assigned to an individual stock help to manage risk by avoiding overexposur</w:t>
      </w:r>
      <w:r>
        <w:rPr>
          <w:rFonts w:ascii="Times New Roman" w:eastAsia="Times New Roman" w:hAnsi="Times New Roman" w:cs="Times New Roman"/>
          <w:shd w:val="clear" w:color="auto" w:fill="FCFCFC"/>
        </w:rPr>
        <w:t xml:space="preserve">e to any firm-specific shocks. Lastly, we incorporated our observations on the size of companies’ market </w:t>
      </w:r>
      <w:proofErr w:type="spellStart"/>
      <w:r>
        <w:rPr>
          <w:rFonts w:ascii="Times New Roman" w:eastAsia="Times New Roman" w:hAnsi="Times New Roman" w:cs="Times New Roman"/>
          <w:shd w:val="clear" w:color="auto" w:fill="FCFCFC"/>
        </w:rPr>
        <w:t>capitalisation</w:t>
      </w:r>
      <w:proofErr w:type="spellEnd"/>
      <w:r>
        <w:rPr>
          <w:rFonts w:ascii="Times New Roman" w:eastAsia="Times New Roman" w:hAnsi="Times New Roman" w:cs="Times New Roman"/>
          <w:shd w:val="clear" w:color="auto" w:fill="FCFCFC"/>
        </w:rPr>
        <w:t xml:space="preserve"> and the performance of portfolios as a constraint. </w:t>
      </w:r>
    </w:p>
    <w:p w14:paraId="218E2D3A" w14:textId="77777777" w:rsidR="00A6701B" w:rsidRDefault="00A6701B">
      <w:pPr>
        <w:jc w:val="both"/>
        <w:rPr>
          <w:rFonts w:ascii="Times New Roman" w:eastAsia="Times New Roman" w:hAnsi="Times New Roman" w:cs="Times New Roman"/>
          <w:highlight w:val="white"/>
        </w:rPr>
      </w:pPr>
    </w:p>
    <w:p w14:paraId="6669CBB5" w14:textId="77777777" w:rsidR="00A6701B" w:rsidRDefault="006404CF">
      <w:pPr>
        <w:jc w:val="both"/>
        <w:rPr>
          <w:rFonts w:ascii="Times New Roman" w:eastAsia="Times New Roman" w:hAnsi="Times New Roman" w:cs="Times New Roman"/>
          <w:b/>
          <w:highlight w:val="white"/>
          <w:u w:val="single"/>
        </w:rPr>
      </w:pPr>
      <w:r>
        <w:rPr>
          <w:rFonts w:ascii="Times New Roman" w:eastAsia="Times New Roman" w:hAnsi="Times New Roman" w:cs="Times New Roman"/>
          <w:b/>
          <w:highlight w:val="white"/>
          <w:u w:val="single"/>
        </w:rPr>
        <w:t>Worst Mutual Fund</w:t>
      </w:r>
    </w:p>
    <w:p w14:paraId="03B8BD18" w14:textId="77777777"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As no information is available regarding the holdings of SHPCX in</w:t>
      </w:r>
      <w:r>
        <w:rPr>
          <w:rFonts w:ascii="Times New Roman" w:eastAsia="Times New Roman" w:hAnsi="Times New Roman" w:cs="Times New Roman"/>
          <w:highlight w:val="white"/>
        </w:rPr>
        <w:t xml:space="preserve"> 2019, we changed our worst performing mutual fund to </w:t>
      </w:r>
      <w:proofErr w:type="spellStart"/>
      <w:r>
        <w:rPr>
          <w:rFonts w:ascii="Times New Roman" w:eastAsia="Times New Roman" w:hAnsi="Times New Roman" w:cs="Times New Roman"/>
          <w:b/>
          <w:highlight w:val="white"/>
        </w:rPr>
        <w:t>Rydex</w:t>
      </w:r>
      <w:proofErr w:type="spellEnd"/>
      <w:r>
        <w:rPr>
          <w:rFonts w:ascii="Times New Roman" w:eastAsia="Times New Roman" w:hAnsi="Times New Roman" w:cs="Times New Roman"/>
          <w:b/>
          <w:highlight w:val="white"/>
        </w:rPr>
        <w:t xml:space="preserve"> Biotechnology Fund</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(RYCFX)</w:t>
      </w:r>
      <w:r>
        <w:rPr>
          <w:rFonts w:ascii="Times New Roman" w:eastAsia="Times New Roman" w:hAnsi="Times New Roman" w:cs="Times New Roman"/>
          <w:highlight w:val="white"/>
        </w:rPr>
        <w:t>. The RYCFX has a Lipper Leader rating of 1/5 and 2/5 for total returns and consistent returns respectively, indicating poor performance. As mentioned in the earlier repo</w:t>
      </w:r>
      <w:r>
        <w:rPr>
          <w:rFonts w:ascii="Times New Roman" w:eastAsia="Times New Roman" w:hAnsi="Times New Roman" w:cs="Times New Roman"/>
          <w:highlight w:val="white"/>
        </w:rPr>
        <w:t>rt, RYCFX is also overweight in large-cap biotech companies and underweight in small-cap companies. This does not fit with Kris’ investor profile as he is willing to accept additional risk for potentially greater returns. Hence, we chose to use RYCFX as th</w:t>
      </w:r>
      <w:r>
        <w:rPr>
          <w:rFonts w:ascii="Times New Roman" w:eastAsia="Times New Roman" w:hAnsi="Times New Roman" w:cs="Times New Roman"/>
          <w:highlight w:val="white"/>
        </w:rPr>
        <w:t>e new worst performing mutual fund.</w:t>
      </w:r>
    </w:p>
    <w:p w14:paraId="613AE921" w14:textId="77777777" w:rsidR="00A6701B" w:rsidRDefault="00A6701B">
      <w:pPr>
        <w:jc w:val="both"/>
        <w:rPr>
          <w:rFonts w:ascii="Times New Roman" w:eastAsia="Times New Roman" w:hAnsi="Times New Roman" w:cs="Times New Roman"/>
          <w:highlight w:val="white"/>
        </w:rPr>
      </w:pPr>
    </w:p>
    <w:p w14:paraId="2C0E85A9" w14:textId="77777777"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b/>
          <w:highlight w:val="white"/>
          <w:u w:val="single"/>
        </w:rPr>
        <w:t xml:space="preserve">Adjustment of Expected Returns </w:t>
      </w:r>
    </w:p>
    <w:p w14:paraId="442A62BC" w14:textId="5E22A4BF" w:rsidR="00A6701B" w:rsidRDefault="006404CF">
      <w:pPr>
        <w:jc w:val="both"/>
        <w:rPr>
          <w:rFonts w:ascii="Times New Roman" w:eastAsia="Times New Roman" w:hAnsi="Times New Roman" w:cs="Times New Roman"/>
          <w:strike/>
          <w:highlight w:val="white"/>
        </w:rPr>
      </w:pPr>
      <w:r>
        <w:rPr>
          <w:rFonts w:ascii="Times New Roman" w:eastAsia="Times New Roman" w:hAnsi="Times New Roman" w:cs="Times New Roman"/>
          <w:highlight w:val="white"/>
        </w:rPr>
        <w:t xml:space="preserve">Before optimizing the portfolio, we check the historical returns of our selected assets for extreme values. Due to the nature of </w:t>
      </w:r>
      <w:r>
        <w:rPr>
          <w:rFonts w:ascii="Times New Roman" w:eastAsia="Times New Roman" w:hAnsi="Times New Roman" w:cs="Times New Roman"/>
          <w:highlight w:val="white"/>
        </w:rPr>
        <w:t xml:space="preserve">biotechnology stocks, we see that historical returns for </w:t>
      </w:r>
      <w:r>
        <w:rPr>
          <w:rFonts w:ascii="Times New Roman" w:eastAsia="Times New Roman" w:hAnsi="Times New Roman" w:cs="Times New Roman"/>
          <w:highlight w:val="white"/>
        </w:rPr>
        <w:t>some stocks were exorbitant. Returns can be as high as 300%. Using realized historical returns for portfolio optimization may yield unrealistic results. Therefore, we made reasonable adjustments on the expected returns of our stocks based on the target pri</w:t>
      </w:r>
      <w:r>
        <w:rPr>
          <w:rFonts w:ascii="Times New Roman" w:eastAsia="Times New Roman" w:hAnsi="Times New Roman" w:cs="Times New Roman"/>
          <w:highlight w:val="white"/>
        </w:rPr>
        <w:t>ces forecasted by analysts</w:t>
      </w:r>
      <w:r>
        <w:rPr>
          <w:rFonts w:ascii="Times New Roman" w:eastAsia="Times New Roman" w:hAnsi="Times New Roman" w:cs="Times New Roman"/>
          <w:highlight w:val="white"/>
          <w:vertAlign w:val="superscript"/>
        </w:rPr>
        <w:footnoteReference w:id="4"/>
      </w:r>
      <w:r>
        <w:rPr>
          <w:rFonts w:ascii="Times New Roman" w:eastAsia="Times New Roman" w:hAnsi="Times New Roman" w:cs="Times New Roman"/>
          <w:highlight w:val="white"/>
        </w:rPr>
        <w:t xml:space="preserve"> using the Black-</w:t>
      </w:r>
      <w:proofErr w:type="spellStart"/>
      <w:r>
        <w:rPr>
          <w:rFonts w:ascii="Times New Roman" w:eastAsia="Times New Roman" w:hAnsi="Times New Roman" w:cs="Times New Roman"/>
          <w:highlight w:val="white"/>
        </w:rPr>
        <w:t>Litterman</w:t>
      </w:r>
      <w:proofErr w:type="spellEnd"/>
      <w:r>
        <w:rPr>
          <w:rFonts w:ascii="Times New Roman" w:eastAsia="Times New Roman" w:hAnsi="Times New Roman" w:cs="Times New Roman"/>
          <w:highlight w:val="white"/>
        </w:rPr>
        <w:t xml:space="preserve"> (BL) model. The model is used as a framework to blend market-implied returns with analysts’ forecasts to output a prediction for the expected value of the asset in 2020. </w:t>
      </w:r>
    </w:p>
    <w:p w14:paraId="291AA4EF" w14:textId="77777777" w:rsidR="00A6701B" w:rsidRDefault="00A6701B">
      <w:pPr>
        <w:jc w:val="both"/>
        <w:rPr>
          <w:rFonts w:ascii="Times New Roman" w:eastAsia="Times New Roman" w:hAnsi="Times New Roman" w:cs="Times New Roman"/>
          <w:highlight w:val="white"/>
        </w:rPr>
      </w:pPr>
    </w:p>
    <w:p w14:paraId="7E36281B" w14:textId="77777777"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Firstly, we obtained the market-implied equilibrium returns as our ‘priors’. Using ^NBI as a proxy for the market, we derive the equilibrium returns based on the assets’ market </w:t>
      </w:r>
      <w:proofErr w:type="spellStart"/>
      <w:r>
        <w:rPr>
          <w:rFonts w:ascii="Times New Roman" w:eastAsia="Times New Roman" w:hAnsi="Times New Roman" w:cs="Times New Roman"/>
          <w:highlight w:val="white"/>
        </w:rPr>
        <w:t>capitalisation</w:t>
      </w:r>
      <w:proofErr w:type="spellEnd"/>
      <w:r>
        <w:rPr>
          <w:rFonts w:ascii="Times New Roman" w:eastAsia="Times New Roman" w:hAnsi="Times New Roman" w:cs="Times New Roman"/>
          <w:highlight w:val="white"/>
        </w:rPr>
        <w:t xml:space="preserve"> weight. In the absence of additional information, these equilibr</w:t>
      </w:r>
      <w:r>
        <w:rPr>
          <w:rFonts w:ascii="Times New Roman" w:eastAsia="Times New Roman" w:hAnsi="Times New Roman" w:cs="Times New Roman"/>
          <w:highlight w:val="white"/>
        </w:rPr>
        <w:t xml:space="preserve">ium returns would be used as the expected returns. </w:t>
      </w:r>
    </w:p>
    <w:p w14:paraId="7EAD985A" w14:textId="77777777" w:rsidR="00A6701B" w:rsidRDefault="00A6701B">
      <w:pPr>
        <w:jc w:val="both"/>
        <w:rPr>
          <w:rFonts w:ascii="Times New Roman" w:eastAsia="Times New Roman" w:hAnsi="Times New Roman" w:cs="Times New Roman"/>
          <w:highlight w:val="white"/>
        </w:rPr>
      </w:pPr>
    </w:p>
    <w:p w14:paraId="64BAC155" w14:textId="77777777"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Next, we obtained the consensus of various analysts’ target prices as of the end of 2019. The analysts’ target prices are taken to be the price of the asset in 2020. Based on this assumption, we calculat</w:t>
      </w:r>
      <w:r>
        <w:rPr>
          <w:rFonts w:ascii="Times New Roman" w:eastAsia="Times New Roman" w:hAnsi="Times New Roman" w:cs="Times New Roman"/>
          <w:highlight w:val="white"/>
        </w:rPr>
        <w:t xml:space="preserve">ed the expected return based on the asset prices at the end of 2019. The expected return for the </w:t>
      </w:r>
      <w:proofErr w:type="spellStart"/>
      <w:r>
        <w:rPr>
          <w:rFonts w:ascii="Times New Roman" w:eastAsia="Times New Roman" w:hAnsi="Times New Roman" w:cs="Times New Roman"/>
          <w:highlight w:val="white"/>
        </w:rPr>
        <w:t>i</w:t>
      </w:r>
      <w:r>
        <w:rPr>
          <w:rFonts w:ascii="Times New Roman" w:eastAsia="Times New Roman" w:hAnsi="Times New Roman" w:cs="Times New Roman"/>
          <w:highlight w:val="white"/>
          <w:vertAlign w:val="superscript"/>
        </w:rPr>
        <w:t>th</w:t>
      </w:r>
      <w:proofErr w:type="spellEnd"/>
      <w:r>
        <w:rPr>
          <w:rFonts w:ascii="Times New Roman" w:eastAsia="Times New Roman" w:hAnsi="Times New Roman" w:cs="Times New Roman"/>
          <w:highlight w:val="white"/>
        </w:rPr>
        <w:t xml:space="preserve"> asset used in the BL model is calculated as</w:t>
      </w:r>
    </w:p>
    <w:p w14:paraId="6B97D7D5" w14:textId="77777777"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noProof/>
          <w:highlight w:val="white"/>
        </w:rPr>
        <w:lastRenderedPageBreak/>
        <w:drawing>
          <wp:inline distT="114300" distB="114300" distL="114300" distR="114300" wp14:anchorId="3473FDB1" wp14:editId="60D843D1">
            <wp:extent cx="3668132" cy="157638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668132" cy="1576388"/>
                    </a:xfrm>
                    <a:prstGeom prst="rect">
                      <a:avLst/>
                    </a:prstGeom>
                    <a:ln/>
                  </pic:spPr>
                </pic:pic>
              </a:graphicData>
            </a:graphic>
          </wp:inline>
        </w:drawing>
      </w:r>
      <w:r>
        <w:rPr>
          <w:rFonts w:ascii="Times New Roman" w:eastAsia="Times New Roman" w:hAnsi="Times New Roman" w:cs="Times New Roman"/>
          <w:highlight w:val="white"/>
        </w:rPr>
        <w:t xml:space="preserve">  </w:t>
      </w:r>
    </w:p>
    <w:p w14:paraId="3B3FED2E" w14:textId="77777777" w:rsidR="00A6701B" w:rsidRDefault="00A6701B">
      <w:pPr>
        <w:jc w:val="both"/>
        <w:rPr>
          <w:rFonts w:ascii="Times New Roman" w:eastAsia="Times New Roman" w:hAnsi="Times New Roman" w:cs="Times New Roman"/>
          <w:highlight w:val="white"/>
        </w:rPr>
      </w:pPr>
    </w:p>
    <w:p w14:paraId="1E7ADFA5" w14:textId="77777777"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To construct the uncertainty matrix Ω, we used the </w:t>
      </w:r>
      <w:proofErr w:type="spellStart"/>
      <w:r>
        <w:rPr>
          <w:rFonts w:ascii="Times New Roman" w:eastAsia="Times New Roman" w:hAnsi="Times New Roman" w:cs="Times New Roman"/>
          <w:highlight w:val="white"/>
        </w:rPr>
        <w:t>Idzorek's</w:t>
      </w:r>
      <w:proofErr w:type="spellEnd"/>
      <w:r>
        <w:rPr>
          <w:rFonts w:ascii="Times New Roman" w:eastAsia="Times New Roman" w:hAnsi="Times New Roman" w:cs="Times New Roman"/>
          <w:highlight w:val="white"/>
        </w:rPr>
        <w:t xml:space="preserve"> method, which is an intuitive method where in</w:t>
      </w:r>
      <w:r>
        <w:rPr>
          <w:rFonts w:ascii="Times New Roman" w:eastAsia="Times New Roman" w:hAnsi="Times New Roman" w:cs="Times New Roman"/>
          <w:highlight w:val="white"/>
        </w:rPr>
        <w:t>vestors’ can specify their confidence level between 0% and 100% with regards to the target prices (views). This helps investors control the magnitude of the tilts caused by the views. The higher the assigned confidence, the greater the final prediction wil</w:t>
      </w:r>
      <w:r>
        <w:rPr>
          <w:rFonts w:ascii="Times New Roman" w:eastAsia="Times New Roman" w:hAnsi="Times New Roman" w:cs="Times New Roman"/>
          <w:highlight w:val="white"/>
        </w:rPr>
        <w:t>l be to the returns based on the target prices. Analysts tend to be bullish in their outlook and are likely to overstate the target prices. To account for this bias, we capped our confidence level for any stock’s target price to be</w:t>
      </w:r>
      <w:r>
        <w:rPr>
          <w:rFonts w:ascii="Times New Roman" w:eastAsia="Times New Roman" w:hAnsi="Times New Roman" w:cs="Times New Roman"/>
        </w:rPr>
        <w:t xml:space="preserve"> 50%.</w:t>
      </w:r>
      <w:r>
        <w:rPr>
          <w:rFonts w:ascii="Times New Roman" w:eastAsia="Times New Roman" w:hAnsi="Times New Roman" w:cs="Times New Roman"/>
          <w:highlight w:val="white"/>
        </w:rPr>
        <w:t xml:space="preserve"> For expected return</w:t>
      </w:r>
      <w:r>
        <w:rPr>
          <w:rFonts w:ascii="Times New Roman" w:eastAsia="Times New Roman" w:hAnsi="Times New Roman" w:cs="Times New Roman"/>
          <w:highlight w:val="white"/>
        </w:rPr>
        <w:t>s that are higher than 50%, we assigned a slightly lower confidence of 30%.</w:t>
      </w:r>
    </w:p>
    <w:p w14:paraId="6AE27FED" w14:textId="77777777" w:rsidR="00A6701B" w:rsidRDefault="00A6701B">
      <w:pPr>
        <w:jc w:val="both"/>
        <w:rPr>
          <w:rFonts w:ascii="Times New Roman" w:eastAsia="Times New Roman" w:hAnsi="Times New Roman" w:cs="Times New Roman"/>
          <w:highlight w:val="white"/>
        </w:rPr>
      </w:pPr>
    </w:p>
    <w:p w14:paraId="0E528FC7" w14:textId="58E298B5"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Finally, using the price target expected returns as our views, we combine it with our priors to derive the posterior estimates of expected returns. These estimates would be used a</w:t>
      </w:r>
      <w:r>
        <w:rPr>
          <w:rFonts w:ascii="Times New Roman" w:eastAsia="Times New Roman" w:hAnsi="Times New Roman" w:cs="Times New Roman"/>
          <w:highlight w:val="white"/>
        </w:rPr>
        <w:t xml:space="preserve">s an input to our </w:t>
      </w:r>
      <w:proofErr w:type="spellStart"/>
      <w:r>
        <w:rPr>
          <w:rFonts w:ascii="Times New Roman" w:eastAsia="Times New Roman" w:hAnsi="Times New Roman" w:cs="Times New Roman"/>
          <w:highlight w:val="white"/>
        </w:rPr>
        <w:t>optimisation</w:t>
      </w:r>
      <w:proofErr w:type="spellEnd"/>
      <w:r>
        <w:rPr>
          <w:rFonts w:ascii="Times New Roman" w:eastAsia="Times New Roman" w:hAnsi="Times New Roman" w:cs="Times New Roman"/>
          <w:highlight w:val="white"/>
        </w:rPr>
        <w:t>. The results of our optimization can be seen in</w:t>
      </w:r>
      <w:r w:rsidR="00D35801">
        <w:rPr>
          <w:rFonts w:ascii="Times New Roman" w:eastAsia="Times New Roman" w:hAnsi="Times New Roman" w:cs="Times New Roman"/>
          <w:highlight w:val="white"/>
        </w:rPr>
        <w:t xml:space="preserve"> figure 1. </w:t>
      </w:r>
    </w:p>
    <w:p w14:paraId="10626F55" w14:textId="77777777" w:rsidR="00A6701B" w:rsidRDefault="00A6701B">
      <w:pPr>
        <w:jc w:val="both"/>
        <w:rPr>
          <w:rFonts w:ascii="Times New Roman" w:eastAsia="Times New Roman" w:hAnsi="Times New Roman" w:cs="Times New Roman"/>
          <w:highlight w:val="white"/>
        </w:rPr>
      </w:pPr>
    </w:p>
    <w:p w14:paraId="6ECDBFD7" w14:textId="77777777" w:rsidR="00D35801" w:rsidRDefault="006404CF" w:rsidP="00D35801">
      <w:pPr>
        <w:keepNext/>
        <w:jc w:val="center"/>
      </w:pPr>
      <w:r>
        <w:rPr>
          <w:rFonts w:ascii="Times New Roman" w:eastAsia="Times New Roman" w:hAnsi="Times New Roman" w:cs="Times New Roman"/>
          <w:noProof/>
          <w:shd w:val="clear" w:color="auto" w:fill="FCFCFC"/>
        </w:rPr>
        <w:drawing>
          <wp:inline distT="114300" distB="114300" distL="114300" distR="114300" wp14:anchorId="63AEA4EE" wp14:editId="3DFA2FE7">
            <wp:extent cx="5748338" cy="288338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48338" cy="2883381"/>
                    </a:xfrm>
                    <a:prstGeom prst="rect">
                      <a:avLst/>
                    </a:prstGeom>
                    <a:ln/>
                  </pic:spPr>
                </pic:pic>
              </a:graphicData>
            </a:graphic>
          </wp:inline>
        </w:drawing>
      </w:r>
    </w:p>
    <w:p w14:paraId="2B55BF89" w14:textId="17636B24" w:rsidR="00A6701B" w:rsidRDefault="00D35801" w:rsidP="00D35801">
      <w:pPr>
        <w:pStyle w:val="Caption"/>
        <w:jc w:val="center"/>
        <w:rPr>
          <w:rFonts w:ascii="Times New Roman" w:eastAsia="Times New Roman" w:hAnsi="Times New Roman" w:cs="Times New Roman"/>
          <w:shd w:val="clear" w:color="auto" w:fill="FE96CB"/>
        </w:rPr>
      </w:pPr>
      <w:r>
        <w:t xml:space="preserve">Figure </w:t>
      </w:r>
      <w:fldSimple w:instr=" SEQ Figure \* ARABIC ">
        <w:r w:rsidR="009564E0">
          <w:rPr>
            <w:noProof/>
          </w:rPr>
          <w:t>1</w:t>
        </w:r>
      </w:fldSimple>
      <w:r>
        <w:t xml:space="preserve">: </w:t>
      </w:r>
      <w:proofErr w:type="spellStart"/>
      <w:r>
        <w:t>Optimised</w:t>
      </w:r>
      <w:proofErr w:type="spellEnd"/>
      <w:r>
        <w:t xml:space="preserve"> Portfolio Weights</w:t>
      </w:r>
    </w:p>
    <w:p w14:paraId="13A1B254" w14:textId="77777777" w:rsidR="00A6701B" w:rsidRDefault="00A6701B">
      <w:pPr>
        <w:jc w:val="both"/>
        <w:rPr>
          <w:rFonts w:ascii="Times New Roman" w:eastAsia="Times New Roman" w:hAnsi="Times New Roman" w:cs="Times New Roman"/>
          <w:highlight w:val="white"/>
        </w:rPr>
      </w:pPr>
    </w:p>
    <w:p w14:paraId="3265C619" w14:textId="77777777" w:rsidR="008805BA" w:rsidRDefault="008805BA">
      <w:pPr>
        <w:jc w:val="both"/>
        <w:rPr>
          <w:rFonts w:ascii="Times New Roman" w:eastAsia="Times New Roman" w:hAnsi="Times New Roman" w:cs="Times New Roman"/>
          <w:highlight w:val="white"/>
        </w:rPr>
      </w:pPr>
    </w:p>
    <w:p w14:paraId="193C1409" w14:textId="58E4D52A" w:rsidR="008805BA" w:rsidRDefault="008805BA">
      <w:pPr>
        <w:jc w:val="both"/>
        <w:rPr>
          <w:rFonts w:ascii="Times New Roman" w:eastAsia="Times New Roman" w:hAnsi="Times New Roman" w:cs="Times New Roman"/>
          <w:highlight w:val="white"/>
        </w:rPr>
      </w:pPr>
    </w:p>
    <w:p w14:paraId="5DD292C2" w14:textId="77777777" w:rsidR="008805BA" w:rsidRDefault="008805BA">
      <w:pPr>
        <w:jc w:val="both"/>
        <w:rPr>
          <w:rFonts w:ascii="Times New Roman" w:eastAsia="Times New Roman" w:hAnsi="Times New Roman" w:cs="Times New Roman"/>
          <w:highlight w:val="white"/>
        </w:rPr>
      </w:pPr>
    </w:p>
    <w:p w14:paraId="2028D0F4" w14:textId="77777777" w:rsidR="008805BA" w:rsidRDefault="008805BA">
      <w:pPr>
        <w:jc w:val="both"/>
        <w:rPr>
          <w:rFonts w:ascii="Times New Roman" w:eastAsia="Times New Roman" w:hAnsi="Times New Roman" w:cs="Times New Roman"/>
          <w:highlight w:val="white"/>
        </w:rPr>
      </w:pPr>
    </w:p>
    <w:p w14:paraId="3D4305E6" w14:textId="30D96C9F"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The statistics</w:t>
      </w:r>
      <w:r w:rsidR="008805BA">
        <w:rPr>
          <w:rFonts w:ascii="Times New Roman" w:eastAsia="Times New Roman" w:hAnsi="Times New Roman" w:cs="Times New Roman"/>
          <w:highlight w:val="white"/>
        </w:rPr>
        <w:t xml:space="preserve"> for the respective portfolios</w:t>
      </w:r>
      <w:r>
        <w:rPr>
          <w:rFonts w:ascii="Times New Roman" w:eastAsia="Times New Roman" w:hAnsi="Times New Roman" w:cs="Times New Roman"/>
          <w:highlight w:val="white"/>
        </w:rPr>
        <w:t xml:space="preserve"> are reported in the table below.</w:t>
      </w:r>
    </w:p>
    <w:p w14:paraId="1B2EC101" w14:textId="77777777" w:rsidR="008805BA" w:rsidRDefault="008805BA">
      <w:pPr>
        <w:jc w:val="both"/>
        <w:rPr>
          <w:rFonts w:ascii="Times New Roman" w:eastAsia="Times New Roman" w:hAnsi="Times New Roman" w:cs="Times New Roman"/>
          <w:highlight w:val="white"/>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1560"/>
        <w:gridCol w:w="1710"/>
        <w:gridCol w:w="1590"/>
        <w:gridCol w:w="1770"/>
      </w:tblGrid>
      <w:tr w:rsidR="00A6701B" w14:paraId="20F660B6" w14:textId="77777777">
        <w:tc>
          <w:tcPr>
            <w:tcW w:w="2385" w:type="dxa"/>
            <w:shd w:val="clear" w:color="auto" w:fill="auto"/>
            <w:tcMar>
              <w:top w:w="100" w:type="dxa"/>
              <w:left w:w="100" w:type="dxa"/>
              <w:bottom w:w="100" w:type="dxa"/>
              <w:right w:w="100" w:type="dxa"/>
            </w:tcMar>
          </w:tcPr>
          <w:p w14:paraId="4F462A09" w14:textId="77777777" w:rsidR="00A6701B" w:rsidRDefault="00A6701B">
            <w:pPr>
              <w:widowControl w:val="0"/>
              <w:spacing w:line="240" w:lineRule="auto"/>
              <w:rPr>
                <w:rFonts w:ascii="Times New Roman" w:eastAsia="Times New Roman" w:hAnsi="Times New Roman" w:cs="Times New Roman"/>
                <w:highlight w:val="white"/>
              </w:rPr>
            </w:pPr>
          </w:p>
        </w:tc>
        <w:tc>
          <w:tcPr>
            <w:tcW w:w="1560" w:type="dxa"/>
            <w:shd w:val="clear" w:color="auto" w:fill="auto"/>
            <w:tcMar>
              <w:top w:w="100" w:type="dxa"/>
              <w:left w:w="100" w:type="dxa"/>
              <w:bottom w:w="100" w:type="dxa"/>
              <w:right w:w="100" w:type="dxa"/>
            </w:tcMar>
          </w:tcPr>
          <w:p w14:paraId="51C7812C" w14:textId="77777777" w:rsidR="00A6701B" w:rsidRDefault="006404CF">
            <w:pPr>
              <w:widowControl w:val="0"/>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Best</w:t>
            </w:r>
          </w:p>
        </w:tc>
        <w:tc>
          <w:tcPr>
            <w:tcW w:w="1710" w:type="dxa"/>
            <w:shd w:val="clear" w:color="auto" w:fill="auto"/>
            <w:tcMar>
              <w:top w:w="100" w:type="dxa"/>
              <w:left w:w="100" w:type="dxa"/>
              <w:bottom w:w="100" w:type="dxa"/>
              <w:right w:w="100" w:type="dxa"/>
            </w:tcMar>
          </w:tcPr>
          <w:p w14:paraId="6DB35005" w14:textId="77777777" w:rsidR="00A6701B" w:rsidRDefault="006404CF">
            <w:pPr>
              <w:widowControl w:val="0"/>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Worst</w:t>
            </w:r>
          </w:p>
        </w:tc>
        <w:tc>
          <w:tcPr>
            <w:tcW w:w="1590" w:type="dxa"/>
            <w:shd w:val="clear" w:color="auto" w:fill="auto"/>
            <w:tcMar>
              <w:top w:w="100" w:type="dxa"/>
              <w:left w:w="100" w:type="dxa"/>
              <w:bottom w:w="100" w:type="dxa"/>
              <w:right w:w="100" w:type="dxa"/>
            </w:tcMar>
          </w:tcPr>
          <w:p w14:paraId="1311C442" w14:textId="77777777" w:rsidR="00A6701B" w:rsidRDefault="006404CF">
            <w:pPr>
              <w:widowControl w:val="0"/>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Index</w:t>
            </w:r>
          </w:p>
        </w:tc>
        <w:tc>
          <w:tcPr>
            <w:tcW w:w="1770" w:type="dxa"/>
            <w:shd w:val="clear" w:color="auto" w:fill="auto"/>
            <w:tcMar>
              <w:top w:w="100" w:type="dxa"/>
              <w:left w:w="100" w:type="dxa"/>
              <w:bottom w:w="100" w:type="dxa"/>
              <w:right w:w="100" w:type="dxa"/>
            </w:tcMar>
          </w:tcPr>
          <w:p w14:paraId="2BA2D5F2" w14:textId="77777777" w:rsidR="00A6701B" w:rsidRDefault="006404CF">
            <w:pPr>
              <w:widowControl w:val="0"/>
              <w:spacing w:line="240" w:lineRule="auto"/>
              <w:rPr>
                <w:rFonts w:ascii="Times New Roman" w:eastAsia="Times New Roman" w:hAnsi="Times New Roman" w:cs="Times New Roman"/>
                <w:b/>
                <w:highlight w:val="white"/>
              </w:rPr>
            </w:pPr>
            <w:proofErr w:type="spellStart"/>
            <w:r>
              <w:rPr>
                <w:rFonts w:ascii="Times New Roman" w:eastAsia="Times New Roman" w:hAnsi="Times New Roman" w:cs="Times New Roman"/>
                <w:b/>
                <w:highlight w:val="white"/>
              </w:rPr>
              <w:t>Optimised</w:t>
            </w:r>
            <w:proofErr w:type="spellEnd"/>
            <w:r>
              <w:rPr>
                <w:rFonts w:ascii="Times New Roman" w:eastAsia="Times New Roman" w:hAnsi="Times New Roman" w:cs="Times New Roman"/>
                <w:b/>
                <w:highlight w:val="white"/>
              </w:rPr>
              <w:t xml:space="preserve"> Portfolio</w:t>
            </w:r>
          </w:p>
        </w:tc>
      </w:tr>
      <w:tr w:rsidR="00A6701B" w14:paraId="05A63B29" w14:textId="77777777">
        <w:tc>
          <w:tcPr>
            <w:tcW w:w="2385" w:type="dxa"/>
            <w:shd w:val="clear" w:color="auto" w:fill="auto"/>
            <w:tcMar>
              <w:top w:w="100" w:type="dxa"/>
              <w:left w:w="100" w:type="dxa"/>
              <w:bottom w:w="100" w:type="dxa"/>
              <w:right w:w="100" w:type="dxa"/>
            </w:tcMar>
          </w:tcPr>
          <w:p w14:paraId="26E8D7A6"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Sharpe Ratio (1 year)</w:t>
            </w:r>
          </w:p>
        </w:tc>
        <w:tc>
          <w:tcPr>
            <w:tcW w:w="1560" w:type="dxa"/>
            <w:shd w:val="clear" w:color="auto" w:fill="auto"/>
            <w:tcMar>
              <w:top w:w="100" w:type="dxa"/>
              <w:left w:w="100" w:type="dxa"/>
              <w:bottom w:w="100" w:type="dxa"/>
              <w:right w:w="100" w:type="dxa"/>
            </w:tcMar>
          </w:tcPr>
          <w:p w14:paraId="4DA5B141"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3.56</w:t>
            </w:r>
          </w:p>
        </w:tc>
        <w:tc>
          <w:tcPr>
            <w:tcW w:w="1710" w:type="dxa"/>
            <w:shd w:val="clear" w:color="auto" w:fill="auto"/>
            <w:tcMar>
              <w:top w:w="100" w:type="dxa"/>
              <w:left w:w="100" w:type="dxa"/>
              <w:bottom w:w="100" w:type="dxa"/>
              <w:right w:w="100" w:type="dxa"/>
            </w:tcMar>
          </w:tcPr>
          <w:p w14:paraId="688DDC0F"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1.39</w:t>
            </w:r>
          </w:p>
        </w:tc>
        <w:tc>
          <w:tcPr>
            <w:tcW w:w="1590" w:type="dxa"/>
            <w:shd w:val="clear" w:color="auto" w:fill="auto"/>
            <w:tcMar>
              <w:top w:w="100" w:type="dxa"/>
              <w:left w:w="100" w:type="dxa"/>
              <w:bottom w:w="100" w:type="dxa"/>
              <w:right w:w="100" w:type="dxa"/>
            </w:tcMar>
          </w:tcPr>
          <w:p w14:paraId="2540164D"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1.12</w:t>
            </w:r>
          </w:p>
        </w:tc>
        <w:tc>
          <w:tcPr>
            <w:tcW w:w="1770" w:type="dxa"/>
            <w:shd w:val="clear" w:color="auto" w:fill="auto"/>
            <w:tcMar>
              <w:top w:w="100" w:type="dxa"/>
              <w:left w:w="100" w:type="dxa"/>
              <w:bottom w:w="100" w:type="dxa"/>
              <w:right w:w="100" w:type="dxa"/>
            </w:tcMar>
          </w:tcPr>
          <w:p w14:paraId="26A43C33"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1.46</w:t>
            </w:r>
          </w:p>
        </w:tc>
      </w:tr>
      <w:tr w:rsidR="00A6701B" w14:paraId="46DE4C12" w14:textId="77777777">
        <w:tc>
          <w:tcPr>
            <w:tcW w:w="2385" w:type="dxa"/>
            <w:shd w:val="clear" w:color="auto" w:fill="auto"/>
            <w:tcMar>
              <w:top w:w="100" w:type="dxa"/>
              <w:left w:w="100" w:type="dxa"/>
              <w:bottom w:w="100" w:type="dxa"/>
              <w:right w:w="100" w:type="dxa"/>
            </w:tcMar>
          </w:tcPr>
          <w:p w14:paraId="55384413"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Alpha (1 year)</w:t>
            </w:r>
          </w:p>
        </w:tc>
        <w:tc>
          <w:tcPr>
            <w:tcW w:w="1560" w:type="dxa"/>
            <w:shd w:val="clear" w:color="auto" w:fill="auto"/>
            <w:tcMar>
              <w:top w:w="100" w:type="dxa"/>
              <w:left w:w="100" w:type="dxa"/>
              <w:bottom w:w="100" w:type="dxa"/>
              <w:right w:w="100" w:type="dxa"/>
            </w:tcMar>
          </w:tcPr>
          <w:p w14:paraId="6A985EDF"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0.0043</w:t>
            </w:r>
          </w:p>
        </w:tc>
        <w:tc>
          <w:tcPr>
            <w:tcW w:w="1710" w:type="dxa"/>
            <w:shd w:val="clear" w:color="auto" w:fill="auto"/>
            <w:tcMar>
              <w:top w:w="100" w:type="dxa"/>
              <w:left w:w="100" w:type="dxa"/>
              <w:bottom w:w="100" w:type="dxa"/>
              <w:right w:w="100" w:type="dxa"/>
            </w:tcMar>
          </w:tcPr>
          <w:p w14:paraId="727C8646"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-0.0016</w:t>
            </w:r>
          </w:p>
        </w:tc>
        <w:tc>
          <w:tcPr>
            <w:tcW w:w="1590" w:type="dxa"/>
            <w:shd w:val="clear" w:color="auto" w:fill="auto"/>
            <w:tcMar>
              <w:top w:w="100" w:type="dxa"/>
              <w:left w:w="100" w:type="dxa"/>
              <w:bottom w:w="100" w:type="dxa"/>
              <w:right w:w="100" w:type="dxa"/>
            </w:tcMar>
          </w:tcPr>
          <w:p w14:paraId="2E380F89"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w:t>
            </w:r>
          </w:p>
        </w:tc>
        <w:tc>
          <w:tcPr>
            <w:tcW w:w="1770" w:type="dxa"/>
            <w:shd w:val="clear" w:color="auto" w:fill="auto"/>
            <w:tcMar>
              <w:top w:w="100" w:type="dxa"/>
              <w:left w:w="100" w:type="dxa"/>
              <w:bottom w:w="100" w:type="dxa"/>
              <w:right w:w="100" w:type="dxa"/>
            </w:tcMar>
          </w:tcPr>
          <w:p w14:paraId="37B8C805"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0.0013</w:t>
            </w:r>
          </w:p>
        </w:tc>
      </w:tr>
      <w:tr w:rsidR="00A6701B" w14:paraId="7D6C471E" w14:textId="77777777">
        <w:tc>
          <w:tcPr>
            <w:tcW w:w="2385" w:type="dxa"/>
            <w:shd w:val="clear" w:color="auto" w:fill="auto"/>
            <w:tcMar>
              <w:top w:w="100" w:type="dxa"/>
              <w:left w:w="100" w:type="dxa"/>
              <w:bottom w:w="100" w:type="dxa"/>
              <w:right w:w="100" w:type="dxa"/>
            </w:tcMar>
          </w:tcPr>
          <w:p w14:paraId="591929BA" w14:textId="77777777" w:rsidR="00A6701B" w:rsidRDefault="006404CF">
            <w:pPr>
              <w:widowControl w:val="0"/>
              <w:spacing w:line="240" w:lineRule="auto"/>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Annualised</w:t>
            </w:r>
            <w:proofErr w:type="spellEnd"/>
            <w:r>
              <w:rPr>
                <w:rFonts w:ascii="Times New Roman" w:eastAsia="Times New Roman" w:hAnsi="Times New Roman" w:cs="Times New Roman"/>
                <w:highlight w:val="white"/>
              </w:rPr>
              <w:t xml:space="preserve"> Return (2019)</w:t>
            </w:r>
          </w:p>
        </w:tc>
        <w:tc>
          <w:tcPr>
            <w:tcW w:w="1560" w:type="dxa"/>
            <w:shd w:val="clear" w:color="auto" w:fill="auto"/>
            <w:tcMar>
              <w:top w:w="100" w:type="dxa"/>
              <w:left w:w="100" w:type="dxa"/>
              <w:bottom w:w="100" w:type="dxa"/>
              <w:right w:w="100" w:type="dxa"/>
            </w:tcMar>
          </w:tcPr>
          <w:p w14:paraId="3562A095"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0.99</w:t>
            </w:r>
          </w:p>
        </w:tc>
        <w:tc>
          <w:tcPr>
            <w:tcW w:w="1710" w:type="dxa"/>
            <w:shd w:val="clear" w:color="auto" w:fill="auto"/>
            <w:tcMar>
              <w:top w:w="100" w:type="dxa"/>
              <w:left w:w="100" w:type="dxa"/>
              <w:bottom w:w="100" w:type="dxa"/>
              <w:right w:w="100" w:type="dxa"/>
            </w:tcMar>
          </w:tcPr>
          <w:p w14:paraId="23B75011"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0.26</w:t>
            </w:r>
          </w:p>
        </w:tc>
        <w:tc>
          <w:tcPr>
            <w:tcW w:w="1590" w:type="dxa"/>
            <w:shd w:val="clear" w:color="auto" w:fill="auto"/>
            <w:tcMar>
              <w:top w:w="100" w:type="dxa"/>
              <w:left w:w="100" w:type="dxa"/>
              <w:bottom w:w="100" w:type="dxa"/>
              <w:right w:w="100" w:type="dxa"/>
            </w:tcMar>
          </w:tcPr>
          <w:p w14:paraId="4A877125"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0.22</w:t>
            </w:r>
          </w:p>
        </w:tc>
        <w:tc>
          <w:tcPr>
            <w:tcW w:w="1770" w:type="dxa"/>
            <w:shd w:val="clear" w:color="auto" w:fill="auto"/>
            <w:tcMar>
              <w:top w:w="100" w:type="dxa"/>
              <w:left w:w="100" w:type="dxa"/>
              <w:bottom w:w="100" w:type="dxa"/>
              <w:right w:w="100" w:type="dxa"/>
            </w:tcMar>
          </w:tcPr>
          <w:p w14:paraId="490C7188"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0.37</w:t>
            </w:r>
          </w:p>
        </w:tc>
      </w:tr>
      <w:tr w:rsidR="00A6701B" w14:paraId="4FCAAF3B" w14:textId="77777777">
        <w:tc>
          <w:tcPr>
            <w:tcW w:w="2385" w:type="dxa"/>
            <w:shd w:val="clear" w:color="auto" w:fill="auto"/>
            <w:tcMar>
              <w:top w:w="100" w:type="dxa"/>
              <w:left w:w="100" w:type="dxa"/>
              <w:bottom w:w="100" w:type="dxa"/>
              <w:right w:w="100" w:type="dxa"/>
            </w:tcMar>
          </w:tcPr>
          <w:p w14:paraId="3DF14C80" w14:textId="77777777" w:rsidR="00A6701B" w:rsidRDefault="006404CF">
            <w:pPr>
              <w:widowControl w:val="0"/>
              <w:spacing w:line="240" w:lineRule="auto"/>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Annualised</w:t>
            </w:r>
            <w:proofErr w:type="spellEnd"/>
            <w:r>
              <w:rPr>
                <w:rFonts w:ascii="Times New Roman" w:eastAsia="Times New Roman" w:hAnsi="Times New Roman" w:cs="Times New Roman"/>
                <w:highlight w:val="white"/>
              </w:rPr>
              <w:t xml:space="preserve"> Risk (2019)</w:t>
            </w:r>
          </w:p>
        </w:tc>
        <w:tc>
          <w:tcPr>
            <w:tcW w:w="1560" w:type="dxa"/>
            <w:shd w:val="clear" w:color="auto" w:fill="auto"/>
            <w:tcMar>
              <w:top w:w="100" w:type="dxa"/>
              <w:left w:w="100" w:type="dxa"/>
              <w:bottom w:w="100" w:type="dxa"/>
              <w:right w:w="100" w:type="dxa"/>
            </w:tcMar>
          </w:tcPr>
          <w:p w14:paraId="6D10950D"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0.28</w:t>
            </w:r>
          </w:p>
        </w:tc>
        <w:tc>
          <w:tcPr>
            <w:tcW w:w="1710" w:type="dxa"/>
            <w:shd w:val="clear" w:color="auto" w:fill="auto"/>
            <w:tcMar>
              <w:top w:w="100" w:type="dxa"/>
              <w:left w:w="100" w:type="dxa"/>
              <w:bottom w:w="100" w:type="dxa"/>
              <w:right w:w="100" w:type="dxa"/>
            </w:tcMar>
          </w:tcPr>
          <w:p w14:paraId="303309A9"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0.19</w:t>
            </w:r>
          </w:p>
        </w:tc>
        <w:tc>
          <w:tcPr>
            <w:tcW w:w="1590" w:type="dxa"/>
            <w:shd w:val="clear" w:color="auto" w:fill="auto"/>
            <w:tcMar>
              <w:top w:w="100" w:type="dxa"/>
              <w:left w:w="100" w:type="dxa"/>
              <w:bottom w:w="100" w:type="dxa"/>
              <w:right w:w="100" w:type="dxa"/>
            </w:tcMar>
          </w:tcPr>
          <w:p w14:paraId="31066EA3"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0.20</w:t>
            </w:r>
          </w:p>
        </w:tc>
        <w:tc>
          <w:tcPr>
            <w:tcW w:w="1770" w:type="dxa"/>
            <w:shd w:val="clear" w:color="auto" w:fill="auto"/>
            <w:tcMar>
              <w:top w:w="100" w:type="dxa"/>
              <w:left w:w="100" w:type="dxa"/>
              <w:bottom w:w="100" w:type="dxa"/>
              <w:right w:w="100" w:type="dxa"/>
            </w:tcMar>
          </w:tcPr>
          <w:p w14:paraId="5ECF3FAD"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0.26</w:t>
            </w:r>
          </w:p>
        </w:tc>
      </w:tr>
      <w:tr w:rsidR="00A6701B" w14:paraId="1CEC25DE" w14:textId="77777777">
        <w:tc>
          <w:tcPr>
            <w:tcW w:w="2385" w:type="dxa"/>
            <w:shd w:val="clear" w:color="auto" w:fill="auto"/>
            <w:tcMar>
              <w:top w:w="100" w:type="dxa"/>
              <w:left w:w="100" w:type="dxa"/>
              <w:bottom w:w="100" w:type="dxa"/>
              <w:right w:w="100" w:type="dxa"/>
            </w:tcMar>
          </w:tcPr>
          <w:p w14:paraId="2DB14D0A"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Fee Expense</w:t>
            </w:r>
          </w:p>
        </w:tc>
        <w:tc>
          <w:tcPr>
            <w:tcW w:w="1560" w:type="dxa"/>
            <w:shd w:val="clear" w:color="auto" w:fill="auto"/>
            <w:tcMar>
              <w:top w:w="100" w:type="dxa"/>
              <w:left w:w="100" w:type="dxa"/>
              <w:bottom w:w="100" w:type="dxa"/>
              <w:right w:w="100" w:type="dxa"/>
            </w:tcMar>
          </w:tcPr>
          <w:p w14:paraId="05E553F9"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0.0129</w:t>
            </w:r>
          </w:p>
        </w:tc>
        <w:tc>
          <w:tcPr>
            <w:tcW w:w="1710" w:type="dxa"/>
            <w:shd w:val="clear" w:color="auto" w:fill="auto"/>
            <w:tcMar>
              <w:top w:w="100" w:type="dxa"/>
              <w:left w:w="100" w:type="dxa"/>
              <w:bottom w:w="100" w:type="dxa"/>
              <w:right w:w="100" w:type="dxa"/>
            </w:tcMar>
          </w:tcPr>
          <w:p w14:paraId="49D33B0B"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0.0248</w:t>
            </w:r>
          </w:p>
        </w:tc>
        <w:tc>
          <w:tcPr>
            <w:tcW w:w="1590" w:type="dxa"/>
            <w:shd w:val="clear" w:color="auto" w:fill="auto"/>
            <w:tcMar>
              <w:top w:w="100" w:type="dxa"/>
              <w:left w:w="100" w:type="dxa"/>
              <w:bottom w:w="100" w:type="dxa"/>
              <w:right w:w="100" w:type="dxa"/>
            </w:tcMar>
          </w:tcPr>
          <w:p w14:paraId="478CE8B1"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N.A.</w:t>
            </w:r>
          </w:p>
        </w:tc>
        <w:tc>
          <w:tcPr>
            <w:tcW w:w="1770" w:type="dxa"/>
            <w:shd w:val="clear" w:color="auto" w:fill="auto"/>
            <w:tcMar>
              <w:top w:w="100" w:type="dxa"/>
              <w:left w:w="100" w:type="dxa"/>
              <w:bottom w:w="100" w:type="dxa"/>
              <w:right w:w="100" w:type="dxa"/>
            </w:tcMar>
          </w:tcPr>
          <w:p w14:paraId="03C7A406"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N.A.</w:t>
            </w:r>
          </w:p>
        </w:tc>
      </w:tr>
      <w:tr w:rsidR="00A6701B" w14:paraId="7BD5ED96" w14:textId="77777777">
        <w:tc>
          <w:tcPr>
            <w:tcW w:w="2385" w:type="dxa"/>
            <w:shd w:val="clear" w:color="auto" w:fill="auto"/>
            <w:tcMar>
              <w:top w:w="100" w:type="dxa"/>
              <w:left w:w="100" w:type="dxa"/>
              <w:bottom w:w="100" w:type="dxa"/>
              <w:right w:w="100" w:type="dxa"/>
            </w:tcMar>
          </w:tcPr>
          <w:p w14:paraId="2A756528"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Turnover Rate</w:t>
            </w:r>
          </w:p>
        </w:tc>
        <w:tc>
          <w:tcPr>
            <w:tcW w:w="1560" w:type="dxa"/>
            <w:shd w:val="clear" w:color="auto" w:fill="auto"/>
            <w:tcMar>
              <w:top w:w="100" w:type="dxa"/>
              <w:left w:w="100" w:type="dxa"/>
              <w:bottom w:w="100" w:type="dxa"/>
              <w:right w:w="100" w:type="dxa"/>
            </w:tcMar>
          </w:tcPr>
          <w:p w14:paraId="74B66926"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0.33</w:t>
            </w:r>
          </w:p>
        </w:tc>
        <w:tc>
          <w:tcPr>
            <w:tcW w:w="1710" w:type="dxa"/>
            <w:shd w:val="clear" w:color="auto" w:fill="auto"/>
            <w:tcMar>
              <w:top w:w="100" w:type="dxa"/>
              <w:left w:w="100" w:type="dxa"/>
              <w:bottom w:w="100" w:type="dxa"/>
              <w:right w:w="100" w:type="dxa"/>
            </w:tcMar>
          </w:tcPr>
          <w:p w14:paraId="14ECCACC"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0.64</w:t>
            </w:r>
          </w:p>
        </w:tc>
        <w:tc>
          <w:tcPr>
            <w:tcW w:w="1590" w:type="dxa"/>
            <w:shd w:val="clear" w:color="auto" w:fill="auto"/>
            <w:tcMar>
              <w:top w:w="100" w:type="dxa"/>
              <w:left w:w="100" w:type="dxa"/>
              <w:bottom w:w="100" w:type="dxa"/>
              <w:right w:w="100" w:type="dxa"/>
            </w:tcMar>
          </w:tcPr>
          <w:p w14:paraId="5B2CAE7A"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N.A.</w:t>
            </w:r>
          </w:p>
        </w:tc>
        <w:tc>
          <w:tcPr>
            <w:tcW w:w="1770" w:type="dxa"/>
            <w:shd w:val="clear" w:color="auto" w:fill="auto"/>
            <w:tcMar>
              <w:top w:w="100" w:type="dxa"/>
              <w:left w:w="100" w:type="dxa"/>
              <w:bottom w:w="100" w:type="dxa"/>
              <w:right w:w="100" w:type="dxa"/>
            </w:tcMar>
          </w:tcPr>
          <w:p w14:paraId="5C2E6B44"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N.A.</w:t>
            </w:r>
          </w:p>
        </w:tc>
      </w:tr>
    </w:tbl>
    <w:p w14:paraId="5908842F" w14:textId="77777777" w:rsidR="00A6701B" w:rsidRDefault="00A6701B">
      <w:pPr>
        <w:jc w:val="both"/>
        <w:rPr>
          <w:rFonts w:ascii="Times New Roman" w:eastAsia="Times New Roman" w:hAnsi="Times New Roman" w:cs="Times New Roman"/>
          <w:highlight w:val="white"/>
        </w:rPr>
      </w:pPr>
    </w:p>
    <w:p w14:paraId="36C3E01B" w14:textId="77777777" w:rsidR="00A6701B" w:rsidRDefault="00A6701B">
      <w:pPr>
        <w:jc w:val="both"/>
        <w:rPr>
          <w:rFonts w:ascii="Times New Roman" w:eastAsia="Times New Roman" w:hAnsi="Times New Roman" w:cs="Times New Roman"/>
          <w:highlight w:val="white"/>
        </w:rPr>
      </w:pPr>
    </w:p>
    <w:p w14:paraId="13794E44" w14:textId="77777777"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w:t>
      </w:r>
      <w:proofErr w:type="spellStart"/>
      <w:r>
        <w:rPr>
          <w:rFonts w:ascii="Times New Roman" w:eastAsia="Times New Roman" w:hAnsi="Times New Roman" w:cs="Times New Roman"/>
          <w:highlight w:val="white"/>
        </w:rPr>
        <w:t>VaR</w:t>
      </w:r>
      <w:proofErr w:type="spellEnd"/>
      <w:r>
        <w:rPr>
          <w:rFonts w:ascii="Times New Roman" w:eastAsia="Times New Roman" w:hAnsi="Times New Roman" w:cs="Times New Roman"/>
          <w:highlight w:val="white"/>
        </w:rPr>
        <w:t xml:space="preserve"> (5%) and Expected </w:t>
      </w:r>
      <w:proofErr w:type="gramStart"/>
      <w:r>
        <w:rPr>
          <w:rFonts w:ascii="Times New Roman" w:eastAsia="Times New Roman" w:hAnsi="Times New Roman" w:cs="Times New Roman"/>
          <w:highlight w:val="white"/>
        </w:rPr>
        <w:t>Short-fall</w:t>
      </w:r>
      <w:proofErr w:type="gramEnd"/>
      <w:r>
        <w:rPr>
          <w:rFonts w:ascii="Times New Roman" w:eastAsia="Times New Roman" w:hAnsi="Times New Roman" w:cs="Times New Roman"/>
          <w:highlight w:val="white"/>
        </w:rPr>
        <w:t xml:space="preserve"> (5%) are reported in the table below.</w:t>
      </w:r>
    </w:p>
    <w:tbl>
      <w:tblPr>
        <w:tblStyle w:val="a0"/>
        <w:tblW w:w="8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7"/>
        <w:gridCol w:w="1541"/>
        <w:gridCol w:w="1719"/>
        <w:gridCol w:w="1556"/>
        <w:gridCol w:w="1734"/>
      </w:tblGrid>
      <w:tr w:rsidR="00A6701B" w14:paraId="5CD20738" w14:textId="77777777" w:rsidTr="008805BA">
        <w:trPr>
          <w:trHeight w:val="466"/>
        </w:trPr>
        <w:tc>
          <w:tcPr>
            <w:tcW w:w="2357" w:type="dxa"/>
            <w:shd w:val="clear" w:color="auto" w:fill="auto"/>
            <w:tcMar>
              <w:top w:w="100" w:type="dxa"/>
              <w:left w:w="100" w:type="dxa"/>
              <w:bottom w:w="100" w:type="dxa"/>
              <w:right w:w="100" w:type="dxa"/>
            </w:tcMar>
          </w:tcPr>
          <w:p w14:paraId="2FBC541B" w14:textId="77777777" w:rsidR="00A6701B" w:rsidRDefault="00A6701B">
            <w:pPr>
              <w:widowControl w:val="0"/>
              <w:spacing w:line="240" w:lineRule="auto"/>
              <w:rPr>
                <w:rFonts w:ascii="Times New Roman" w:eastAsia="Times New Roman" w:hAnsi="Times New Roman" w:cs="Times New Roman"/>
                <w:highlight w:val="white"/>
              </w:rPr>
            </w:pPr>
          </w:p>
        </w:tc>
        <w:tc>
          <w:tcPr>
            <w:tcW w:w="1541" w:type="dxa"/>
            <w:shd w:val="clear" w:color="auto" w:fill="auto"/>
            <w:tcMar>
              <w:top w:w="100" w:type="dxa"/>
              <w:left w:w="100" w:type="dxa"/>
              <w:bottom w:w="100" w:type="dxa"/>
              <w:right w:w="100" w:type="dxa"/>
            </w:tcMar>
          </w:tcPr>
          <w:p w14:paraId="66F35BA2" w14:textId="77777777" w:rsidR="00A6701B" w:rsidRDefault="006404CF">
            <w:pPr>
              <w:widowControl w:val="0"/>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Best</w:t>
            </w:r>
          </w:p>
        </w:tc>
        <w:tc>
          <w:tcPr>
            <w:tcW w:w="1719" w:type="dxa"/>
            <w:shd w:val="clear" w:color="auto" w:fill="auto"/>
            <w:tcMar>
              <w:top w:w="100" w:type="dxa"/>
              <w:left w:w="100" w:type="dxa"/>
              <w:bottom w:w="100" w:type="dxa"/>
              <w:right w:w="100" w:type="dxa"/>
            </w:tcMar>
          </w:tcPr>
          <w:p w14:paraId="210F4F2A" w14:textId="77777777" w:rsidR="00A6701B" w:rsidRDefault="006404CF">
            <w:pPr>
              <w:widowControl w:val="0"/>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Worst</w:t>
            </w:r>
          </w:p>
        </w:tc>
        <w:tc>
          <w:tcPr>
            <w:tcW w:w="1556" w:type="dxa"/>
            <w:shd w:val="clear" w:color="auto" w:fill="auto"/>
            <w:tcMar>
              <w:top w:w="100" w:type="dxa"/>
              <w:left w:w="100" w:type="dxa"/>
              <w:bottom w:w="100" w:type="dxa"/>
              <w:right w:w="100" w:type="dxa"/>
            </w:tcMar>
          </w:tcPr>
          <w:p w14:paraId="635CB4A7" w14:textId="77777777" w:rsidR="00A6701B" w:rsidRDefault="006404CF">
            <w:pPr>
              <w:widowControl w:val="0"/>
              <w:spacing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Index</w:t>
            </w:r>
          </w:p>
        </w:tc>
        <w:tc>
          <w:tcPr>
            <w:tcW w:w="1734" w:type="dxa"/>
            <w:shd w:val="clear" w:color="auto" w:fill="auto"/>
            <w:tcMar>
              <w:top w:w="100" w:type="dxa"/>
              <w:left w:w="100" w:type="dxa"/>
              <w:bottom w:w="100" w:type="dxa"/>
              <w:right w:w="100" w:type="dxa"/>
            </w:tcMar>
          </w:tcPr>
          <w:p w14:paraId="768B65EC" w14:textId="77777777" w:rsidR="00A6701B" w:rsidRDefault="006404CF">
            <w:pPr>
              <w:widowControl w:val="0"/>
              <w:spacing w:line="240" w:lineRule="auto"/>
              <w:rPr>
                <w:rFonts w:ascii="Times New Roman" w:eastAsia="Times New Roman" w:hAnsi="Times New Roman" w:cs="Times New Roman"/>
                <w:b/>
                <w:highlight w:val="white"/>
              </w:rPr>
            </w:pPr>
            <w:proofErr w:type="spellStart"/>
            <w:r>
              <w:rPr>
                <w:rFonts w:ascii="Times New Roman" w:eastAsia="Times New Roman" w:hAnsi="Times New Roman" w:cs="Times New Roman"/>
                <w:b/>
                <w:highlight w:val="white"/>
              </w:rPr>
              <w:t>Optimised</w:t>
            </w:r>
            <w:proofErr w:type="spellEnd"/>
            <w:r>
              <w:rPr>
                <w:rFonts w:ascii="Times New Roman" w:eastAsia="Times New Roman" w:hAnsi="Times New Roman" w:cs="Times New Roman"/>
                <w:b/>
                <w:highlight w:val="white"/>
              </w:rPr>
              <w:t xml:space="preserve"> Portfolio</w:t>
            </w:r>
          </w:p>
        </w:tc>
      </w:tr>
      <w:tr w:rsidR="00A6701B" w14:paraId="4DE856EA" w14:textId="77777777" w:rsidTr="008805BA">
        <w:trPr>
          <w:trHeight w:val="240"/>
        </w:trPr>
        <w:tc>
          <w:tcPr>
            <w:tcW w:w="2357" w:type="dxa"/>
            <w:shd w:val="clear" w:color="auto" w:fill="auto"/>
            <w:tcMar>
              <w:top w:w="100" w:type="dxa"/>
              <w:left w:w="100" w:type="dxa"/>
              <w:bottom w:w="100" w:type="dxa"/>
              <w:right w:w="100" w:type="dxa"/>
            </w:tcMar>
          </w:tcPr>
          <w:p w14:paraId="006BCC2F" w14:textId="77777777" w:rsidR="00A6701B" w:rsidRDefault="006404CF">
            <w:pPr>
              <w:widowControl w:val="0"/>
              <w:spacing w:line="240" w:lineRule="auto"/>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VaR</w:t>
            </w:r>
            <w:proofErr w:type="spellEnd"/>
            <w:r>
              <w:rPr>
                <w:rFonts w:ascii="Times New Roman" w:eastAsia="Times New Roman" w:hAnsi="Times New Roman" w:cs="Times New Roman"/>
                <w:highlight w:val="white"/>
              </w:rPr>
              <w:t xml:space="preserve"> (Parametric)</w:t>
            </w:r>
          </w:p>
        </w:tc>
        <w:tc>
          <w:tcPr>
            <w:tcW w:w="1541" w:type="dxa"/>
            <w:shd w:val="clear" w:color="auto" w:fill="auto"/>
            <w:tcMar>
              <w:top w:w="100" w:type="dxa"/>
              <w:left w:w="100" w:type="dxa"/>
              <w:bottom w:w="100" w:type="dxa"/>
              <w:right w:w="100" w:type="dxa"/>
            </w:tcMar>
          </w:tcPr>
          <w:p w14:paraId="4284DC93"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0.027</w:t>
            </w:r>
          </w:p>
        </w:tc>
        <w:tc>
          <w:tcPr>
            <w:tcW w:w="1719" w:type="dxa"/>
            <w:shd w:val="clear" w:color="auto" w:fill="auto"/>
            <w:tcMar>
              <w:top w:w="100" w:type="dxa"/>
              <w:left w:w="100" w:type="dxa"/>
              <w:bottom w:w="100" w:type="dxa"/>
              <w:right w:w="100" w:type="dxa"/>
            </w:tcMar>
          </w:tcPr>
          <w:p w14:paraId="7E0EC167"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0.019</w:t>
            </w:r>
          </w:p>
        </w:tc>
        <w:tc>
          <w:tcPr>
            <w:tcW w:w="1556" w:type="dxa"/>
            <w:shd w:val="clear" w:color="auto" w:fill="auto"/>
            <w:tcMar>
              <w:top w:w="100" w:type="dxa"/>
              <w:left w:w="100" w:type="dxa"/>
              <w:bottom w:w="100" w:type="dxa"/>
              <w:right w:w="100" w:type="dxa"/>
            </w:tcMar>
          </w:tcPr>
          <w:p w14:paraId="171E7518"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0.020</w:t>
            </w:r>
          </w:p>
        </w:tc>
        <w:tc>
          <w:tcPr>
            <w:tcW w:w="1734" w:type="dxa"/>
            <w:shd w:val="clear" w:color="auto" w:fill="auto"/>
            <w:tcMar>
              <w:top w:w="100" w:type="dxa"/>
              <w:left w:w="100" w:type="dxa"/>
              <w:bottom w:w="100" w:type="dxa"/>
              <w:right w:w="100" w:type="dxa"/>
            </w:tcMar>
          </w:tcPr>
          <w:p w14:paraId="067EEA1F"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0.025</w:t>
            </w:r>
          </w:p>
        </w:tc>
      </w:tr>
      <w:tr w:rsidR="00A6701B" w14:paraId="3A9296B7" w14:textId="77777777" w:rsidTr="008805BA">
        <w:trPr>
          <w:trHeight w:val="226"/>
        </w:trPr>
        <w:tc>
          <w:tcPr>
            <w:tcW w:w="2357" w:type="dxa"/>
            <w:shd w:val="clear" w:color="auto" w:fill="auto"/>
            <w:tcMar>
              <w:top w:w="100" w:type="dxa"/>
              <w:left w:w="100" w:type="dxa"/>
              <w:bottom w:w="100" w:type="dxa"/>
              <w:right w:w="100" w:type="dxa"/>
            </w:tcMar>
          </w:tcPr>
          <w:p w14:paraId="655B3CED" w14:textId="77777777" w:rsidR="00A6701B" w:rsidRDefault="006404CF">
            <w:pPr>
              <w:widowControl w:val="0"/>
              <w:spacing w:line="240" w:lineRule="auto"/>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VaR</w:t>
            </w:r>
            <w:proofErr w:type="spellEnd"/>
            <w:r>
              <w:rPr>
                <w:rFonts w:ascii="Times New Roman" w:eastAsia="Times New Roman" w:hAnsi="Times New Roman" w:cs="Times New Roman"/>
                <w:highlight w:val="white"/>
              </w:rPr>
              <w:t xml:space="preserve"> (HS)</w:t>
            </w:r>
          </w:p>
        </w:tc>
        <w:tc>
          <w:tcPr>
            <w:tcW w:w="1541" w:type="dxa"/>
            <w:shd w:val="clear" w:color="auto" w:fill="auto"/>
            <w:tcMar>
              <w:top w:w="100" w:type="dxa"/>
              <w:left w:w="100" w:type="dxa"/>
              <w:bottom w:w="100" w:type="dxa"/>
              <w:right w:w="100" w:type="dxa"/>
            </w:tcMar>
          </w:tcPr>
          <w:p w14:paraId="783D3BD7"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0.023</w:t>
            </w:r>
          </w:p>
        </w:tc>
        <w:tc>
          <w:tcPr>
            <w:tcW w:w="1719" w:type="dxa"/>
            <w:shd w:val="clear" w:color="auto" w:fill="auto"/>
            <w:tcMar>
              <w:top w:w="100" w:type="dxa"/>
              <w:left w:w="100" w:type="dxa"/>
              <w:bottom w:w="100" w:type="dxa"/>
              <w:right w:w="100" w:type="dxa"/>
            </w:tcMar>
          </w:tcPr>
          <w:p w14:paraId="602DAEF3"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0.018</w:t>
            </w:r>
          </w:p>
        </w:tc>
        <w:tc>
          <w:tcPr>
            <w:tcW w:w="1556" w:type="dxa"/>
            <w:shd w:val="clear" w:color="auto" w:fill="auto"/>
            <w:tcMar>
              <w:top w:w="100" w:type="dxa"/>
              <w:left w:w="100" w:type="dxa"/>
              <w:bottom w:w="100" w:type="dxa"/>
              <w:right w:w="100" w:type="dxa"/>
            </w:tcMar>
          </w:tcPr>
          <w:p w14:paraId="539D8641"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0.020</w:t>
            </w:r>
          </w:p>
        </w:tc>
        <w:tc>
          <w:tcPr>
            <w:tcW w:w="1734" w:type="dxa"/>
            <w:shd w:val="clear" w:color="auto" w:fill="auto"/>
            <w:tcMar>
              <w:top w:w="100" w:type="dxa"/>
              <w:left w:w="100" w:type="dxa"/>
              <w:bottom w:w="100" w:type="dxa"/>
              <w:right w:w="100" w:type="dxa"/>
            </w:tcMar>
          </w:tcPr>
          <w:p w14:paraId="5D344D9E"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0.025</w:t>
            </w:r>
          </w:p>
        </w:tc>
      </w:tr>
      <w:tr w:rsidR="00A6701B" w14:paraId="64554C8A" w14:textId="77777777" w:rsidTr="008805BA">
        <w:trPr>
          <w:trHeight w:val="240"/>
        </w:trPr>
        <w:tc>
          <w:tcPr>
            <w:tcW w:w="2357" w:type="dxa"/>
            <w:shd w:val="clear" w:color="auto" w:fill="auto"/>
            <w:tcMar>
              <w:top w:w="100" w:type="dxa"/>
              <w:left w:w="100" w:type="dxa"/>
              <w:bottom w:w="100" w:type="dxa"/>
              <w:right w:w="100" w:type="dxa"/>
            </w:tcMar>
          </w:tcPr>
          <w:p w14:paraId="24ACCF09"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ES (Parametric)</w:t>
            </w:r>
          </w:p>
        </w:tc>
        <w:tc>
          <w:tcPr>
            <w:tcW w:w="1541" w:type="dxa"/>
            <w:shd w:val="clear" w:color="auto" w:fill="auto"/>
            <w:tcMar>
              <w:top w:w="100" w:type="dxa"/>
              <w:left w:w="100" w:type="dxa"/>
              <w:bottom w:w="100" w:type="dxa"/>
              <w:right w:w="100" w:type="dxa"/>
            </w:tcMar>
          </w:tcPr>
          <w:p w14:paraId="148F5CF8"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0.038</w:t>
            </w:r>
          </w:p>
        </w:tc>
        <w:tc>
          <w:tcPr>
            <w:tcW w:w="1719" w:type="dxa"/>
            <w:shd w:val="clear" w:color="auto" w:fill="auto"/>
            <w:tcMar>
              <w:top w:w="100" w:type="dxa"/>
              <w:left w:w="100" w:type="dxa"/>
              <w:bottom w:w="100" w:type="dxa"/>
              <w:right w:w="100" w:type="dxa"/>
            </w:tcMar>
          </w:tcPr>
          <w:p w14:paraId="5AEE619F"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0.025</w:t>
            </w:r>
          </w:p>
        </w:tc>
        <w:tc>
          <w:tcPr>
            <w:tcW w:w="1556" w:type="dxa"/>
            <w:shd w:val="clear" w:color="auto" w:fill="auto"/>
            <w:tcMar>
              <w:top w:w="100" w:type="dxa"/>
              <w:left w:w="100" w:type="dxa"/>
              <w:bottom w:w="100" w:type="dxa"/>
              <w:right w:w="100" w:type="dxa"/>
            </w:tcMar>
          </w:tcPr>
          <w:p w14:paraId="0623EE33"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0.027</w:t>
            </w:r>
          </w:p>
        </w:tc>
        <w:tc>
          <w:tcPr>
            <w:tcW w:w="1734" w:type="dxa"/>
            <w:shd w:val="clear" w:color="auto" w:fill="auto"/>
            <w:tcMar>
              <w:top w:w="100" w:type="dxa"/>
              <w:left w:w="100" w:type="dxa"/>
              <w:bottom w:w="100" w:type="dxa"/>
              <w:right w:w="100" w:type="dxa"/>
            </w:tcMar>
          </w:tcPr>
          <w:p w14:paraId="2B75E169"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0.034</w:t>
            </w:r>
          </w:p>
        </w:tc>
      </w:tr>
      <w:tr w:rsidR="00A6701B" w14:paraId="5F885592" w14:textId="77777777" w:rsidTr="008805BA">
        <w:trPr>
          <w:trHeight w:val="20"/>
        </w:trPr>
        <w:tc>
          <w:tcPr>
            <w:tcW w:w="2357" w:type="dxa"/>
            <w:shd w:val="clear" w:color="auto" w:fill="auto"/>
            <w:tcMar>
              <w:top w:w="100" w:type="dxa"/>
              <w:left w:w="100" w:type="dxa"/>
              <w:bottom w:w="100" w:type="dxa"/>
              <w:right w:w="100" w:type="dxa"/>
            </w:tcMar>
          </w:tcPr>
          <w:p w14:paraId="37662A57"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ES (HS)</w:t>
            </w:r>
          </w:p>
        </w:tc>
        <w:tc>
          <w:tcPr>
            <w:tcW w:w="1541" w:type="dxa"/>
            <w:shd w:val="clear" w:color="auto" w:fill="auto"/>
            <w:tcMar>
              <w:top w:w="100" w:type="dxa"/>
              <w:left w:w="100" w:type="dxa"/>
              <w:bottom w:w="100" w:type="dxa"/>
              <w:right w:w="100" w:type="dxa"/>
            </w:tcMar>
          </w:tcPr>
          <w:p w14:paraId="65732E22"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0.035</w:t>
            </w:r>
          </w:p>
        </w:tc>
        <w:tc>
          <w:tcPr>
            <w:tcW w:w="1719" w:type="dxa"/>
            <w:shd w:val="clear" w:color="auto" w:fill="auto"/>
            <w:tcMar>
              <w:top w:w="100" w:type="dxa"/>
              <w:left w:w="100" w:type="dxa"/>
              <w:bottom w:w="100" w:type="dxa"/>
              <w:right w:w="100" w:type="dxa"/>
            </w:tcMar>
          </w:tcPr>
          <w:p w14:paraId="0EBDC916"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0.025</w:t>
            </w:r>
          </w:p>
        </w:tc>
        <w:tc>
          <w:tcPr>
            <w:tcW w:w="1556" w:type="dxa"/>
            <w:shd w:val="clear" w:color="auto" w:fill="auto"/>
            <w:tcMar>
              <w:top w:w="100" w:type="dxa"/>
              <w:left w:w="100" w:type="dxa"/>
              <w:bottom w:w="100" w:type="dxa"/>
              <w:right w:w="100" w:type="dxa"/>
            </w:tcMar>
          </w:tcPr>
          <w:p w14:paraId="21D818B3"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0.027</w:t>
            </w:r>
          </w:p>
        </w:tc>
        <w:tc>
          <w:tcPr>
            <w:tcW w:w="1734" w:type="dxa"/>
            <w:shd w:val="clear" w:color="auto" w:fill="auto"/>
            <w:tcMar>
              <w:top w:w="100" w:type="dxa"/>
              <w:left w:w="100" w:type="dxa"/>
              <w:bottom w:w="100" w:type="dxa"/>
              <w:right w:w="100" w:type="dxa"/>
            </w:tcMar>
          </w:tcPr>
          <w:p w14:paraId="7A385E58" w14:textId="77777777" w:rsidR="00A6701B" w:rsidRDefault="006404CF">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0.032</w:t>
            </w:r>
          </w:p>
        </w:tc>
      </w:tr>
    </w:tbl>
    <w:p w14:paraId="0C47A8C5" w14:textId="77777777" w:rsidR="00A6701B" w:rsidRDefault="00A6701B">
      <w:pPr>
        <w:jc w:val="both"/>
        <w:rPr>
          <w:rFonts w:ascii="Times New Roman" w:eastAsia="Times New Roman" w:hAnsi="Times New Roman" w:cs="Times New Roman"/>
          <w:highlight w:val="white"/>
        </w:rPr>
      </w:pPr>
    </w:p>
    <w:p w14:paraId="3422422B" w14:textId="77777777" w:rsidR="00A6701B" w:rsidRDefault="006404CF">
      <w:pPr>
        <w:jc w:val="both"/>
        <w:rPr>
          <w:rFonts w:ascii="Times New Roman" w:eastAsia="Times New Roman" w:hAnsi="Times New Roman" w:cs="Times New Roman"/>
          <w:b/>
        </w:rPr>
      </w:pPr>
      <w:r>
        <w:rPr>
          <w:rFonts w:ascii="Times New Roman" w:eastAsia="Times New Roman" w:hAnsi="Times New Roman" w:cs="Times New Roman"/>
          <w:b/>
        </w:rPr>
        <w:t>Discussion</w:t>
      </w:r>
    </w:p>
    <w:p w14:paraId="215132BB" w14:textId="77777777" w:rsidR="00A6701B" w:rsidRDefault="00A6701B">
      <w:pPr>
        <w:jc w:val="both"/>
        <w:rPr>
          <w:rFonts w:ascii="Times New Roman" w:eastAsia="Times New Roman" w:hAnsi="Times New Roman" w:cs="Times New Roman"/>
          <w:b/>
        </w:rPr>
      </w:pPr>
    </w:p>
    <w:p w14:paraId="4313F1DF" w14:textId="77777777" w:rsidR="00A6701B" w:rsidRDefault="006404CF">
      <w:pPr>
        <w:jc w:val="both"/>
        <w:rPr>
          <w:rFonts w:ascii="Times New Roman" w:eastAsia="Times New Roman" w:hAnsi="Times New Roman" w:cs="Times New Roman"/>
          <w:i/>
        </w:rPr>
      </w:pPr>
      <w:r>
        <w:rPr>
          <w:rFonts w:ascii="Times New Roman" w:eastAsia="Times New Roman" w:hAnsi="Times New Roman" w:cs="Times New Roman"/>
          <w:i/>
        </w:rPr>
        <w:t>In-sample Analysis</w:t>
      </w:r>
    </w:p>
    <w:p w14:paraId="74FBC535" w14:textId="77777777" w:rsidR="008805BA" w:rsidRDefault="006404CF" w:rsidP="008805BA">
      <w:pPr>
        <w:keepNext/>
        <w:jc w:val="both"/>
      </w:pPr>
      <w:r>
        <w:rPr>
          <w:rFonts w:ascii="Times New Roman" w:eastAsia="Times New Roman" w:hAnsi="Times New Roman" w:cs="Times New Roman"/>
          <w:b/>
          <w:noProof/>
          <w:highlight w:val="white"/>
        </w:rPr>
        <w:drawing>
          <wp:inline distT="114300" distB="114300" distL="114300" distR="114300" wp14:anchorId="420C8AE8" wp14:editId="2F09C960">
            <wp:extent cx="5705475" cy="2181225"/>
            <wp:effectExtent l="0" t="0" r="9525" b="9525"/>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05475" cy="2181225"/>
                    </a:xfrm>
                    <a:prstGeom prst="rect">
                      <a:avLst/>
                    </a:prstGeom>
                    <a:ln/>
                  </pic:spPr>
                </pic:pic>
              </a:graphicData>
            </a:graphic>
          </wp:inline>
        </w:drawing>
      </w:r>
    </w:p>
    <w:p w14:paraId="6F32CBDB" w14:textId="2D94857C" w:rsidR="00A6701B" w:rsidRDefault="008805BA" w:rsidP="008805BA">
      <w:pPr>
        <w:pStyle w:val="Caption"/>
        <w:jc w:val="center"/>
        <w:rPr>
          <w:rFonts w:ascii="Times New Roman" w:eastAsia="Times New Roman" w:hAnsi="Times New Roman" w:cs="Times New Roman"/>
          <w:b/>
          <w:highlight w:val="white"/>
        </w:rPr>
      </w:pPr>
      <w:r>
        <w:t xml:space="preserve">Figure </w:t>
      </w:r>
      <w:fldSimple w:instr=" SEQ Figure \* ARABIC ">
        <w:r w:rsidR="009564E0">
          <w:rPr>
            <w:noProof/>
          </w:rPr>
          <w:t>2</w:t>
        </w:r>
      </w:fldSimple>
      <w:r>
        <w:t>: In-sample returns</w:t>
      </w:r>
    </w:p>
    <w:p w14:paraId="0AC37438" w14:textId="6245546E"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First, we </w:t>
      </w:r>
      <w:proofErr w:type="spellStart"/>
      <w:r>
        <w:rPr>
          <w:rFonts w:ascii="Times New Roman" w:eastAsia="Times New Roman" w:hAnsi="Times New Roman" w:cs="Times New Roman"/>
          <w:highlight w:val="white"/>
        </w:rPr>
        <w:t>analyse</w:t>
      </w:r>
      <w:proofErr w:type="spellEnd"/>
      <w:r>
        <w:rPr>
          <w:rFonts w:ascii="Times New Roman" w:eastAsia="Times New Roman" w:hAnsi="Times New Roman" w:cs="Times New Roman"/>
          <w:highlight w:val="white"/>
        </w:rPr>
        <w:t xml:space="preserve"> our in-sample portfolio performance</w:t>
      </w:r>
      <w:r w:rsidR="008805BA">
        <w:rPr>
          <w:rFonts w:ascii="Times New Roman" w:eastAsia="Times New Roman" w:hAnsi="Times New Roman" w:cs="Times New Roman"/>
          <w:highlight w:val="white"/>
        </w:rPr>
        <w:t xml:space="preserve"> (figure 2)</w:t>
      </w:r>
      <w:r>
        <w:rPr>
          <w:rFonts w:ascii="Times New Roman" w:eastAsia="Times New Roman" w:hAnsi="Times New Roman" w:cs="Times New Roman"/>
          <w:highlight w:val="white"/>
        </w:rPr>
        <w:t xml:space="preserve">. As expected, we observe that the best portfolio </w:t>
      </w:r>
      <w:r>
        <w:rPr>
          <w:rFonts w:ascii="Times New Roman" w:eastAsia="Times New Roman" w:hAnsi="Times New Roman" w:cs="Times New Roman"/>
          <w:b/>
          <w:highlight w:val="white"/>
        </w:rPr>
        <w:t>(ETIHX)</w:t>
      </w:r>
      <w:r>
        <w:rPr>
          <w:rFonts w:ascii="Times New Roman" w:eastAsia="Times New Roman" w:hAnsi="Times New Roman" w:cs="Times New Roman"/>
          <w:highlight w:val="white"/>
        </w:rPr>
        <w:t xml:space="preserve"> we had previously selected performed the best in 2019. We are not </w:t>
      </w:r>
      <w:proofErr w:type="gramStart"/>
      <w:r>
        <w:rPr>
          <w:rFonts w:ascii="Times New Roman" w:eastAsia="Times New Roman" w:hAnsi="Times New Roman" w:cs="Times New Roman"/>
          <w:highlight w:val="white"/>
        </w:rPr>
        <w:t>overly-concerned</w:t>
      </w:r>
      <w:proofErr w:type="gramEnd"/>
      <w:r>
        <w:rPr>
          <w:rFonts w:ascii="Times New Roman" w:eastAsia="Times New Roman" w:hAnsi="Times New Roman" w:cs="Times New Roman"/>
          <w:highlight w:val="white"/>
        </w:rPr>
        <w:t xml:space="preserve"> with having a good in-sample performance as </w:t>
      </w:r>
      <w:proofErr w:type="spellStart"/>
      <w:r>
        <w:rPr>
          <w:rFonts w:ascii="Times New Roman" w:eastAsia="Times New Roman" w:hAnsi="Times New Roman" w:cs="Times New Roman"/>
          <w:highlight w:val="white"/>
        </w:rPr>
        <w:t>optimising</w:t>
      </w:r>
      <w:proofErr w:type="spellEnd"/>
      <w:r>
        <w:rPr>
          <w:rFonts w:ascii="Times New Roman" w:eastAsia="Times New Roman" w:hAnsi="Times New Roman" w:cs="Times New Roman"/>
          <w:highlight w:val="white"/>
        </w:rPr>
        <w:t xml:space="preserve"> on this metric would lead to overfitting on the asset performances in 2019. The results of our </w:t>
      </w:r>
      <w:proofErr w:type="spellStart"/>
      <w:r>
        <w:rPr>
          <w:rFonts w:ascii="Times New Roman" w:eastAsia="Times New Roman" w:hAnsi="Times New Roman" w:cs="Times New Roman"/>
          <w:highlight w:val="white"/>
        </w:rPr>
        <w:t>optimisation</w:t>
      </w:r>
      <w:proofErr w:type="spellEnd"/>
      <w:r>
        <w:rPr>
          <w:rFonts w:ascii="Times New Roman" w:eastAsia="Times New Roman" w:hAnsi="Times New Roman" w:cs="Times New Roman"/>
          <w:highlight w:val="white"/>
        </w:rPr>
        <w:t xml:space="preserve"> process w</w:t>
      </w:r>
      <w:r>
        <w:rPr>
          <w:rFonts w:ascii="Times New Roman" w:eastAsia="Times New Roman" w:hAnsi="Times New Roman" w:cs="Times New Roman"/>
          <w:highlight w:val="white"/>
        </w:rPr>
        <w:t xml:space="preserve">ere verified by using the expected returns based on the BL model. Our </w:t>
      </w:r>
      <w:proofErr w:type="spellStart"/>
      <w:r>
        <w:rPr>
          <w:rFonts w:ascii="Times New Roman" w:eastAsia="Times New Roman" w:hAnsi="Times New Roman" w:cs="Times New Roman"/>
          <w:highlight w:val="white"/>
        </w:rPr>
        <w:t>optimised</w:t>
      </w:r>
      <w:proofErr w:type="spellEnd"/>
      <w:r>
        <w:rPr>
          <w:rFonts w:ascii="Times New Roman" w:eastAsia="Times New Roman" w:hAnsi="Times New Roman" w:cs="Times New Roman"/>
          <w:highlight w:val="white"/>
        </w:rPr>
        <w:t xml:space="preserve"> portfolio did indeed give a higher return (28.9%) compared to the weights assigned by ETIHX (24.0%). Using 2019 volatility as a proxy for future volatility, our </w:t>
      </w:r>
      <w:proofErr w:type="spellStart"/>
      <w:r>
        <w:rPr>
          <w:rFonts w:ascii="Times New Roman" w:eastAsia="Times New Roman" w:hAnsi="Times New Roman" w:cs="Times New Roman"/>
          <w:highlight w:val="white"/>
        </w:rPr>
        <w:t>optimised</w:t>
      </w:r>
      <w:proofErr w:type="spellEnd"/>
      <w:r>
        <w:rPr>
          <w:rFonts w:ascii="Times New Roman" w:eastAsia="Times New Roman" w:hAnsi="Times New Roman" w:cs="Times New Roman"/>
          <w:highlight w:val="white"/>
        </w:rPr>
        <w:t xml:space="preserve"> portf</w:t>
      </w:r>
      <w:r>
        <w:rPr>
          <w:rFonts w:ascii="Times New Roman" w:eastAsia="Times New Roman" w:hAnsi="Times New Roman" w:cs="Times New Roman"/>
          <w:highlight w:val="white"/>
        </w:rPr>
        <w:t xml:space="preserve">olio also had marginally lower risk (1.61%) compared to ETIHX (1.77%). </w:t>
      </w:r>
    </w:p>
    <w:p w14:paraId="074E2BF0" w14:textId="77777777" w:rsidR="00A6701B" w:rsidRDefault="00A6701B">
      <w:pPr>
        <w:jc w:val="both"/>
        <w:rPr>
          <w:rFonts w:ascii="Times New Roman" w:eastAsia="Times New Roman" w:hAnsi="Times New Roman" w:cs="Times New Roman"/>
          <w:highlight w:val="white"/>
        </w:rPr>
      </w:pPr>
    </w:p>
    <w:p w14:paraId="5CF85460" w14:textId="76C8BB0D" w:rsidR="00A6701B" w:rsidRDefault="008805BA">
      <w:pPr>
        <w:jc w:val="both"/>
        <w:rPr>
          <w:rFonts w:ascii="Times New Roman" w:eastAsia="Times New Roman" w:hAnsi="Times New Roman" w:cs="Times New Roman"/>
          <w:highlight w:val="white"/>
        </w:rPr>
      </w:pPr>
      <w:r>
        <w:rPr>
          <w:noProof/>
        </w:rPr>
        <w:drawing>
          <wp:anchor distT="114300" distB="114300" distL="114300" distR="114300" simplePos="0" relativeHeight="251658240" behindDoc="0" locked="0" layoutInCell="1" hidden="0" allowOverlap="1" wp14:anchorId="21698CFA" wp14:editId="180F8AB0">
            <wp:simplePos x="0" y="0"/>
            <wp:positionH relativeFrom="column">
              <wp:posOffset>-104775</wp:posOffset>
            </wp:positionH>
            <wp:positionV relativeFrom="paragraph">
              <wp:posOffset>751205</wp:posOffset>
            </wp:positionV>
            <wp:extent cx="4095750" cy="2686050"/>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95750" cy="2686050"/>
                    </a:xfrm>
                    <a:prstGeom prst="rect">
                      <a:avLst/>
                    </a:prstGeom>
                    <a:ln/>
                  </pic:spPr>
                </pic:pic>
              </a:graphicData>
            </a:graphic>
            <wp14:sizeRelH relativeFrom="margin">
              <wp14:pctWidth>0</wp14:pctWidth>
            </wp14:sizeRelH>
            <wp14:sizeRelV relativeFrom="margin">
              <wp14:pctHeight>0</wp14:pctHeight>
            </wp14:sizeRelV>
          </wp:anchor>
        </w:drawing>
      </w:r>
      <w:r w:rsidR="006404CF">
        <w:rPr>
          <w:rFonts w:ascii="Times New Roman" w:eastAsia="Times New Roman" w:hAnsi="Times New Roman" w:cs="Times New Roman"/>
          <w:highlight w:val="white"/>
        </w:rPr>
        <w:t xml:space="preserve">Next, we </w:t>
      </w:r>
      <w:proofErr w:type="spellStart"/>
      <w:r w:rsidR="006404CF">
        <w:rPr>
          <w:rFonts w:ascii="Times New Roman" w:eastAsia="Times New Roman" w:hAnsi="Times New Roman" w:cs="Times New Roman"/>
          <w:highlight w:val="white"/>
        </w:rPr>
        <w:t>analysed</w:t>
      </w:r>
      <w:proofErr w:type="spellEnd"/>
      <w:r w:rsidR="006404CF">
        <w:rPr>
          <w:rFonts w:ascii="Times New Roman" w:eastAsia="Times New Roman" w:hAnsi="Times New Roman" w:cs="Times New Roman"/>
          <w:highlight w:val="white"/>
        </w:rPr>
        <w:t xml:space="preserve"> the different weightage given to the various assets by our </w:t>
      </w:r>
      <w:proofErr w:type="spellStart"/>
      <w:r w:rsidR="006404CF">
        <w:rPr>
          <w:rFonts w:ascii="Times New Roman" w:eastAsia="Times New Roman" w:hAnsi="Times New Roman" w:cs="Times New Roman"/>
          <w:highlight w:val="white"/>
        </w:rPr>
        <w:t>optimisation</w:t>
      </w:r>
      <w:proofErr w:type="spellEnd"/>
      <w:r w:rsidR="006404CF">
        <w:rPr>
          <w:rFonts w:ascii="Times New Roman" w:eastAsia="Times New Roman" w:hAnsi="Times New Roman" w:cs="Times New Roman"/>
          <w:highlight w:val="white"/>
        </w:rPr>
        <w:t xml:space="preserve"> process. We identified the assets that caused the largest points of difference between the two portfolios by comparing the absolute differences in assigned weight. Pl</w:t>
      </w:r>
      <w:r w:rsidR="006404CF">
        <w:rPr>
          <w:rFonts w:ascii="Times New Roman" w:eastAsia="Times New Roman" w:hAnsi="Times New Roman" w:cs="Times New Roman"/>
          <w:highlight w:val="white"/>
        </w:rPr>
        <w:t xml:space="preserve">otting the returns of these assets in 2019, </w:t>
      </w:r>
      <w:r>
        <w:rPr>
          <w:rFonts w:ascii="Times New Roman" w:eastAsia="Times New Roman" w:hAnsi="Times New Roman" w:cs="Times New Roman"/>
          <w:highlight w:val="white"/>
        </w:rPr>
        <w:t>we get</w:t>
      </w:r>
      <w:r w:rsidR="006404CF">
        <w:rPr>
          <w:rFonts w:ascii="Times New Roman" w:eastAsia="Times New Roman" w:hAnsi="Times New Roman" w:cs="Times New Roman"/>
          <w:highlight w:val="white"/>
        </w:rPr>
        <w:t xml:space="preserve"> a better understanding of what caused our </w:t>
      </w:r>
      <w:proofErr w:type="spellStart"/>
      <w:r w:rsidR="006404CF">
        <w:rPr>
          <w:rFonts w:ascii="Times New Roman" w:eastAsia="Times New Roman" w:hAnsi="Times New Roman" w:cs="Times New Roman"/>
          <w:highlight w:val="white"/>
        </w:rPr>
        <w:t>optimised</w:t>
      </w:r>
      <w:proofErr w:type="spellEnd"/>
      <w:r w:rsidR="006404CF">
        <w:rPr>
          <w:rFonts w:ascii="Times New Roman" w:eastAsia="Times New Roman" w:hAnsi="Times New Roman" w:cs="Times New Roman"/>
          <w:highlight w:val="white"/>
        </w:rPr>
        <w:t xml:space="preserve"> portfolio’s poorer in-sample performance. </w:t>
      </w:r>
    </w:p>
    <w:p w14:paraId="3DC9DDF0" w14:textId="77777777" w:rsidR="00A6701B" w:rsidRDefault="00A6701B">
      <w:pPr>
        <w:jc w:val="both"/>
        <w:rPr>
          <w:rFonts w:ascii="Times New Roman" w:eastAsia="Times New Roman" w:hAnsi="Times New Roman" w:cs="Times New Roman"/>
          <w:highlight w:val="white"/>
        </w:rPr>
      </w:pPr>
    </w:p>
    <w:p w14:paraId="04540BB8" w14:textId="1CB442E5" w:rsidR="00A6701B" w:rsidRDefault="008805BA">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From figure 3, we</w:t>
      </w:r>
      <w:r w:rsidR="006404CF">
        <w:rPr>
          <w:rFonts w:ascii="Times New Roman" w:eastAsia="Times New Roman" w:hAnsi="Times New Roman" w:cs="Times New Roman"/>
          <w:highlight w:val="white"/>
        </w:rPr>
        <w:t xml:space="preserve"> observe that these assets saw a drop in their returns around August 2019. This corresponds to</w:t>
      </w:r>
      <w:r w:rsidR="006404CF">
        <w:rPr>
          <w:rFonts w:ascii="Times New Roman" w:eastAsia="Times New Roman" w:hAnsi="Times New Roman" w:cs="Times New Roman"/>
          <w:highlight w:val="white"/>
        </w:rPr>
        <w:t xml:space="preserve"> the drawdown of our </w:t>
      </w:r>
      <w:proofErr w:type="spellStart"/>
      <w:r w:rsidR="006404CF">
        <w:rPr>
          <w:rFonts w:ascii="Times New Roman" w:eastAsia="Times New Roman" w:hAnsi="Times New Roman" w:cs="Times New Roman"/>
          <w:highlight w:val="white"/>
        </w:rPr>
        <w:t>optimised</w:t>
      </w:r>
      <w:proofErr w:type="spellEnd"/>
      <w:r w:rsidR="006404CF">
        <w:rPr>
          <w:rFonts w:ascii="Times New Roman" w:eastAsia="Times New Roman" w:hAnsi="Times New Roman" w:cs="Times New Roman"/>
          <w:highlight w:val="white"/>
        </w:rPr>
        <w:t xml:space="preserve"> portfolio during this period. </w:t>
      </w:r>
      <w:proofErr w:type="spellStart"/>
      <w:r w:rsidR="006404CF">
        <w:rPr>
          <w:rFonts w:ascii="Times New Roman" w:eastAsia="Times New Roman" w:hAnsi="Times New Roman" w:cs="Times New Roman"/>
          <w:highlight w:val="white"/>
        </w:rPr>
        <w:t>Analysing</w:t>
      </w:r>
      <w:proofErr w:type="spellEnd"/>
      <w:r w:rsidR="006404CF">
        <w:rPr>
          <w:rFonts w:ascii="Times New Roman" w:eastAsia="Times New Roman" w:hAnsi="Times New Roman" w:cs="Times New Roman"/>
          <w:highlight w:val="white"/>
        </w:rPr>
        <w:t xml:space="preserve"> the adjusted returns for these assets, it becomes apparent why our </w:t>
      </w:r>
      <w:proofErr w:type="spellStart"/>
      <w:r w:rsidR="006404CF">
        <w:rPr>
          <w:rFonts w:ascii="Times New Roman" w:eastAsia="Times New Roman" w:hAnsi="Times New Roman" w:cs="Times New Roman"/>
          <w:highlight w:val="white"/>
        </w:rPr>
        <w:t>optimisation</w:t>
      </w:r>
      <w:proofErr w:type="spellEnd"/>
      <w:r w:rsidR="006404CF">
        <w:rPr>
          <w:rFonts w:ascii="Times New Roman" w:eastAsia="Times New Roman" w:hAnsi="Times New Roman" w:cs="Times New Roman"/>
          <w:highlight w:val="white"/>
        </w:rPr>
        <w:t xml:space="preserve"> selected these assets. </w:t>
      </w:r>
    </w:p>
    <w:p w14:paraId="275248EB" w14:textId="77777777" w:rsidR="00A6701B" w:rsidRDefault="00A6701B">
      <w:pPr>
        <w:jc w:val="both"/>
        <w:rPr>
          <w:rFonts w:ascii="Times New Roman" w:eastAsia="Times New Roman" w:hAnsi="Times New Roman" w:cs="Times New Roman"/>
          <w:highlight w:val="white"/>
        </w:rPr>
      </w:pPr>
    </w:p>
    <w:p w14:paraId="1AC42641" w14:textId="7DCAFAD8" w:rsidR="00A6701B" w:rsidRDefault="008805BA">
      <w:pPr>
        <w:jc w:val="both"/>
        <w:rPr>
          <w:rFonts w:ascii="Times New Roman" w:eastAsia="Times New Roman" w:hAnsi="Times New Roman" w:cs="Times New Roman"/>
          <w:highlight w:val="white"/>
        </w:rPr>
      </w:pPr>
      <w:r>
        <w:rPr>
          <w:noProof/>
        </w:rPr>
        <w:drawing>
          <wp:anchor distT="114300" distB="114300" distL="114300" distR="114300" simplePos="0" relativeHeight="251659264" behindDoc="0" locked="0" layoutInCell="1" hidden="0" allowOverlap="1" wp14:anchorId="0EEA33B1" wp14:editId="27D0B3B9">
            <wp:simplePos x="0" y="0"/>
            <wp:positionH relativeFrom="margin">
              <wp:align>left</wp:align>
            </wp:positionH>
            <wp:positionV relativeFrom="paragraph">
              <wp:posOffset>458470</wp:posOffset>
            </wp:positionV>
            <wp:extent cx="3876675" cy="1437640"/>
            <wp:effectExtent l="0" t="0" r="9525" b="0"/>
            <wp:wrapSquare wrapText="bothSides" distT="114300" distB="114300" distL="114300" distR="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876675" cy="1437640"/>
                    </a:xfrm>
                    <a:prstGeom prst="rect">
                      <a:avLst/>
                    </a:prstGeom>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64384" behindDoc="0" locked="0" layoutInCell="1" allowOverlap="1" wp14:anchorId="5C982B43" wp14:editId="1AC4B571">
                <wp:simplePos x="0" y="0"/>
                <wp:positionH relativeFrom="column">
                  <wp:posOffset>0</wp:posOffset>
                </wp:positionH>
                <wp:positionV relativeFrom="paragraph">
                  <wp:posOffset>1934210</wp:posOffset>
                </wp:positionV>
                <wp:extent cx="387667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wps:spPr>
                      <wps:txbx>
                        <w:txbxContent>
                          <w:p w14:paraId="243D0C75" w14:textId="61AFEEC8" w:rsidR="008805BA" w:rsidRPr="00D35701" w:rsidRDefault="008805BA" w:rsidP="008805BA">
                            <w:pPr>
                              <w:pStyle w:val="Caption"/>
                              <w:jc w:val="center"/>
                              <w:rPr>
                                <w:noProof/>
                              </w:rPr>
                            </w:pPr>
                            <w:r>
                              <w:t xml:space="preserve">Figure 4: Expected and Observed Returns for </w:t>
                            </w:r>
                            <w:proofErr w:type="spellStart"/>
                            <w:r>
                              <w:t>Optimised</w:t>
                            </w:r>
                            <w:proofErr w:type="spellEnd"/>
                            <w:r>
                              <w:t xml:space="preserve"> Portfolio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982B43" id="_x0000_t202" coordsize="21600,21600" o:spt="202" path="m,l,21600r21600,l21600,xe">
                <v:stroke joinstyle="miter"/>
                <v:path gradientshapeok="t" o:connecttype="rect"/>
              </v:shapetype>
              <v:shape id="Text Box 13" o:spid="_x0000_s1026" type="#_x0000_t202" style="position:absolute;left:0;text-align:left;margin-left:0;margin-top:152.3pt;width:305.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" stroked="f">
                <v:textbox style="mso-fit-shape-to-text:t" inset="0,0,0,0">
                  <w:txbxContent>
                    <w:p w14:paraId="243D0C75" w14:textId="61AFEEC8" w:rsidR="008805BA" w:rsidRPr="00D35701" w:rsidRDefault="008805BA" w:rsidP="008805BA">
                      <w:pPr>
                        <w:pStyle w:val="Caption"/>
                        <w:jc w:val="center"/>
                        <w:rPr>
                          <w:noProof/>
                        </w:rPr>
                      </w:pPr>
                      <w:r>
                        <w:t xml:space="preserve">Figure 4: Expected and Observed Returns for </w:t>
                      </w:r>
                      <w:proofErr w:type="spellStart"/>
                      <w:r>
                        <w:t>Optimised</w:t>
                      </w:r>
                      <w:proofErr w:type="spellEnd"/>
                      <w:r>
                        <w:t xml:space="preserve"> Portfolio</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9E9EF6C" wp14:editId="080BAAAB">
                <wp:simplePos x="0" y="0"/>
                <wp:positionH relativeFrom="margin">
                  <wp:align>left</wp:align>
                </wp:positionH>
                <wp:positionV relativeFrom="paragraph">
                  <wp:posOffset>149860</wp:posOffset>
                </wp:positionV>
                <wp:extent cx="3467100" cy="635"/>
                <wp:effectExtent l="0" t="0" r="0" b="8255"/>
                <wp:wrapSquare wrapText="bothSides"/>
                <wp:docPr id="12" name="Text Box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310227B9" w14:textId="6F58770C" w:rsidR="008805BA" w:rsidRPr="00DE3CB4" w:rsidRDefault="008805BA" w:rsidP="008805BA">
                            <w:pPr>
                              <w:pStyle w:val="Caption"/>
                              <w:jc w:val="center"/>
                              <w:rPr>
                                <w:noProof/>
                              </w:rPr>
                            </w:pPr>
                            <w:r>
                              <w:t xml:space="preserve">Figure 3: </w:t>
                            </w:r>
                            <w:proofErr w:type="spellStart"/>
                            <w:r>
                              <w:t>Optimised</w:t>
                            </w:r>
                            <w:proofErr w:type="spellEnd"/>
                            <w:r>
                              <w:t xml:space="preserve"> Portfolio differentiating factors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E9EF6C" id="Text Box 12" o:spid="_x0000_s1027" type="#_x0000_t202" style="position:absolute;left:0;text-align:left;margin-left:0;margin-top:11.8pt;width:273pt;height:.0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E/pLQIAAGYEAAAOAAAAZHJzL2Uyb0RvYy54bWysVMFu2zAMvQ/YPwi6L07SLRuM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" stroked="f">
                <v:textbox style="mso-fit-shape-to-text:t" inset="0,0,0,0">
                  <w:txbxContent>
                    <w:p w14:paraId="310227B9" w14:textId="6F58770C" w:rsidR="008805BA" w:rsidRPr="00DE3CB4" w:rsidRDefault="008805BA" w:rsidP="008805BA">
                      <w:pPr>
                        <w:pStyle w:val="Caption"/>
                        <w:jc w:val="center"/>
                        <w:rPr>
                          <w:noProof/>
                        </w:rPr>
                      </w:pPr>
                      <w:r>
                        <w:t xml:space="preserve">Figure 3: </w:t>
                      </w:r>
                      <w:proofErr w:type="spellStart"/>
                      <w:r>
                        <w:t>Optimised</w:t>
                      </w:r>
                      <w:proofErr w:type="spellEnd"/>
                      <w:r>
                        <w:t xml:space="preserve"> Portfolio differentiating factors</w:t>
                      </w:r>
                    </w:p>
                  </w:txbxContent>
                </v:textbox>
                <w10:wrap type="square" anchorx="margin"/>
              </v:shape>
            </w:pict>
          </mc:Fallback>
        </mc:AlternateContent>
      </w:r>
      <w:r w:rsidR="006404CF">
        <w:rPr>
          <w:rFonts w:ascii="Times New Roman" w:eastAsia="Times New Roman" w:hAnsi="Times New Roman" w:cs="Times New Roman"/>
          <w:highlight w:val="white"/>
        </w:rPr>
        <w:t>The posteriors</w:t>
      </w:r>
      <w:r>
        <w:rPr>
          <w:rFonts w:ascii="Times New Roman" w:eastAsia="Times New Roman" w:hAnsi="Times New Roman" w:cs="Times New Roman"/>
          <w:highlight w:val="white"/>
        </w:rPr>
        <w:t xml:space="preserve"> in figure 4</w:t>
      </w:r>
      <w:r w:rsidR="006404CF">
        <w:rPr>
          <w:rFonts w:ascii="Times New Roman" w:eastAsia="Times New Roman" w:hAnsi="Times New Roman" w:cs="Times New Roman"/>
          <w:highlight w:val="white"/>
        </w:rPr>
        <w:t xml:space="preserve"> represent our expected returns for these assets. We observe that</w:t>
      </w:r>
      <w:r w:rsidR="006404CF">
        <w:rPr>
          <w:rFonts w:ascii="Times New Roman" w:eastAsia="Times New Roman" w:hAnsi="Times New Roman" w:cs="Times New Roman"/>
          <w:highlight w:val="white"/>
        </w:rPr>
        <w:t xml:space="preserve"> the posteriors are generally larger than the observed returns in 2019, especially for FOLD, GWPH and CRNX. This accounts for the selection of these assets despite their relatively poorer in-sample performance. </w:t>
      </w:r>
    </w:p>
    <w:p w14:paraId="71FC5F01" w14:textId="0837B6C2" w:rsidR="00A6701B" w:rsidRDefault="00A6701B">
      <w:pPr>
        <w:jc w:val="both"/>
        <w:rPr>
          <w:rFonts w:ascii="Times New Roman" w:eastAsia="Times New Roman" w:hAnsi="Times New Roman" w:cs="Times New Roman"/>
          <w:highlight w:val="white"/>
        </w:rPr>
      </w:pPr>
    </w:p>
    <w:p w14:paraId="79D5AFEE" w14:textId="3D05156F" w:rsidR="00A6701B" w:rsidRDefault="008805BA">
      <w:pPr>
        <w:ind w:left="5040"/>
        <w:jc w:val="both"/>
        <w:rPr>
          <w:rFonts w:ascii="Times New Roman" w:eastAsia="Times New Roman" w:hAnsi="Times New Roman" w:cs="Times New Roman"/>
          <w:highlight w:val="white"/>
        </w:rPr>
      </w:pPr>
      <w:r w:rsidRPr="008805BA">
        <w:rPr>
          <w:rFonts w:ascii="Times New Roman" w:hAnsi="Times New Roman" w:cs="Times New Roman"/>
          <w:noProof/>
        </w:rPr>
        <w:lastRenderedPageBreak/>
        <w:drawing>
          <wp:anchor distT="114300" distB="114300" distL="114300" distR="114300" simplePos="0" relativeHeight="251660288" behindDoc="0" locked="0" layoutInCell="1" hidden="0" allowOverlap="1" wp14:anchorId="780A05B3" wp14:editId="7159B45D">
            <wp:simplePos x="0" y="0"/>
            <wp:positionH relativeFrom="margin">
              <wp:align>left</wp:align>
            </wp:positionH>
            <wp:positionV relativeFrom="paragraph">
              <wp:posOffset>17780</wp:posOffset>
            </wp:positionV>
            <wp:extent cx="3281363" cy="1514475"/>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281363" cy="1514475"/>
                    </a:xfrm>
                    <a:prstGeom prst="rect">
                      <a:avLst/>
                    </a:prstGeom>
                    <a:ln/>
                  </pic:spPr>
                </pic:pic>
              </a:graphicData>
            </a:graphic>
          </wp:anchor>
        </w:drawing>
      </w:r>
      <w:r w:rsidRPr="008805BA">
        <w:rPr>
          <w:rFonts w:ascii="Times New Roman" w:hAnsi="Times New Roman" w:cs="Times New Roman"/>
          <w:noProof/>
        </w:rPr>
        <w:t>Figure 5</w:t>
      </w:r>
      <w:r w:rsidR="006404CF">
        <w:rPr>
          <w:rFonts w:ascii="Times New Roman" w:eastAsia="Times New Roman" w:hAnsi="Times New Roman" w:cs="Times New Roman"/>
          <w:highlight w:val="white"/>
        </w:rPr>
        <w:t xml:space="preserve"> shows the assets which ETIH</w:t>
      </w:r>
      <w:r w:rsidR="006404CF">
        <w:rPr>
          <w:rFonts w:ascii="Times New Roman" w:eastAsia="Times New Roman" w:hAnsi="Times New Roman" w:cs="Times New Roman"/>
          <w:highlight w:val="white"/>
        </w:rPr>
        <w:t>X had assigned more weightage to. We observe that the posteriors are generally lower than the observed returns in 2019, especially for ASND which returned 79.7% in 2019. Yet, the BL model had only predicted a future return of 10% for this asset. This makes</w:t>
      </w:r>
      <w:r w:rsidR="006404CF">
        <w:rPr>
          <w:rFonts w:ascii="Times New Roman" w:eastAsia="Times New Roman" w:hAnsi="Times New Roman" w:cs="Times New Roman"/>
          <w:highlight w:val="white"/>
        </w:rPr>
        <w:t xml:space="preserve"> sense as we do not expect such high returns to continue in the future.  </w:t>
      </w:r>
    </w:p>
    <w:p w14:paraId="15CB465C" w14:textId="071414DA" w:rsidR="00A6701B" w:rsidRDefault="008805BA">
      <w:pPr>
        <w:jc w:val="both"/>
        <w:rPr>
          <w:rFonts w:ascii="Times New Roman" w:eastAsia="Times New Roman" w:hAnsi="Times New Roman" w:cs="Times New Roman"/>
          <w:highlight w:val="white"/>
        </w:rPr>
      </w:pPr>
      <w:r w:rsidRPr="008805B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0B800BD" wp14:editId="28709449">
                <wp:simplePos x="0" y="0"/>
                <wp:positionH relativeFrom="margin">
                  <wp:align>left</wp:align>
                </wp:positionH>
                <wp:positionV relativeFrom="paragraph">
                  <wp:posOffset>12700</wp:posOffset>
                </wp:positionV>
                <wp:extent cx="3281045" cy="63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3281045" cy="635"/>
                        </a:xfrm>
                        <a:prstGeom prst="rect">
                          <a:avLst/>
                        </a:prstGeom>
                        <a:solidFill>
                          <a:prstClr val="white"/>
                        </a:solidFill>
                        <a:ln>
                          <a:noFill/>
                        </a:ln>
                      </wps:spPr>
                      <wps:txbx>
                        <w:txbxContent>
                          <w:p w14:paraId="7C831775" w14:textId="3062FC4E" w:rsidR="008805BA" w:rsidRPr="0042727E" w:rsidRDefault="008805BA" w:rsidP="008805BA">
                            <w:pPr>
                              <w:pStyle w:val="Caption"/>
                              <w:rPr>
                                <w:noProof/>
                              </w:rPr>
                            </w:pPr>
                            <w:r>
                              <w:t>Figure 5: Expected and Observed Returns for ETIHX Portfolio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800BD" id="Text Box 14" o:spid="_x0000_s1028" type="#_x0000_t202" style="position:absolute;left:0;text-align:left;margin-left:0;margin-top:1pt;width:258.3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" stroked="f">
                <v:textbox style="mso-fit-shape-to-text:t" inset="0,0,0,0">
                  <w:txbxContent>
                    <w:p w14:paraId="7C831775" w14:textId="3062FC4E" w:rsidR="008805BA" w:rsidRPr="0042727E" w:rsidRDefault="008805BA" w:rsidP="008805BA">
                      <w:pPr>
                        <w:pStyle w:val="Caption"/>
                        <w:rPr>
                          <w:noProof/>
                        </w:rPr>
                      </w:pPr>
                      <w:r>
                        <w:t>Figure 5: Expected and Observed Returns for ETIHX Portfolio</w:t>
                      </w:r>
                    </w:p>
                  </w:txbxContent>
                </v:textbox>
                <w10:wrap type="square" anchorx="margin"/>
              </v:shape>
            </w:pict>
          </mc:Fallback>
        </mc:AlternateContent>
      </w:r>
    </w:p>
    <w:p w14:paraId="6F38A576" w14:textId="6B308338" w:rsidR="008805BA" w:rsidRDefault="008805BA">
      <w:pPr>
        <w:jc w:val="both"/>
        <w:rPr>
          <w:rFonts w:ascii="Times New Roman" w:eastAsia="Times New Roman" w:hAnsi="Times New Roman" w:cs="Times New Roman"/>
          <w:highlight w:val="white"/>
        </w:rPr>
      </w:pPr>
    </w:p>
    <w:p w14:paraId="3F26F627" w14:textId="77777777" w:rsidR="008805BA" w:rsidRDefault="008805BA">
      <w:pPr>
        <w:jc w:val="both"/>
        <w:rPr>
          <w:rFonts w:ascii="Times New Roman" w:eastAsia="Times New Roman" w:hAnsi="Times New Roman" w:cs="Times New Roman"/>
          <w:highlight w:val="white"/>
        </w:rPr>
      </w:pPr>
    </w:p>
    <w:p w14:paraId="4AAF548A" w14:textId="1FFDBA2B" w:rsidR="00A6701B" w:rsidRPr="009564E0" w:rsidRDefault="006404CF">
      <w:pPr>
        <w:jc w:val="both"/>
        <w:rPr>
          <w:rFonts w:ascii="Times New Roman" w:eastAsia="Times New Roman" w:hAnsi="Times New Roman" w:cs="Times New Roman"/>
          <w:i/>
          <w:highlight w:val="white"/>
        </w:rPr>
      </w:pPr>
      <w:r>
        <w:rPr>
          <w:rFonts w:ascii="Times New Roman" w:eastAsia="Times New Roman" w:hAnsi="Times New Roman" w:cs="Times New Roman"/>
          <w:i/>
          <w:highlight w:val="white"/>
        </w:rPr>
        <w:t>Out of Sample Analysis</w:t>
      </w:r>
    </w:p>
    <w:p w14:paraId="5C7494FC" w14:textId="77777777" w:rsidR="008805BA" w:rsidRDefault="006404CF" w:rsidP="008805BA">
      <w:pPr>
        <w:keepNext/>
        <w:jc w:val="both"/>
      </w:pPr>
      <w:r>
        <w:rPr>
          <w:rFonts w:ascii="Times New Roman" w:eastAsia="Times New Roman" w:hAnsi="Times New Roman" w:cs="Times New Roman"/>
          <w:noProof/>
          <w:highlight w:val="white"/>
        </w:rPr>
        <w:drawing>
          <wp:inline distT="114300" distB="114300" distL="114300" distR="114300" wp14:anchorId="4193C702" wp14:editId="25CF6260">
            <wp:extent cx="5962650" cy="2314575"/>
            <wp:effectExtent l="0" t="0" r="0" b="9525"/>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62650" cy="2314575"/>
                    </a:xfrm>
                    <a:prstGeom prst="rect">
                      <a:avLst/>
                    </a:prstGeom>
                    <a:ln/>
                  </pic:spPr>
                </pic:pic>
              </a:graphicData>
            </a:graphic>
          </wp:inline>
        </w:drawing>
      </w:r>
    </w:p>
    <w:p w14:paraId="434B0155" w14:textId="1367A0B1" w:rsidR="00A6701B" w:rsidRDefault="008805BA" w:rsidP="008805BA">
      <w:pPr>
        <w:pStyle w:val="Caption"/>
        <w:jc w:val="center"/>
        <w:rPr>
          <w:rFonts w:ascii="Times New Roman" w:eastAsia="Times New Roman" w:hAnsi="Times New Roman" w:cs="Times New Roman"/>
          <w:highlight w:val="white"/>
        </w:rPr>
      </w:pPr>
      <w:r>
        <w:t>Figure 6: Out-of-sample returns</w:t>
      </w:r>
    </w:p>
    <w:p w14:paraId="2F7EF37F" w14:textId="462D53AB" w:rsidR="00A6701B" w:rsidRDefault="008805BA">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In figure 6, we</w:t>
      </w:r>
      <w:r w:rsidR="006404CF">
        <w:rPr>
          <w:rFonts w:ascii="Times New Roman" w:eastAsia="Times New Roman" w:hAnsi="Times New Roman" w:cs="Times New Roman"/>
          <w:highlight w:val="white"/>
        </w:rPr>
        <w:t xml:space="preserve"> observe that both our </w:t>
      </w:r>
      <w:proofErr w:type="spellStart"/>
      <w:r w:rsidR="006404CF">
        <w:rPr>
          <w:rFonts w:ascii="Times New Roman" w:eastAsia="Times New Roman" w:hAnsi="Times New Roman" w:cs="Times New Roman"/>
          <w:highlight w:val="white"/>
        </w:rPr>
        <w:t>optimised</w:t>
      </w:r>
      <w:proofErr w:type="spellEnd"/>
      <w:r w:rsidR="006404CF">
        <w:rPr>
          <w:rFonts w:ascii="Times New Roman" w:eastAsia="Times New Roman" w:hAnsi="Times New Roman" w:cs="Times New Roman"/>
          <w:highlight w:val="white"/>
        </w:rPr>
        <w:t xml:space="preserve"> portfolio and ETIHX performed significantly worse than RYCFX. This is likely due to</w:t>
      </w:r>
      <w:r w:rsidR="006404CF">
        <w:rPr>
          <w:rFonts w:ascii="Times New Roman" w:eastAsia="Times New Roman" w:hAnsi="Times New Roman" w:cs="Times New Roman"/>
          <w:highlight w:val="white"/>
        </w:rPr>
        <w:t xml:space="preserve"> RYCFX’s portfolio gene</w:t>
      </w:r>
      <w:r w:rsidR="006404CF">
        <w:rPr>
          <w:rFonts w:ascii="Times New Roman" w:eastAsia="Times New Roman" w:hAnsi="Times New Roman" w:cs="Times New Roman"/>
          <w:highlight w:val="white"/>
        </w:rPr>
        <w:t xml:space="preserve">rally comprises larger companies who were able to better weather the sudden onset of the COVID-19 pandemic. Comparing our </w:t>
      </w:r>
      <w:proofErr w:type="spellStart"/>
      <w:r w:rsidR="006404CF">
        <w:rPr>
          <w:rFonts w:ascii="Times New Roman" w:eastAsia="Times New Roman" w:hAnsi="Times New Roman" w:cs="Times New Roman"/>
          <w:highlight w:val="white"/>
        </w:rPr>
        <w:t>optimised</w:t>
      </w:r>
      <w:proofErr w:type="spellEnd"/>
      <w:r w:rsidR="006404CF">
        <w:rPr>
          <w:rFonts w:ascii="Times New Roman" w:eastAsia="Times New Roman" w:hAnsi="Times New Roman" w:cs="Times New Roman"/>
          <w:highlight w:val="white"/>
        </w:rPr>
        <w:t xml:space="preserve"> portfolio against ETIHX, their performances are almost identical despite assigning different weightages to various assets. </w:t>
      </w:r>
    </w:p>
    <w:p w14:paraId="34500BE8" w14:textId="77777777" w:rsidR="00A6701B" w:rsidRDefault="00A6701B">
      <w:pPr>
        <w:jc w:val="both"/>
        <w:rPr>
          <w:rFonts w:ascii="Times New Roman" w:eastAsia="Times New Roman" w:hAnsi="Times New Roman" w:cs="Times New Roman"/>
          <w:highlight w:val="white"/>
        </w:rPr>
      </w:pPr>
    </w:p>
    <w:p w14:paraId="7C922549" w14:textId="77777777" w:rsidR="009564E0" w:rsidRDefault="006404CF" w:rsidP="009564E0">
      <w:pPr>
        <w:keepNext/>
        <w:jc w:val="both"/>
      </w:pPr>
      <w:r>
        <w:rPr>
          <w:rFonts w:ascii="Times New Roman" w:eastAsia="Times New Roman" w:hAnsi="Times New Roman" w:cs="Times New Roman"/>
          <w:noProof/>
          <w:highlight w:val="white"/>
        </w:rPr>
        <w:drawing>
          <wp:inline distT="114300" distB="114300" distL="114300" distR="114300" wp14:anchorId="746B233B" wp14:editId="7A60243D">
            <wp:extent cx="5724525" cy="2076450"/>
            <wp:effectExtent l="0" t="0" r="9525"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24525" cy="2076450"/>
                    </a:xfrm>
                    <a:prstGeom prst="rect">
                      <a:avLst/>
                    </a:prstGeom>
                    <a:ln/>
                  </pic:spPr>
                </pic:pic>
              </a:graphicData>
            </a:graphic>
          </wp:inline>
        </w:drawing>
      </w:r>
    </w:p>
    <w:p w14:paraId="0DAD5330" w14:textId="0A3C6606" w:rsidR="009564E0" w:rsidRDefault="009564E0" w:rsidP="009564E0">
      <w:pPr>
        <w:pStyle w:val="Caption"/>
        <w:jc w:val="center"/>
      </w:pPr>
      <w:r>
        <w:t>Figure 7: Asset Returns</w:t>
      </w:r>
    </w:p>
    <w:p w14:paraId="7DE582AB" w14:textId="617EEE29"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 The reasons for their identical performance </w:t>
      </w:r>
      <w:r w:rsidR="009564E0">
        <w:rPr>
          <w:rFonts w:ascii="Times New Roman" w:eastAsia="Times New Roman" w:hAnsi="Times New Roman" w:cs="Times New Roman"/>
          <w:highlight w:val="white"/>
        </w:rPr>
        <w:t>become</w:t>
      </w:r>
      <w:r>
        <w:rPr>
          <w:rFonts w:ascii="Times New Roman" w:eastAsia="Times New Roman" w:hAnsi="Times New Roman" w:cs="Times New Roman"/>
          <w:highlight w:val="white"/>
        </w:rPr>
        <w:t xml:space="preserve"> apparent when we plot the individual asset returns in 2020</w:t>
      </w:r>
      <w:r w:rsidR="009564E0">
        <w:rPr>
          <w:rFonts w:ascii="Times New Roman" w:eastAsia="Times New Roman" w:hAnsi="Times New Roman" w:cs="Times New Roman"/>
          <w:highlight w:val="white"/>
        </w:rPr>
        <w:t>. In figure 7,</w:t>
      </w:r>
      <w:r>
        <w:rPr>
          <w:rFonts w:ascii="Times New Roman" w:eastAsia="Times New Roman" w:hAnsi="Times New Roman" w:cs="Times New Roman"/>
          <w:highlight w:val="white"/>
        </w:rPr>
        <w:t xml:space="preserve"> we observe that the assets appear to have moved in tandem with each other for the first 6 months of 2020. Our visual analysis is confirmed</w:t>
      </w:r>
      <w:r>
        <w:rPr>
          <w:rFonts w:ascii="Times New Roman" w:eastAsia="Times New Roman" w:hAnsi="Times New Roman" w:cs="Times New Roman"/>
          <w:highlight w:val="white"/>
        </w:rPr>
        <w:t xml:space="preserve"> when we plot the correlation matrix, observing significantly higher correlation in 2020 as compared to in 2019. This strong correlation indicates a high systemic risk associated with our selected basket of assets. Diversification effects will not be as ef</w:t>
      </w:r>
      <w:r>
        <w:rPr>
          <w:rFonts w:ascii="Times New Roman" w:eastAsia="Times New Roman" w:hAnsi="Times New Roman" w:cs="Times New Roman"/>
          <w:highlight w:val="white"/>
        </w:rPr>
        <w:t xml:space="preserve">fective while employing a long-only strategy. </w:t>
      </w:r>
    </w:p>
    <w:p w14:paraId="68D2CD95" w14:textId="77777777" w:rsidR="00A6701B" w:rsidRDefault="00A6701B">
      <w:pPr>
        <w:jc w:val="both"/>
        <w:rPr>
          <w:rFonts w:ascii="Times New Roman" w:eastAsia="Times New Roman" w:hAnsi="Times New Roman" w:cs="Times New Roman"/>
          <w:highlight w:val="white"/>
        </w:rPr>
      </w:pPr>
    </w:p>
    <w:p w14:paraId="51D0F11D" w14:textId="77777777" w:rsidR="009564E0" w:rsidRDefault="006404CF" w:rsidP="009564E0">
      <w:pPr>
        <w:keepNext/>
        <w:jc w:val="both"/>
      </w:pPr>
      <w:r>
        <w:rPr>
          <w:rFonts w:ascii="Times New Roman" w:eastAsia="Times New Roman" w:hAnsi="Times New Roman" w:cs="Times New Roman"/>
          <w:noProof/>
        </w:rPr>
        <w:drawing>
          <wp:inline distT="114300" distB="114300" distL="114300" distR="114300" wp14:anchorId="4BC34E1B" wp14:editId="1E98392D">
            <wp:extent cx="5943600" cy="2501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2501900"/>
                    </a:xfrm>
                    <a:prstGeom prst="rect">
                      <a:avLst/>
                    </a:prstGeom>
                    <a:ln/>
                  </pic:spPr>
                </pic:pic>
              </a:graphicData>
            </a:graphic>
          </wp:inline>
        </w:drawing>
      </w:r>
    </w:p>
    <w:p w14:paraId="7A25C9E2" w14:textId="7AEEA707" w:rsidR="00A6701B" w:rsidRDefault="009564E0" w:rsidP="009564E0">
      <w:pPr>
        <w:pStyle w:val="Caption"/>
        <w:jc w:val="center"/>
        <w:rPr>
          <w:rFonts w:ascii="Times New Roman" w:eastAsia="Times New Roman" w:hAnsi="Times New Roman" w:cs="Times New Roman"/>
        </w:rPr>
      </w:pPr>
      <w:r>
        <w:t xml:space="preserve">Figure 8: Portfolio 5% </w:t>
      </w:r>
      <w:proofErr w:type="spellStart"/>
      <w:r>
        <w:t>VaR</w:t>
      </w:r>
      <w:proofErr w:type="spellEnd"/>
      <w:r>
        <w:t xml:space="preserve"> by Parametric Approach</w:t>
      </w:r>
    </w:p>
    <w:p w14:paraId="16BECD81" w14:textId="71721836" w:rsidR="00A6701B" w:rsidRDefault="009564E0">
      <w:pPr>
        <w:jc w:val="both"/>
        <w:rPr>
          <w:rFonts w:ascii="Times New Roman" w:eastAsia="Times New Roman" w:hAnsi="Times New Roman" w:cs="Times New Roman"/>
        </w:rPr>
      </w:pPr>
      <w:r>
        <w:rPr>
          <w:rFonts w:ascii="Times New Roman" w:eastAsia="Times New Roman" w:hAnsi="Times New Roman" w:cs="Times New Roman"/>
        </w:rPr>
        <w:t>In figure 8, w</w:t>
      </w:r>
      <w:r w:rsidR="006404CF">
        <w:rPr>
          <w:rFonts w:ascii="Times New Roman" w:eastAsia="Times New Roman" w:hAnsi="Times New Roman" w:cs="Times New Roman"/>
        </w:rPr>
        <w:t xml:space="preserve">e also observe that our portfolio’s </w:t>
      </w:r>
      <w:proofErr w:type="spellStart"/>
      <w:r w:rsidR="006404CF">
        <w:rPr>
          <w:rFonts w:ascii="Times New Roman" w:eastAsia="Times New Roman" w:hAnsi="Times New Roman" w:cs="Times New Roman"/>
        </w:rPr>
        <w:t>VaR</w:t>
      </w:r>
      <w:proofErr w:type="spellEnd"/>
      <w:r w:rsidR="006404CF">
        <w:rPr>
          <w:rFonts w:ascii="Times New Roman" w:eastAsia="Times New Roman" w:hAnsi="Times New Roman" w:cs="Times New Roman"/>
        </w:rPr>
        <w:t xml:space="preserve"> was significantly higher after March 2020. Historical volatility observed in 2019 was not a good proxy for predicting future volatility in 2020. The risk of our port</w:t>
      </w:r>
      <w:r w:rsidR="006404CF">
        <w:rPr>
          <w:rFonts w:ascii="Times New Roman" w:eastAsia="Times New Roman" w:hAnsi="Times New Roman" w:cs="Times New Roman"/>
        </w:rPr>
        <w:t xml:space="preserve">folio also increased from 25.6% in 2019 to 56.4% in 2020. </w:t>
      </w:r>
    </w:p>
    <w:p w14:paraId="30DE7EA5" w14:textId="77777777" w:rsidR="00A6701B" w:rsidRDefault="00A6701B">
      <w:pPr>
        <w:jc w:val="both"/>
        <w:rPr>
          <w:rFonts w:ascii="Times New Roman" w:eastAsia="Times New Roman" w:hAnsi="Times New Roman" w:cs="Times New Roman"/>
        </w:rPr>
      </w:pPr>
    </w:p>
    <w:p w14:paraId="62AD3CEE" w14:textId="77777777" w:rsidR="00A6701B" w:rsidRDefault="006404CF">
      <w:pPr>
        <w:jc w:val="both"/>
        <w:rPr>
          <w:rFonts w:ascii="Times New Roman" w:eastAsia="Times New Roman" w:hAnsi="Times New Roman" w:cs="Times New Roman"/>
          <w:i/>
        </w:rPr>
      </w:pPr>
      <w:r>
        <w:rPr>
          <w:rFonts w:ascii="Times New Roman" w:eastAsia="Times New Roman" w:hAnsi="Times New Roman" w:cs="Times New Roman"/>
          <w:i/>
        </w:rPr>
        <w:t>Limitations of current approach</w:t>
      </w:r>
    </w:p>
    <w:p w14:paraId="2B07711F" w14:textId="77777777" w:rsidR="00A6701B" w:rsidRDefault="00A6701B">
      <w:pPr>
        <w:jc w:val="both"/>
        <w:rPr>
          <w:rFonts w:ascii="Times New Roman" w:eastAsia="Times New Roman" w:hAnsi="Times New Roman" w:cs="Times New Roman"/>
          <w:i/>
        </w:rPr>
      </w:pPr>
    </w:p>
    <w:p w14:paraId="578B7300" w14:textId="77777777" w:rsidR="00A6701B" w:rsidRDefault="006404CF">
      <w:pPr>
        <w:jc w:val="both"/>
        <w:rPr>
          <w:rFonts w:ascii="Times New Roman" w:eastAsia="Times New Roman" w:hAnsi="Times New Roman" w:cs="Times New Roman"/>
        </w:rPr>
      </w:pPr>
      <w:r>
        <w:rPr>
          <w:rFonts w:ascii="Times New Roman" w:eastAsia="Times New Roman" w:hAnsi="Times New Roman" w:cs="Times New Roman"/>
        </w:rPr>
        <w:t xml:space="preserve">Firstly, our </w:t>
      </w:r>
      <w:proofErr w:type="spellStart"/>
      <w:r>
        <w:rPr>
          <w:rFonts w:ascii="Times New Roman" w:eastAsia="Times New Roman" w:hAnsi="Times New Roman" w:cs="Times New Roman"/>
        </w:rPr>
        <w:t>optimisation</w:t>
      </w:r>
      <w:proofErr w:type="spellEnd"/>
      <w:r>
        <w:rPr>
          <w:rFonts w:ascii="Times New Roman" w:eastAsia="Times New Roman" w:hAnsi="Times New Roman" w:cs="Times New Roman"/>
        </w:rPr>
        <w:t xml:space="preserve"> is largely dependent on the output of the BL model. There is a considerable amount of subjectivity in this framework when deciding which </w:t>
      </w:r>
      <w:r>
        <w:rPr>
          <w:rFonts w:ascii="Times New Roman" w:eastAsia="Times New Roman" w:hAnsi="Times New Roman" w:cs="Times New Roman"/>
        </w:rPr>
        <w:t>analysts’ target prices to select and the respective confidences assigned. While our approach is quantitative in output, there are still some qualitative aspects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how much weight to give an analyst’s prediction) which requires specific domain knowledge</w:t>
      </w:r>
      <w:r>
        <w:rPr>
          <w:rFonts w:ascii="Times New Roman" w:eastAsia="Times New Roman" w:hAnsi="Times New Roman" w:cs="Times New Roman"/>
        </w:rPr>
        <w:t>.</w:t>
      </w:r>
    </w:p>
    <w:p w14:paraId="1BC79E72" w14:textId="77777777" w:rsidR="00A6701B" w:rsidRDefault="00A6701B">
      <w:pPr>
        <w:jc w:val="both"/>
        <w:rPr>
          <w:rFonts w:ascii="Times New Roman" w:eastAsia="Times New Roman" w:hAnsi="Times New Roman" w:cs="Times New Roman"/>
        </w:rPr>
      </w:pPr>
    </w:p>
    <w:p w14:paraId="54162DEA" w14:textId="77777777" w:rsidR="00A6701B" w:rsidRDefault="006404CF">
      <w:pPr>
        <w:jc w:val="both"/>
        <w:rPr>
          <w:rFonts w:ascii="Times New Roman" w:eastAsia="Times New Roman" w:hAnsi="Times New Roman" w:cs="Times New Roman"/>
        </w:rPr>
      </w:pPr>
      <w:r>
        <w:rPr>
          <w:rFonts w:ascii="Times New Roman" w:eastAsia="Times New Roman" w:hAnsi="Times New Roman" w:cs="Times New Roman"/>
        </w:rPr>
        <w:t xml:space="preserve">Next, the basket of assets we consider for our </w:t>
      </w:r>
      <w:proofErr w:type="spellStart"/>
      <w:r>
        <w:rPr>
          <w:rFonts w:ascii="Times New Roman" w:eastAsia="Times New Roman" w:hAnsi="Times New Roman" w:cs="Times New Roman"/>
        </w:rPr>
        <w:t>optimisation</w:t>
      </w:r>
      <w:proofErr w:type="spellEnd"/>
      <w:r>
        <w:rPr>
          <w:rFonts w:ascii="Times New Roman" w:eastAsia="Times New Roman" w:hAnsi="Times New Roman" w:cs="Times New Roman"/>
        </w:rPr>
        <w:t xml:space="preserve"> have a strong systemic risk associated with each of them. This is by design of the problem, as we have constrained our project to selecting assets from a specific sector. As seen in 2020, the r</w:t>
      </w:r>
      <w:r>
        <w:rPr>
          <w:rFonts w:ascii="Times New Roman" w:eastAsia="Times New Roman" w:hAnsi="Times New Roman" w:cs="Times New Roman"/>
        </w:rPr>
        <w:t xml:space="preserve">isk associated with these assets was systemic and there was little firm-specific risk observed. In this scenario, asset diversification alone may not be the most effective risk management strategy. Other risk management strategies, such as hedging, may be </w:t>
      </w:r>
      <w:r>
        <w:rPr>
          <w:rFonts w:ascii="Times New Roman" w:eastAsia="Times New Roman" w:hAnsi="Times New Roman" w:cs="Times New Roman"/>
        </w:rPr>
        <w:t xml:space="preserve">considered. </w:t>
      </w:r>
    </w:p>
    <w:p w14:paraId="71EC542E" w14:textId="77777777" w:rsidR="00A6701B" w:rsidRDefault="00A6701B">
      <w:pPr>
        <w:jc w:val="both"/>
        <w:rPr>
          <w:rFonts w:ascii="Times New Roman" w:eastAsia="Times New Roman" w:hAnsi="Times New Roman" w:cs="Times New Roman"/>
          <w:highlight w:val="white"/>
        </w:rPr>
      </w:pPr>
    </w:p>
    <w:p w14:paraId="12665150" w14:textId="77777777" w:rsidR="00A6701B" w:rsidRDefault="006404CF">
      <w:p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Further Adjustments</w:t>
      </w:r>
    </w:p>
    <w:p w14:paraId="7A4A336A" w14:textId="77777777"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To make further adjustments to our ‘optimal portfolio’, we modify the assigned weights after looking through the current pipeline of each company. An understanding of the company’s pipeline and the phases a company’s drug candidates are in also provides in</w:t>
      </w:r>
      <w:r>
        <w:rPr>
          <w:rFonts w:ascii="Times New Roman" w:eastAsia="Times New Roman" w:hAnsi="Times New Roman" w:cs="Times New Roman"/>
          <w:highlight w:val="white"/>
        </w:rPr>
        <w:t xml:space="preserve">vestors means to evaluate the risks and returns involved. The following 2 companies show a positive outlook and should be assigned a higher weightage: </w:t>
      </w:r>
    </w:p>
    <w:p w14:paraId="0BA3630C" w14:textId="77777777" w:rsidR="00A6701B" w:rsidRDefault="00A6701B">
      <w:pPr>
        <w:jc w:val="both"/>
        <w:rPr>
          <w:rFonts w:ascii="Times New Roman" w:eastAsia="Times New Roman" w:hAnsi="Times New Roman" w:cs="Times New Roman"/>
          <w:highlight w:val="white"/>
        </w:rPr>
      </w:pPr>
    </w:p>
    <w:p w14:paraId="161B6874" w14:textId="77777777" w:rsidR="00A6701B" w:rsidRDefault="006404CF">
      <w:pPr>
        <w:numPr>
          <w:ilvl w:val="0"/>
          <w:numId w:val="3"/>
        </w:numPr>
        <w:jc w:val="both"/>
        <w:rPr>
          <w:highlight w:val="white"/>
        </w:rPr>
      </w:pPr>
      <w:r>
        <w:rPr>
          <w:rFonts w:ascii="Times New Roman" w:eastAsia="Times New Roman" w:hAnsi="Times New Roman" w:cs="Times New Roman"/>
          <w:highlight w:val="white"/>
        </w:rPr>
        <w:t xml:space="preserve">Galapagos NV </w:t>
      </w:r>
      <w:r>
        <w:rPr>
          <w:rFonts w:ascii="Times New Roman" w:eastAsia="Times New Roman" w:hAnsi="Times New Roman" w:cs="Times New Roman"/>
          <w:b/>
          <w:highlight w:val="white"/>
        </w:rPr>
        <w:t>(GLPG)</w:t>
      </w:r>
      <w:r>
        <w:rPr>
          <w:rFonts w:ascii="Times New Roman" w:eastAsia="Times New Roman" w:hAnsi="Times New Roman" w:cs="Times New Roman"/>
          <w:highlight w:val="white"/>
        </w:rPr>
        <w:t>, current portfolio weight: 3.4%</w:t>
      </w:r>
    </w:p>
    <w:p w14:paraId="3482DA3F" w14:textId="77777777" w:rsidR="00A6701B" w:rsidRDefault="006404CF">
      <w:pPr>
        <w:numPr>
          <w:ilvl w:val="0"/>
          <w:numId w:val="3"/>
        </w:numPr>
        <w:jc w:val="both"/>
        <w:rPr>
          <w:highlight w:val="white"/>
        </w:rPr>
      </w:pPr>
      <w:proofErr w:type="spellStart"/>
      <w:r>
        <w:rPr>
          <w:rFonts w:ascii="Times New Roman" w:eastAsia="Times New Roman" w:hAnsi="Times New Roman" w:cs="Times New Roman"/>
          <w:highlight w:val="white"/>
        </w:rPr>
        <w:t>Neurocrine</w:t>
      </w:r>
      <w:proofErr w:type="spellEnd"/>
      <w:r>
        <w:rPr>
          <w:rFonts w:ascii="Times New Roman" w:eastAsia="Times New Roman" w:hAnsi="Times New Roman" w:cs="Times New Roman"/>
          <w:highlight w:val="white"/>
        </w:rPr>
        <w:t xml:space="preserve"> Biosciences </w:t>
      </w:r>
      <w:r>
        <w:rPr>
          <w:rFonts w:ascii="Times New Roman" w:eastAsia="Times New Roman" w:hAnsi="Times New Roman" w:cs="Times New Roman"/>
          <w:b/>
          <w:highlight w:val="white"/>
        </w:rPr>
        <w:t xml:space="preserve">(NBIX), </w:t>
      </w:r>
      <w:r>
        <w:rPr>
          <w:rFonts w:ascii="Times New Roman" w:eastAsia="Times New Roman" w:hAnsi="Times New Roman" w:cs="Times New Roman"/>
          <w:highlight w:val="white"/>
        </w:rPr>
        <w:t>current portfolio weight: 5.7%</w:t>
      </w:r>
    </w:p>
    <w:p w14:paraId="1AFB6DE4" w14:textId="77777777" w:rsidR="00A6701B" w:rsidRDefault="00A6701B">
      <w:pPr>
        <w:jc w:val="both"/>
        <w:rPr>
          <w:rFonts w:ascii="Times New Roman" w:eastAsia="Times New Roman" w:hAnsi="Times New Roman" w:cs="Times New Roman"/>
          <w:highlight w:val="white"/>
        </w:rPr>
      </w:pPr>
    </w:p>
    <w:p w14:paraId="3AB396D9" w14:textId="77777777"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Firstly, GLPG has made substantial progress in the past few months despite the global pandemic. In addition to seeing “positive topline data for the SELECTION Phase 3 program in ulcerative colitis (UC)”, they have also added</w:t>
      </w:r>
      <w:r>
        <w:rPr>
          <w:rFonts w:ascii="Times New Roman" w:eastAsia="Times New Roman" w:hAnsi="Times New Roman" w:cs="Times New Roman"/>
          <w:highlight w:val="white"/>
        </w:rPr>
        <w:t xml:space="preserve"> 2 more preclinical candidates to their pipeline and finished preparing for multiple new clinical trials. Although GLPG’s market value suffered a drop earlier due to failure in obtaining approval from FDA for </w:t>
      </w:r>
      <w:proofErr w:type="spellStart"/>
      <w:r>
        <w:rPr>
          <w:rFonts w:ascii="Times New Roman" w:eastAsia="Times New Roman" w:hAnsi="Times New Roman" w:cs="Times New Roman"/>
          <w:highlight w:val="white"/>
        </w:rPr>
        <w:t>filgotinib</w:t>
      </w:r>
      <w:proofErr w:type="spellEnd"/>
      <w:r>
        <w:rPr>
          <w:rFonts w:ascii="Times New Roman" w:eastAsia="Times New Roman" w:hAnsi="Times New Roman" w:cs="Times New Roman"/>
          <w:highlight w:val="white"/>
        </w:rPr>
        <w:t>, the “positive opinion from a Europe</w:t>
      </w:r>
      <w:r>
        <w:rPr>
          <w:rFonts w:ascii="Times New Roman" w:eastAsia="Times New Roman" w:hAnsi="Times New Roman" w:cs="Times New Roman"/>
          <w:highlight w:val="white"/>
        </w:rPr>
        <w:t>an Medicines Agency committee”, gives us greater confidence in seeing a breakthrough</w:t>
      </w:r>
      <w:r>
        <w:rPr>
          <w:rFonts w:ascii="Times New Roman" w:eastAsia="Times New Roman" w:hAnsi="Times New Roman" w:cs="Times New Roman"/>
          <w:highlight w:val="white"/>
          <w:vertAlign w:val="superscript"/>
        </w:rPr>
        <w:footnoteReference w:id="5"/>
      </w:r>
      <w:r>
        <w:rPr>
          <w:rFonts w:ascii="Times New Roman" w:eastAsia="Times New Roman" w:hAnsi="Times New Roman" w:cs="Times New Roman"/>
          <w:highlight w:val="white"/>
        </w:rPr>
        <w:t xml:space="preserve">. Not to mention, the significant unmet needs of patients with rheumatoid arthritis will continue to drive the demand for </w:t>
      </w:r>
      <w:proofErr w:type="spellStart"/>
      <w:r>
        <w:rPr>
          <w:rFonts w:ascii="Times New Roman" w:eastAsia="Times New Roman" w:hAnsi="Times New Roman" w:cs="Times New Roman"/>
          <w:highlight w:val="white"/>
        </w:rPr>
        <w:t>filgotinib</w:t>
      </w:r>
      <w:proofErr w:type="spellEnd"/>
      <w:r>
        <w:rPr>
          <w:rFonts w:ascii="Times New Roman" w:eastAsia="Times New Roman" w:hAnsi="Times New Roman" w:cs="Times New Roman"/>
          <w:highlight w:val="white"/>
        </w:rPr>
        <w:t xml:space="preserve"> and this makes us optimistic about th</w:t>
      </w:r>
      <w:r>
        <w:rPr>
          <w:rFonts w:ascii="Times New Roman" w:eastAsia="Times New Roman" w:hAnsi="Times New Roman" w:cs="Times New Roman"/>
          <w:highlight w:val="white"/>
        </w:rPr>
        <w:t xml:space="preserve">e growth potential of GLPG. </w:t>
      </w:r>
    </w:p>
    <w:p w14:paraId="16AEE690" w14:textId="77777777" w:rsidR="00A6701B" w:rsidRDefault="00A6701B">
      <w:pPr>
        <w:jc w:val="both"/>
        <w:rPr>
          <w:rFonts w:ascii="Times New Roman" w:eastAsia="Times New Roman" w:hAnsi="Times New Roman" w:cs="Times New Roman"/>
          <w:highlight w:val="white"/>
        </w:rPr>
      </w:pPr>
    </w:p>
    <w:p w14:paraId="4ECFF316" w14:textId="555B372A"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Secondly, NBIX investors can look forward to a boost in revenues following the launch of the new Parkinson's Disease drug, </w:t>
      </w:r>
      <w:proofErr w:type="spellStart"/>
      <w:r>
        <w:rPr>
          <w:rFonts w:ascii="Times New Roman" w:eastAsia="Times New Roman" w:hAnsi="Times New Roman" w:cs="Times New Roman"/>
          <w:highlight w:val="white"/>
        </w:rPr>
        <w:t>Ongentys</w:t>
      </w:r>
      <w:proofErr w:type="spellEnd"/>
      <w:r>
        <w:rPr>
          <w:rFonts w:ascii="Times New Roman" w:eastAsia="Times New Roman" w:hAnsi="Times New Roman" w:cs="Times New Roman"/>
          <w:highlight w:val="white"/>
        </w:rPr>
        <w:t xml:space="preserve">. Having successfully overcome the supply chain bottleneck, NBIX is ready to market </w:t>
      </w:r>
      <w:proofErr w:type="spellStart"/>
      <w:r>
        <w:rPr>
          <w:rFonts w:ascii="Times New Roman" w:eastAsia="Times New Roman" w:hAnsi="Times New Roman" w:cs="Times New Roman"/>
          <w:highlight w:val="white"/>
        </w:rPr>
        <w:t>Ongentys</w:t>
      </w:r>
      <w:proofErr w:type="spellEnd"/>
      <w:r>
        <w:rPr>
          <w:rFonts w:ascii="Times New Roman" w:eastAsia="Times New Roman" w:hAnsi="Times New Roman" w:cs="Times New Roman"/>
          <w:highlight w:val="white"/>
        </w:rPr>
        <w:t>, w</w:t>
      </w:r>
      <w:r>
        <w:rPr>
          <w:rFonts w:ascii="Times New Roman" w:eastAsia="Times New Roman" w:hAnsi="Times New Roman" w:cs="Times New Roman"/>
          <w:highlight w:val="white"/>
        </w:rPr>
        <w:t xml:space="preserve">hich is to be consumed together with levodopa, as COVID-19 restrictions are being relaxed gradually. Notably, the demand for </w:t>
      </w:r>
      <w:proofErr w:type="spellStart"/>
      <w:r>
        <w:rPr>
          <w:rFonts w:ascii="Times New Roman" w:eastAsia="Times New Roman" w:hAnsi="Times New Roman" w:cs="Times New Roman"/>
          <w:highlight w:val="white"/>
        </w:rPr>
        <w:t>Ongentys</w:t>
      </w:r>
      <w:proofErr w:type="spellEnd"/>
      <w:r>
        <w:rPr>
          <w:rFonts w:ascii="Times New Roman" w:eastAsia="Times New Roman" w:hAnsi="Times New Roman" w:cs="Times New Roman"/>
          <w:highlight w:val="white"/>
        </w:rPr>
        <w:t xml:space="preserve"> would be quite significant because more than 60% of </w:t>
      </w:r>
      <w:r>
        <w:rPr>
          <w:rFonts w:ascii="Times New Roman" w:eastAsia="Times New Roman" w:hAnsi="Times New Roman" w:cs="Times New Roman"/>
          <w:highlight w:val="white"/>
        </w:rPr>
        <w:t>Americans with Parkinson's disease are currently taking levodopa</w:t>
      </w:r>
      <w:r>
        <w:rPr>
          <w:rFonts w:ascii="Times New Roman" w:eastAsia="Times New Roman" w:hAnsi="Times New Roman" w:cs="Times New Roman"/>
          <w:highlight w:val="white"/>
          <w:vertAlign w:val="superscript"/>
        </w:rPr>
        <w:footnoteReference w:id="6"/>
      </w:r>
      <w:r>
        <w:rPr>
          <w:rFonts w:ascii="Times New Roman" w:eastAsia="Times New Roman" w:hAnsi="Times New Roman" w:cs="Times New Roman"/>
          <w:highlight w:val="white"/>
        </w:rPr>
        <w:t>. W</w:t>
      </w:r>
      <w:r>
        <w:rPr>
          <w:rFonts w:ascii="Times New Roman" w:eastAsia="Times New Roman" w:hAnsi="Times New Roman" w:cs="Times New Roman"/>
          <w:highlight w:val="white"/>
        </w:rPr>
        <w:t xml:space="preserve">ith a $590 per month price tag, the launch of </w:t>
      </w:r>
      <w:proofErr w:type="spellStart"/>
      <w:r>
        <w:rPr>
          <w:rFonts w:ascii="Times New Roman" w:eastAsia="Times New Roman" w:hAnsi="Times New Roman" w:cs="Times New Roman"/>
          <w:highlight w:val="white"/>
        </w:rPr>
        <w:t>Ongentys</w:t>
      </w:r>
      <w:proofErr w:type="spellEnd"/>
      <w:r>
        <w:rPr>
          <w:rFonts w:ascii="Times New Roman" w:eastAsia="Times New Roman" w:hAnsi="Times New Roman" w:cs="Times New Roman"/>
          <w:highlight w:val="white"/>
        </w:rPr>
        <w:t xml:space="preserve"> will undoubtedly push up revenues for NBIX.</w:t>
      </w:r>
    </w:p>
    <w:p w14:paraId="1AAD657E" w14:textId="77777777" w:rsidR="00A6701B" w:rsidRDefault="00A6701B">
      <w:pPr>
        <w:jc w:val="both"/>
        <w:rPr>
          <w:rFonts w:ascii="Times New Roman" w:eastAsia="Times New Roman" w:hAnsi="Times New Roman" w:cs="Times New Roman"/>
          <w:highlight w:val="white"/>
        </w:rPr>
      </w:pPr>
    </w:p>
    <w:p w14:paraId="091B45BA" w14:textId="77777777" w:rsidR="00A6701B" w:rsidRDefault="006404C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On the other hand, we reduced the weight allocated to GW Pharmaceuticals </w:t>
      </w:r>
      <w:r>
        <w:rPr>
          <w:rFonts w:ascii="Times New Roman" w:eastAsia="Times New Roman" w:hAnsi="Times New Roman" w:cs="Times New Roman"/>
          <w:b/>
          <w:highlight w:val="white"/>
        </w:rPr>
        <w:t>(GWPH)</w:t>
      </w:r>
      <w:r>
        <w:rPr>
          <w:rFonts w:ascii="Times New Roman" w:eastAsia="Times New Roman" w:hAnsi="Times New Roman" w:cs="Times New Roman"/>
          <w:highlight w:val="white"/>
        </w:rPr>
        <w:t xml:space="preserve"> and </w:t>
      </w:r>
      <w:proofErr w:type="spellStart"/>
      <w:r>
        <w:rPr>
          <w:rFonts w:ascii="Times New Roman" w:eastAsia="Times New Roman" w:hAnsi="Times New Roman" w:cs="Times New Roman"/>
          <w:highlight w:val="white"/>
        </w:rPr>
        <w:t>Crinetics</w:t>
      </w:r>
      <w:proofErr w:type="spellEnd"/>
      <w:r>
        <w:rPr>
          <w:rFonts w:ascii="Times New Roman" w:eastAsia="Times New Roman" w:hAnsi="Times New Roman" w:cs="Times New Roman"/>
          <w:highlight w:val="white"/>
        </w:rPr>
        <w:t xml:space="preserve"> Pharmaceuticals </w:t>
      </w:r>
      <w:r>
        <w:rPr>
          <w:rFonts w:ascii="Times New Roman" w:eastAsia="Times New Roman" w:hAnsi="Times New Roman" w:cs="Times New Roman"/>
          <w:b/>
          <w:highlight w:val="white"/>
        </w:rPr>
        <w:t>(CRNX)</w:t>
      </w:r>
      <w:r>
        <w:rPr>
          <w:rFonts w:ascii="Times New Roman" w:eastAsia="Times New Roman" w:hAnsi="Times New Roman" w:cs="Times New Roman"/>
          <w:highlight w:val="white"/>
        </w:rPr>
        <w:t xml:space="preserve"> due to the relatively high uncertainty </w:t>
      </w:r>
      <w:r>
        <w:rPr>
          <w:rFonts w:ascii="Times New Roman" w:eastAsia="Times New Roman" w:hAnsi="Times New Roman" w:cs="Times New Roman"/>
          <w:highlight w:val="white"/>
        </w:rPr>
        <w:t>on how the company will perform in coming periods with the ongoing pandemic. Our current portfolio assigned 18.4% and 14.5% to these assets respectively - the highest in the portfolio. Although Kris has a long investment horizon and could possibly ride out</w:t>
      </w:r>
      <w:r>
        <w:rPr>
          <w:rFonts w:ascii="Times New Roman" w:eastAsia="Times New Roman" w:hAnsi="Times New Roman" w:cs="Times New Roman"/>
          <w:highlight w:val="white"/>
        </w:rPr>
        <w:t xml:space="preserve"> these uncertainties, we cannot ignore a plausible downturn of the COVID-19 situation in the US</w:t>
      </w:r>
      <w:r>
        <w:rPr>
          <w:rFonts w:ascii="Times New Roman" w:eastAsia="Times New Roman" w:hAnsi="Times New Roman" w:cs="Times New Roman"/>
          <w:highlight w:val="white"/>
          <w:vertAlign w:val="superscript"/>
        </w:rPr>
        <w:footnoteReference w:id="7"/>
      </w:r>
      <w:r>
        <w:rPr>
          <w:rFonts w:ascii="Times New Roman" w:eastAsia="Times New Roman" w:hAnsi="Times New Roman" w:cs="Times New Roman"/>
          <w:highlight w:val="white"/>
        </w:rPr>
        <w:t>. The skepticism on the companies’ performance will remain high when there are little improvements to the COVID-19 situation. We can expect clinical trials and</w:t>
      </w:r>
      <w:r>
        <w:rPr>
          <w:rFonts w:ascii="Times New Roman" w:eastAsia="Times New Roman" w:hAnsi="Times New Roman" w:cs="Times New Roman"/>
          <w:highlight w:val="white"/>
        </w:rPr>
        <w:t xml:space="preserve"> preclinical studies to be disrupted and </w:t>
      </w:r>
      <w:proofErr w:type="gramStart"/>
      <w:r>
        <w:rPr>
          <w:rFonts w:ascii="Times New Roman" w:eastAsia="Times New Roman" w:hAnsi="Times New Roman" w:cs="Times New Roman"/>
          <w:highlight w:val="white"/>
        </w:rPr>
        <w:t>employees</w:t>
      </w:r>
      <w:proofErr w:type="gramEnd"/>
      <w:r>
        <w:rPr>
          <w:rFonts w:ascii="Times New Roman" w:eastAsia="Times New Roman" w:hAnsi="Times New Roman" w:cs="Times New Roman"/>
          <w:highlight w:val="white"/>
        </w:rPr>
        <w:t xml:space="preserve"> productivity could also be impaired with the pandemic. With this in mind, we should be prudent and not overweight on these 2 stocks. Hence, GWPH and CRNX weightage are being moderated and reduced.</w:t>
      </w:r>
    </w:p>
    <w:sectPr w:rsidR="00A6701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BDE7C" w14:textId="77777777" w:rsidR="006404CF" w:rsidRDefault="006404CF">
      <w:pPr>
        <w:spacing w:line="240" w:lineRule="auto"/>
      </w:pPr>
      <w:r>
        <w:separator/>
      </w:r>
    </w:p>
  </w:endnote>
  <w:endnote w:type="continuationSeparator" w:id="0">
    <w:p w14:paraId="26845D72" w14:textId="77777777" w:rsidR="006404CF" w:rsidRDefault="00640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F8C85" w14:textId="77777777" w:rsidR="006404CF" w:rsidRDefault="006404CF">
      <w:pPr>
        <w:spacing w:line="240" w:lineRule="auto"/>
      </w:pPr>
      <w:r>
        <w:separator/>
      </w:r>
    </w:p>
  </w:footnote>
  <w:footnote w:type="continuationSeparator" w:id="0">
    <w:p w14:paraId="73C62E3B" w14:textId="77777777" w:rsidR="006404CF" w:rsidRDefault="006404CF">
      <w:pPr>
        <w:spacing w:line="240" w:lineRule="auto"/>
      </w:pPr>
      <w:r>
        <w:continuationSeparator/>
      </w:r>
    </w:p>
  </w:footnote>
  <w:footnote w:id="1">
    <w:p w14:paraId="70A3DAB8" w14:textId="77777777" w:rsidR="00A6701B" w:rsidRDefault="006404CF">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https:</w:t>
      </w:r>
      <w:r>
        <w:rPr>
          <w:rFonts w:ascii="Times New Roman" w:eastAsia="Times New Roman" w:hAnsi="Times New Roman" w:cs="Times New Roman"/>
          <w:sz w:val="20"/>
          <w:szCs w:val="20"/>
        </w:rPr>
        <w:t>//www.fool.com/investing/how-to-invest/stocks/what-is-market-cap/</w:t>
      </w:r>
    </w:p>
  </w:footnote>
  <w:footnote w:id="2">
    <w:p w14:paraId="590AA8DF" w14:textId="77777777" w:rsidR="00A6701B" w:rsidRDefault="006404CF">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https://www.investopedia.com/ask/answers/022715/are-small-cap-companies-more-risky-investments-large-cap-companies.asp#:~:text=Small%2Dcap%20companies%20tend%20to,negative%20events%20and%2</w:t>
      </w:r>
      <w:r>
        <w:rPr>
          <w:rFonts w:ascii="Times New Roman" w:eastAsia="Times New Roman" w:hAnsi="Times New Roman" w:cs="Times New Roman"/>
          <w:sz w:val="20"/>
          <w:szCs w:val="20"/>
        </w:rPr>
        <w:t>0bearish%20sentiments.</w:t>
      </w:r>
    </w:p>
  </w:footnote>
  <w:footnote w:id="3">
    <w:p w14:paraId="08FD5FBD" w14:textId="77777777" w:rsidR="00A6701B" w:rsidRDefault="006404CF">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We had previously selected the MSCI World Pharmaceuticals, Biotechnology and Life Sciences Index as a benchmark. However, we were not able to obtain historical data for that index. Thus, we have selected the Nasdaq Biotechnology Index as our new be</w:t>
      </w:r>
      <w:r>
        <w:rPr>
          <w:rFonts w:ascii="Times New Roman" w:eastAsia="Times New Roman" w:hAnsi="Times New Roman" w:cs="Times New Roman"/>
          <w:sz w:val="20"/>
          <w:szCs w:val="20"/>
        </w:rPr>
        <w:t>nchmarking portfolio.</w:t>
      </w:r>
    </w:p>
  </w:footnote>
  <w:footnote w:id="4">
    <w:p w14:paraId="7B4E7846" w14:textId="77777777" w:rsidR="00A6701B" w:rsidRDefault="006404CF">
      <w:pPr>
        <w:spacing w:line="240" w:lineRule="auto"/>
        <w:rPr>
          <w:sz w:val="20"/>
          <w:szCs w:val="20"/>
        </w:rPr>
      </w:pPr>
      <w:r>
        <w:rPr>
          <w:vertAlign w:val="superscript"/>
        </w:rPr>
        <w:footnoteRef/>
      </w:r>
      <w:r>
        <w:rPr>
          <w:sz w:val="20"/>
          <w:szCs w:val="20"/>
        </w:rPr>
        <w:t xml:space="preserve"> </w:t>
      </w:r>
      <w:hyperlink r:id="rId1">
        <w:r>
          <w:rPr>
            <w:rFonts w:ascii="Times New Roman" w:eastAsia="Times New Roman" w:hAnsi="Times New Roman" w:cs="Times New Roman"/>
            <w:color w:val="1155CC"/>
            <w:sz w:val="20"/>
            <w:szCs w:val="20"/>
            <w:u w:val="single"/>
          </w:rPr>
          <w:t>https://www.marketscreener.com/quote/stock/EXACT-SCIENCE</w:t>
        </w:r>
        <w:r>
          <w:rPr>
            <w:rFonts w:ascii="Times New Roman" w:eastAsia="Times New Roman" w:hAnsi="Times New Roman" w:cs="Times New Roman"/>
            <w:color w:val="1155CC"/>
            <w:sz w:val="20"/>
            <w:szCs w:val="20"/>
            <w:u w:val="single"/>
          </w:rPr>
          <w:t>S-CORPORATIO-9232/consensus</w:t>
        </w:r>
      </w:hyperlink>
      <w:hyperlink r:id="rId2">
        <w:r>
          <w:rPr>
            <w:color w:val="1155CC"/>
            <w:sz w:val="20"/>
            <w:szCs w:val="20"/>
            <w:u w:val="single"/>
          </w:rPr>
          <w:t>/</w:t>
        </w:r>
      </w:hyperlink>
      <w:r>
        <w:rPr>
          <w:sz w:val="20"/>
          <w:szCs w:val="20"/>
        </w:rPr>
        <w:t xml:space="preserve"> </w:t>
      </w:r>
    </w:p>
    <w:p w14:paraId="0C69127D" w14:textId="77777777" w:rsidR="00A6701B" w:rsidRDefault="006404CF">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20"/>
          <w:szCs w:val="20"/>
          <w:highlight w:val="white"/>
        </w:rPr>
        <w:t xml:space="preserve">The target prices are obtained from </w:t>
      </w:r>
      <w:proofErr w:type="spellStart"/>
      <w:r>
        <w:rPr>
          <w:rFonts w:ascii="Times New Roman" w:eastAsia="Times New Roman" w:hAnsi="Times New Roman" w:cs="Times New Roman"/>
          <w:sz w:val="20"/>
          <w:szCs w:val="20"/>
          <w:highlight w:val="white"/>
        </w:rPr>
        <w:t>MarketScreener</w:t>
      </w:r>
      <w:proofErr w:type="spellEnd"/>
      <w:r>
        <w:rPr>
          <w:rFonts w:ascii="Times New Roman" w:eastAsia="Times New Roman" w:hAnsi="Times New Roman" w:cs="Times New Roman"/>
          <w:sz w:val="20"/>
          <w:szCs w:val="20"/>
          <w:highlight w:val="white"/>
        </w:rPr>
        <w:t>, where consensus price targets are an average of price targets set by e</w:t>
      </w:r>
      <w:r>
        <w:rPr>
          <w:rFonts w:ascii="Times New Roman" w:eastAsia="Times New Roman" w:hAnsi="Times New Roman" w:cs="Times New Roman"/>
          <w:sz w:val="20"/>
          <w:szCs w:val="20"/>
          <w:highlight w:val="white"/>
        </w:rPr>
        <w:t xml:space="preserve">ach analyst for the stock in the last 18 months. </w:t>
      </w:r>
    </w:p>
  </w:footnote>
  <w:footnote w:id="5">
    <w:p w14:paraId="35F6FF08" w14:textId="77777777" w:rsidR="00A6701B" w:rsidRDefault="006404CF">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https://www.bloomberg.com/news/articles/2020-08-19/galapagos-suffers-biggest-fall-ever-as-fda-fa</w:t>
        </w:r>
        <w:r>
          <w:rPr>
            <w:color w:val="1155CC"/>
            <w:sz w:val="20"/>
            <w:szCs w:val="20"/>
            <w:u w:val="single"/>
          </w:rPr>
          <w:t>ils-to-approve-drug</w:t>
        </w:r>
      </w:hyperlink>
    </w:p>
  </w:footnote>
  <w:footnote w:id="6">
    <w:p w14:paraId="5FA2A388" w14:textId="77777777" w:rsidR="00A6701B" w:rsidRDefault="006404CF">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https://www.fool.com/investing/2020/09/14/neurocrine-officially-begins-marketing-new-parkins/</w:t>
        </w:r>
      </w:hyperlink>
    </w:p>
  </w:footnote>
  <w:footnote w:id="7">
    <w:p w14:paraId="7D687923" w14:textId="77777777" w:rsidR="00A6701B" w:rsidRDefault="006404CF">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https://www.thecut.com/2020/10/which-states-have-coronavirus-and-how-do-you-minimize-risk.</w:t>
        </w:r>
        <w:r>
          <w:rPr>
            <w:color w:val="1155CC"/>
            <w:sz w:val="20"/>
            <w:szCs w:val="20"/>
            <w:u w:val="single"/>
          </w:rPr>
          <w:t>html</w:t>
        </w:r>
      </w:hyperlink>
    </w:p>
    <w:p w14:paraId="2BFC20AA" w14:textId="77777777" w:rsidR="00A6701B" w:rsidRDefault="00A6701B">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B046E"/>
    <w:multiLevelType w:val="multilevel"/>
    <w:tmpl w:val="209098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5017506"/>
    <w:multiLevelType w:val="multilevel"/>
    <w:tmpl w:val="6E38C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1113EE"/>
    <w:multiLevelType w:val="multilevel"/>
    <w:tmpl w:val="9E4C3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01B"/>
    <w:rsid w:val="00397014"/>
    <w:rsid w:val="006404CF"/>
    <w:rsid w:val="008805BA"/>
    <w:rsid w:val="009564E0"/>
    <w:rsid w:val="00A6701B"/>
    <w:rsid w:val="00D3580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26DE"/>
  <w15:docId w15:val="{35456FE8-1B89-418B-B260-899868CF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D3580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www.bloomberg.com/news/articles/2020-08-19/galapagos-suffers-biggest-fall-ever-as-fda-fails-to-approve-drug" TargetMode="External"/><Relationship Id="rId2" Type="http://schemas.openxmlformats.org/officeDocument/2006/relationships/hyperlink" Target="https://www.marketscreener.com/quote/stock/EXACT-SCIENCES-CORPORATIO-9232/consensus/" TargetMode="External"/><Relationship Id="rId1" Type="http://schemas.openxmlformats.org/officeDocument/2006/relationships/hyperlink" Target="https://www.marketscreener.com/quote/stock/EXACT-SCIENCES-CORPORATIO-9232/consensus/" TargetMode="External"/><Relationship Id="rId5" Type="http://schemas.openxmlformats.org/officeDocument/2006/relationships/hyperlink" Target="https://www.thecut.com/2020/10/which-states-have-coronavirus-and-how-do-you-minimize-risk.html" TargetMode="External"/><Relationship Id="rId4" Type="http://schemas.openxmlformats.org/officeDocument/2006/relationships/hyperlink" Target="https://www.fool.com/investing/2020/09/14/neurocrine-officially-begins-marketing-new-par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2189</Words>
  <Characters>12483</Characters>
  <Application>Microsoft Office Word</Application>
  <DocSecurity>0</DocSecurity>
  <Lines>104</Lines>
  <Paragraphs>29</Paragraphs>
  <ScaleCrop>false</ScaleCrop>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Lim Shyen En</cp:lastModifiedBy>
  <cp:revision>2</cp:revision>
  <dcterms:created xsi:type="dcterms:W3CDTF">2020-10-18T13:39:00Z</dcterms:created>
  <dcterms:modified xsi:type="dcterms:W3CDTF">2020-10-18T13:39:00Z</dcterms:modified>
</cp:coreProperties>
</file>