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006B75"/>
          <w:sz w:val="40"/>
          <w:szCs w:val="40"/>
        </w:rPr>
        <w:t xml:space="preserve">Tropen AI × TÜV AI Assessment Matrix</w:t>
      </w:r>
    </w:p>
    <w:p>
      <w:pPr>
        <w:spacing w:before="0" w:after="3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Compliance Gap-Analyse — Stand: März 2026  |  Tropen Research UG (haftungsbeschränkt)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6B75"/>
          <w:sz w:val="28"/>
          <w:szCs w:val="28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Mapping der Tropen AI QA-Infrastruktur gegen die TÜV AI Assessment Matrix (V0.1, 12/2024). Prüfdimensionen relevant für EU AI Act Compliance, Forschungszulage-Eligibility und ISO 27001/42001 Vorbereitung.</w:t>
      </w:r>
    </w:p>
    <w:p>
      <w:pPr>
        <w:spacing w:before="16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96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Anz.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Implementiert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Performance, Traceability, Observability, Reproducibility/Testing, Logging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Teilweise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Cybersecurity, Robustness, Bias, Personal Data Protection, Transparency, Accountability, Incidence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Fehlt (kritisch)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Factuality, Marking/Framing (Art. 50 Pflicht!), Controllability</w:t>
            </w:r>
          </w:p>
        </w:tc>
      </w:tr>
    </w:tbl>
    <w:p>
      <w:pPr>
        <w:spacing w:before="32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⚠️  Sofortmaßnahme (Phase 5a — LangSmith)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LangSmith loggt standardmäßig Prompts und Completions im Klartext. Dies verletzt Personal Data Protection (Art. 10 DSGVO). hide_inputs: true und hide_outputs: true müssen in src/lib/langsmith/tracer.ts von Anfang an gesetzt werden — nicht nachträglich.</w:t>
            </w:r>
          </w:p>
        </w:tc>
      </w:tr>
    </w:tbl>
    <w:p>
      <w:pPr>
        <w:spacing w:before="32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6B75"/>
          <w:sz w:val="28"/>
          <w:szCs w:val="28"/>
        </w:rPr>
        <w:t xml:space="preserve">Detailliertes Dimension-Mapping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400"/>
        <w:gridCol w:w="3680"/>
        <w:gridCol w:w="1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(TÜV)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 Cycle 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Implementierung (Tropen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 AI 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Messbare Fähigkeit, Ziele und Zwecke zu erreichen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 /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Implementiert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LangSmith: p50/p95 Latenz, Token-Counts
qa_metrics Tabelle
QA Dashboard Performance-Panel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15 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LangSmith Phase 5a aktivieren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Traceability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Erfassbarkeit konsekutiver Zustände während der Input-Verarbeitung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 /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Implementiert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qa_routing_log: task_type, model_selected, routing_reason, latency_ms
LangSmith Trace Spans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13 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Graduelle Möglichkeit, Verhalten des KI-Systems während des Betriebs zu verfolgen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 /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Implementiert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Dashboard: 5 Panels, Auto-Refresh 30s
Admin-only Zugang (superadmin guard)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OpenLIT Phase 5b für Prod-Observability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Reproducibility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Gleiche Outputs bei gleichen Inputs und Ausgangsbedingungen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 &amp;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Implementiert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Vitest: 35 Tests, 100% Coverage src/lib/qa/
GitHub Actions CI/CD bei jedem Push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Cybersecurity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Widerstandsfähigkeit gegen maliziöse Eingriffe über Telekommunikationsnetzwerke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&amp; 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Teilweise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 (26 Migrationen)
Superadmin-Guard auf QA-Routes
Anonymer Chat-Endpoint: kein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15 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Rate-Limiting auf /api/public/chat prüfen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Robustness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Reguläre Funktionsweise auch bei untypischen Eingaben beibehalten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 /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Teilweise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Routing-Logger: Fire-and-forget (nie blockierend)
Fallback bei fehlendem LANGSMITH_API_KEY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15 (4)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Error-Boundary für OpenAI-Timeouts definieren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Übereinstimmung der Ausgaben mit weltseitigen Sachverhalten (Halluzinations-Kontrolle)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 /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Fehlt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implementiert.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Halluzinations-Metrik in qa_metrics definieren
Eval-Datensätze für gpt-4o-mini erstellen (KW 14)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Gerichtete Abweichung in Datenmengen oder Akteursverhalten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 /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Teilweise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bias_category Spalte in qa_metrics angelegt
Noch keine Eval-Datensätze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10 (2 f–g)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Bias-Eval-Datensätze Phase KW 14
Mindestens: gender_bias, language_bias für DACH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 Data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Kontrolle welche Daten gesammelt, gespeichert und verarbeitet werden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&amp; 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Teilweise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User-ID-Hashing (16 Hex-Chars) im Routing-Logger
ABER: LangSmith loggt Prompts/Completions vollständig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10 DSGVO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KRITISCH: hide_inputs/hide_outputs in LangSmith Tracer setzen (Phase 5a)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Transparency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Erfassbarkeit interner Komponenten über den gesamten Life 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&amp;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Teilweise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AUDIT.md im Repo
Migration 027 dokumentiert
Technische Dokumentation (Art. 11) fehlt noch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11 (1) + An. IV; Art. 13 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Technische Dokumentation vor Launch erstellen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Marking / Framing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Kenntlichmachung dass Output durch KI erzeugt wurde (UI-Ebene)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 / 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Fehlt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50 UI-Banner als offener Punkt dokumentiert
Noch nicht implementiert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50 (1)(2)(3) KI-VO — AKTIV seit Feb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UI-Banner vor erstem echten Launch implementieren (Pflicht!)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Accountability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Eindeutige Zuschreibung und Pflichtenübernahme für KI-Auswirkungen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&amp; 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Teilweise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Tropen Research UG als Betreiber klar definiert
Risikoregister (Art. 9) fehlt noch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9 (1–2)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Risikoregister in Notion anlegen (vor ISO 27001 Audit)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Möglichkeit, Verhalten des KI-Systems zu bestimmen und geordnet zu stoppen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&amp; 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Fehlt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Stream-Abbruch-Mechanismus implementiert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14 (1–4)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Streaming-Abort via AbortController vor Launch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Automatisierte Speicherung von Informationen im Zeitverlauf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Implementiert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qa_routing_log (Supabase)
qa_test_runs (CI/CD)
LangSmith Trace Log (Phase 5a)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12 (1–2)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Log-Retention-Policy definieren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Incidence Detection / 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Ermittlung und Meldung unerwünschter Verhaltensweisen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Teilweise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Actions: Test-Failures → Vercel-Deploy blockiert
Kein automatisches Alerting bei Runtime-Errors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73 (1–5)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Sentry kurz vor echtem Launch (als letzter Schritt)</w:t>
            </w:r>
          </w:p>
        </w:tc>
      </w:tr>
    </w:tbl>
    <w:p>
      <w:pPr>
        <w:spacing w:before="4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6B75"/>
          <w:sz w:val="28"/>
          <w:szCs w:val="28"/>
        </w:rPr>
        <w:t xml:space="preserve">Priorisierte Action Items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🔴 Sofort (Phase 5a — vor LangSmith Aktivierung)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hide_inputs: true + hide_outputs: true in src/lib/langsmith/tracer.ts setzen (Personal Data Protection / DSGVO)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LangSmith API Key in .env.local + GitHub Secrets eintragen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Smoke Test: Traces in LangSmith Dashboard prüfen — keine Prompt-Inhalte sichtbar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🟡 KW 14 (Bias &amp; Factuality)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Bias-Eval-Datensätze erstellen: gender_bias, language_bias für DACH-Kontext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Factuality-Metrik in qa_metrics definieren (hallucination_rate als neuer metric_type)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Benchmark gegen gpt-4o-mini auf einfachen Faktenfragen (deutsch/englisch)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🟡 Vor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Art. 50 UI-Banner implementieren (KI-Interaktion offenlegen — PFLICHT seit Feb 2025)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Streaming-Abort via AbortController in /api/public/chat/route.ts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Technische Dokumentation (Art. 11 KI-VO) erstellen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Rate-Limiting auf anonymem Chat-Endpoint einrichten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🟢 Mittelfristig (2026)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Risikoregister (Art. 9 KI-VO) in Notion anlegen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OpenLIT Phase 5b: Self-hosted OTel auf Hetzner/Fly.io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Sentry: kurz vor erstem echten Prod-Traffic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TÜV AI Risk Navigator durchlaufen — Risikoklassen-Klassifizierung dokumentieren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ISO 27001 Audit (2026), ISO 42001 Gap Analysis (2027)</w:t>
      </w:r>
    </w:p>
    <w:p>
      <w:pPr>
        <w:spacing w:before="40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75"/>
                <w:sz w:val="16"/>
                <w:szCs w:val="16"/>
              </w:rPr>
              <w:t xml:space="preserve">Quellen: TÜV AI Assessment Matrix V0.1 (12/2024, TÜV AI.Lab GmbH) · EU KI-Verordnung (EU) 2024/1689 · Tropen AI AUDIT.md (Tropen Research UG, 2025/2026)</w:t>
            </w:r>
          </w:p>
        </w:tc>
      </w:tr>
    </w:tbl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6B7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2026-03-11T12:00:45.180Z</dcterms:created>
  <dcterms:modified xsi:type="dcterms:W3CDTF">2026-03-11T12:00:45.181Z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