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 w:line="320"/>
      </w:pPr>
      <w:r>
        <w:rPr>
          <w:rFonts w:ascii="Century Gothic" w:cs="Century Gothic" w:eastAsia="Century Gothic" w:hAnsi="Century Gothic"/>
          <w:b/>
          <w:bCs/>
          <w:color w:val="C00000"/>
          <w:sz w:val="42"/>
          <w:szCs w:val="42"/>
        </w:rPr>
        <w:t xml:space="preserve">Changeworker Project Owner Onboarding Deck</w:t>
      </w:r>
    </w:p>
    <w:p>
      <w:pPr>
        <w:spacing w:after="12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Simple walkthrough of platform operations and owner checkpoints</w:t>
      </w:r>
    </w:p>
    <w:p>
      <w:pPr>
        <w:spacing w:after="22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2"/>
          <w:szCs w:val="22"/>
        </w:rPr>
        <w:t xml:space="preserve">Prepared: June 29, 2026</w:t>
      </w:r>
    </w:p>
    <w:p>
      <w:r>
        <w:br w:type="page"/>
      </w:r>
    </w:p>
    <w:p>
      <w:pPr>
        <w:pStyle w:val="Heading1"/>
        <w:spacing w:after="180" w:before="120"/>
      </w:pPr>
      <w:r>
        <w:rPr>
          <w:rFonts w:ascii="Century Gothic" w:cs="Century Gothic" w:eastAsia="Century Gothic" w:hAnsi="Century Gothic"/>
          <w:b/>
          <w:bCs/>
          <w:color w:val="C00000"/>
          <w:sz w:val="34"/>
          <w:szCs w:val="34"/>
        </w:rPr>
        <w:t xml:space="preserve">1) Public Entry and Account Start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Visitors land on homepage and choose Hire Talent or Find Work.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Sign up/login flows route users into onboarding.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Onboarding defines role behavior for dashboard and feature access.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Public pages provide trust, policy, and support context before conversion.</w:t>
      </w:r>
    </w:p>
    <w:p>
      <w:pPr>
        <w:spacing w:after="120" w:before="180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18"/>
          <w:szCs w:val="18"/>
        </w:rPr>
        <w:t xml:space="preserve">Screenshot: Screenshot 2026-06-29 122121.png</w:t>
      </w:r>
    </w:p>
    <w:p>
      <w:r>
        <w:br w:type="page"/>
      </w:r>
    </w:p>
    <w:p>
      <w:pPr>
        <w:pStyle w:val="Heading1"/>
        <w:spacing w:after="180" w:before="120"/>
      </w:pPr>
      <w:r>
        <w:rPr>
          <w:rFonts w:ascii="Century Gothic" w:cs="Century Gothic" w:eastAsia="Century Gothic" w:hAnsi="Century Gothic"/>
          <w:b/>
          <w:bCs/>
          <w:color w:val="C00000"/>
          <w:sz w:val="34"/>
          <w:szCs w:val="34"/>
        </w:rPr>
        <w:t xml:space="preserve">2) Talent Operating Flow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Talent discovers gigs, submits proposal, tracks status updates.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Messages and workspace become active after acceptance.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Talent submits milestones/final work and requests payout.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Wallet records earnings and withdrawal history.</w:t>
      </w:r>
    </w:p>
    <w:p>
      <w:pPr>
        <w:spacing w:after="120" w:before="180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18"/>
          <w:szCs w:val="18"/>
        </w:rPr>
        <w:t xml:space="preserve">Screenshot: Screenshot 2026-06-29 121632.png</w:t>
      </w:r>
    </w:p>
    <w:p>
      <w:r>
        <w:br w:type="page"/>
      </w:r>
    </w:p>
    <w:p>
      <w:pPr>
        <w:pStyle w:val="Heading1"/>
        <w:spacing w:after="180" w:before="120"/>
      </w:pPr>
      <w:r>
        <w:rPr>
          <w:rFonts w:ascii="Century Gothic" w:cs="Century Gothic" w:eastAsia="Century Gothic" w:hAnsi="Century Gothic"/>
          <w:b/>
          <w:bCs/>
          <w:color w:val="C00000"/>
          <w:sz w:val="34"/>
          <w:szCs w:val="34"/>
        </w:rPr>
        <w:t xml:space="preserve">3) Client Operating Flow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Client posts gig with budget, hires needed, and requirements.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Client reviews proposals, shortlists/accepts best match.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Workspace funding and approval actions control payout release.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Client wallet supports top-up and project funding continuity.</w:t>
      </w:r>
    </w:p>
    <w:p>
      <w:pPr>
        <w:spacing w:after="120" w:before="180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18"/>
          <w:szCs w:val="18"/>
        </w:rPr>
        <w:t xml:space="preserve">Screenshot: Screenshot 2026-06-29 120844.png</w:t>
      </w:r>
    </w:p>
    <w:p>
      <w:r>
        <w:br w:type="page"/>
      </w:r>
    </w:p>
    <w:p>
      <w:pPr>
        <w:pStyle w:val="Heading1"/>
        <w:spacing w:after="180" w:before="120"/>
      </w:pPr>
      <w:r>
        <w:rPr>
          <w:rFonts w:ascii="Century Gothic" w:cs="Century Gothic" w:eastAsia="Century Gothic" w:hAnsi="Century Gothic"/>
          <w:b/>
          <w:bCs/>
          <w:color w:val="C00000"/>
          <w:sz w:val="34"/>
          <w:szCs w:val="34"/>
        </w:rPr>
        <w:t xml:space="preserve">4) Control/Admin Operations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Control dashboard centralizes counts, queues, and wellness checks.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Admin reviews users, gigs, workspaces, wallets, transactions, support.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Dispute module enables evidence-based resolution actions.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Admin alerts focus on critical money and trust events.</w:t>
      </w:r>
    </w:p>
    <w:p>
      <w:pPr>
        <w:spacing w:after="120" w:before="180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18"/>
          <w:szCs w:val="18"/>
        </w:rPr>
        <w:t xml:space="preserve">Screenshot: Screenshot 2026-06-29 120642.png</w:t>
      </w:r>
    </w:p>
    <w:p>
      <w:r>
        <w:br w:type="page"/>
      </w:r>
    </w:p>
    <w:p>
      <w:pPr>
        <w:pStyle w:val="Heading1"/>
        <w:spacing w:after="180" w:before="120"/>
      </w:pPr>
      <w:r>
        <w:rPr>
          <w:rFonts w:ascii="Century Gothic" w:cs="Century Gothic" w:eastAsia="Century Gothic" w:hAnsi="Century Gothic"/>
          <w:b/>
          <w:bCs/>
          <w:color w:val="C00000"/>
          <w:sz w:val="34"/>
          <w:szCs w:val="34"/>
        </w:rPr>
        <w:t xml:space="preserve">5) Dispute and Settlement Logic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Dispute starts from workspace when delivery/payment conflict occurs.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Admin reviews evidence, messages, payment records, and milestones.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Resolution outcomes: release talent, refund client, split settlement, close case.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Wallets, ledgers, statuses, and notifications update after decision.</w:t>
      </w:r>
    </w:p>
    <w:p>
      <w:pPr>
        <w:spacing w:after="120" w:before="180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18"/>
          <w:szCs w:val="18"/>
        </w:rPr>
        <w:t xml:space="preserve">Screenshot: Screenshot 2026-06-29 120326.png</w:t>
      </w:r>
    </w:p>
    <w:p>
      <w:r>
        <w:br w:type="page"/>
      </w:r>
    </w:p>
    <w:p>
      <w:pPr>
        <w:pStyle w:val="Heading1"/>
        <w:spacing w:after="180" w:before="120"/>
      </w:pPr>
      <w:r>
        <w:rPr>
          <w:rFonts w:ascii="Century Gothic" w:cs="Century Gothic" w:eastAsia="Century Gothic" w:hAnsi="Century Gothic"/>
          <w:b/>
          <w:bCs/>
          <w:color w:val="C00000"/>
          <w:sz w:val="34"/>
          <w:szCs w:val="34"/>
        </w:rPr>
        <w:t xml:space="preserve">6) Owner Go-Live Checklist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Validate onboarding for both talent and client accounts.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Run full gig-to-workspace-to-payout test using QA checklist.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Confirm control access and dispute resolution end-to-end.</w:t>
      </w:r>
    </w:p>
    <w:p>
      <w:pPr>
        <w:spacing w:after="9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Track first-week support and queue health daily.</w:t>
      </w:r>
    </w:p>
    <w:p>
      <w:pPr>
        <w:spacing w:after="120" w:before="180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18"/>
          <w:szCs w:val="18"/>
        </w:rPr>
        <w:t xml:space="preserve">Screenshot: Screenshot 2026-06-24 223614.png</w:t>
      </w:r>
    </w:p>
    <w:p>
      <w:r>
        <w:br w:type="page"/>
      </w:r>
    </w:p>
    <w:p>
      <w:pPr>
        <w:spacing w:after="180" w:before="120" w:line="320"/>
      </w:pPr>
      <w:r>
        <w:rPr>
          <w:rFonts w:ascii="Century Gothic" w:cs="Century Gothic" w:eastAsia="Century Gothic" w:hAnsi="Century Gothic"/>
          <w:b/>
          <w:bCs/>
          <w:color w:val="C00000"/>
          <w:sz w:val="32"/>
          <w:szCs w:val="32"/>
        </w:rPr>
        <w:t xml:space="preserve">Delivery Pack Included</w:t>
      </w:r>
    </w:p>
    <w:p>
      <w:pPr>
        <w:spacing w:after="8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Platform workflow report</w:t>
      </w:r>
    </w:p>
    <w:p>
      <w:pPr>
        <w:spacing w:after="8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Role-based training SOP (Talent, Client, Control)</w:t>
      </w:r>
    </w:p>
    <w:p>
      <w:pPr>
        <w:spacing w:after="8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Clickable QA checklist by route</w:t>
      </w:r>
    </w:p>
    <w:p>
      <w:pPr>
        <w:spacing w:after="140" w:before="0" w:line="320"/>
      </w:pPr>
      <w:r>
        <w:rPr>
          <w:rFonts w:ascii="Century Gothic" w:cs="Century Gothic" w:eastAsia="Century Gothic" w:hAnsi="Century Gothic"/>
          <w:b w:val="false"/>
          <w:bCs w:val="false"/>
          <w:color w:val="000000"/>
          <w:sz w:val="24"/>
          <w:szCs w:val="24"/>
        </w:rPr>
        <w:t xml:space="preserve">• Onboarding deck document with screenshots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8622919788ad4cf4168e9d7d1d36d911a405013.png"/><Relationship Id="rId8" Type="http://schemas.openxmlformats.org/officeDocument/2006/relationships/image" Target="media/83101b8fc89c76ffd7679409227f0a6770c151de.png"/><Relationship Id="rId9" Type="http://schemas.openxmlformats.org/officeDocument/2006/relationships/image" Target="media/f7b79af0dbae757cebba9ad7df1ba00483c837e7.png"/><Relationship Id="rId10" Type="http://schemas.openxmlformats.org/officeDocument/2006/relationships/image" Target="media/0d0d625a903d1215a904185295481ae067cb634b.png"/><Relationship Id="rId11" Type="http://schemas.openxmlformats.org/officeDocument/2006/relationships/image" Target="media/dd4893e2f8247cfe2d3e38ac6d142addbadd31c9.png"/><Relationship Id="rId12" Type="http://schemas.openxmlformats.org/officeDocument/2006/relationships/image" Target="media/397d2ddb004e0e4a1d6ec07ca0d7360efda94602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2026-06-29T12:58:25.338Z</dcterms:created>
  <dcterms:modified xsi:type="dcterms:W3CDTF">2026-06-29T12:58:25.338Z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