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Attention Is Currency — Revised Outline &amp; Plan (v2)</w:t>
      </w:r>
    </w:p>
    <w:p>
      <w:r>
        <w:rPr>
          <w:i/>
          <w:iCs/>
        </w:rPr>
        <w:t xml:space="preserve">Rebuilt around the chapters actually written, rather than the October plan. Supersedes the previous Table of Contents, Status &amp; Plan.</w:t>
      </w:r>
    </w:p>
    <w:p>
      <w:r>
        <w:rPr>
          <w:b/>
          <w:bCs/>
        </w:rPr>
        <w:t xml:space="preserve">The purpose, restated.</w:t>
      </w:r>
      <w:r>
        <w:t xml:space="preserve"> This is not a book about social media, audience building, or marketing. It is a book about the currencies an ordinary person already holds — attention, emotion, time, data, trust, relationships, knowledge, skill and creativity — how powerful institutions convert those currencies into money, and how the reader can recognize their own value and convert it into opportunity, income and, eventually, something they own. Social platforms appear as the clearest worked example of the machine, never as the subject.</w:t>
      </w:r>
    </w:p>
    <w:p>
      <w:pPr>
        <w:pStyle w:val="Heading2"/>
      </w:pPr>
      <w:r>
        <w:t xml:space="preserve">The test every chapter must pass</w:t>
      </w:r>
    </w:p>
    <w:p>
      <w:pPr>
        <w:pStyle w:val="ListParagraph"/>
        <w:numPr>
          <w:ilvl w:val="0"/>
          <w:numId w:val="2"/>
        </w:numPr>
      </w:pPr>
      <w:r>
        <w:t xml:space="preserve">How do corporations, platforms, advertisers, and other powerful institutions use this currency to their advantage?</w:t>
      </w:r>
    </w:p>
    <w:p>
      <w:pPr>
        <w:pStyle w:val="ListParagraph"/>
        <w:numPr>
          <w:ilvl w:val="0"/>
          <w:numId w:val="2"/>
        </w:numPr>
      </w:pPr>
      <w:r>
        <w:t xml:space="preserve">How can an ordinary person use that same understanding, ethically, to create opportunity, income, and ownership for themselves?</w:t>
      </w:r>
    </w:p>
    <w:p>
      <w:r>
        <w:rPr>
          <w:b/>
          <w:bCs/>
        </w:rPr>
        <w:t xml:space="preserve">Added as a third gate, from here forward:</w:t>
      </w:r>
      <w:r>
        <w:t xml:space="preserve"> at least one substantial example in every remaining chapter must come from outside social media and content creation — a trade, a local service, a profession, a job search, a negotiation, a household.</w:t>
      </w:r>
    </w:p>
    <w:p>
      <w:pPr>
        <w:pStyle w:val="Heading2"/>
      </w:pPr>
      <w:r>
        <w:t xml:space="preserve">The ladder — the spine of the whole book</w:t>
      </w:r>
    </w:p>
    <w:p>
      <w:r>
        <w:t xml:space="preserve">Attention → </w:t>
      </w:r>
      <w:r>
        <w:rPr>
          <w:b/>
          <w:bCs/>
        </w:rPr>
        <w:t xml:space="preserve">Engagement</w:t>
      </w:r>
      <w:r>
        <w:t xml:space="preserve"> → Trust → Influence → Opportunity → Income → Ownership</w:t>
      </w:r>
    </w:p>
    <w:p>
      <w:r>
        <w:t xml:space="preserve">Seven rungs. Chapter 9 already states this explicitly and resolves the only question it raises: emotion, time and data are </w:t>
      </w:r>
      <w:r>
        <w:rPr>
          <w:b/>
          <w:bCs/>
        </w:rPr>
        <w:t xml:space="preserve">not</w:t>
      </w:r>
      <w:r>
        <w:t xml:space="preserve"> competing rungs, they are the engine beneath the second one — the forces that turn a passing glance into real engagement. That is why Part I has eight chapters and the ladder has seven rungs, and the manuscript is already consistent on the point. Nothing needs changing.</w:t>
      </w:r>
    </w:p>
    <w:p>
      <w:r>
        <w:t xml:space="preserve">Part II climbs that ladder one rung at a time. That is the structural promise of the back half, and it is what makes the book one journey rather than a set of essays sharing 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FEFEF" w:color="auto" w:val="clear"/>
            <w:tcMar>
              <w:top w:type="dxa" w:w="80"/>
              <w:left w:type="dxa" w:w="120"/>
              <w:bottom w:type="dxa" w:w="80"/>
              <w:right w:type="dxa" w:w="120"/>
            </w:tcMar>
          </w:tcPr>
          <w:p>
            <w:pPr>
              <w:spacing w:after="0" w:line="276"/>
            </w:pPr>
            <w:r>
              <w:rPr>
                <w:b/>
                <w:bCs/>
              </w:rPr>
              <w:t xml:space="preserve">Rung</w:t>
            </w:r>
          </w:p>
        </w:tc>
        <w:tc>
          <w:tcPr>
            <w:tcW w:type="dxa" w:w="5429"/>
            <w:shd w:fill="EFEFEF" w:color="auto" w:val="clear"/>
            <w:tcMar>
              <w:top w:type="dxa" w:w="80"/>
              <w:left w:type="dxa" w:w="120"/>
              <w:bottom w:type="dxa" w:w="80"/>
              <w:right w:type="dxa" w:w="120"/>
            </w:tcMar>
          </w:tcPr>
          <w:p>
            <w:pPr>
              <w:spacing w:after="0" w:line="276"/>
            </w:pPr>
            <w:r>
              <w:rPr>
                <w:b/>
                <w:bCs/>
              </w:rPr>
              <w:t xml:space="preserve">Chapter</w:t>
            </w:r>
          </w:p>
        </w:tc>
      </w:tr>
      <w:tr>
        <w:trPr>
          <w:tblHeader w:val="off"/>
        </w:trPr>
        <w:tc>
          <w:tcPr>
            <w:tcW w:type="dxa" w:w="3931"/>
            <w:tcMar>
              <w:top w:type="dxa" w:w="80"/>
              <w:left w:type="dxa" w:w="120"/>
              <w:bottom w:type="dxa" w:w="80"/>
              <w:right w:type="dxa" w:w="120"/>
            </w:tcMar>
          </w:tcPr>
          <w:p>
            <w:pPr>
              <w:spacing w:after="0" w:line="276"/>
            </w:pPr>
            <w:r>
              <w:t xml:space="preserve">(whole machine)</w:t>
            </w:r>
          </w:p>
        </w:tc>
        <w:tc>
          <w:tcPr>
            <w:tcW w:type="dxa" w:w="5429"/>
            <w:tcMar>
              <w:top w:type="dxa" w:w="80"/>
              <w:left w:type="dxa" w:w="120"/>
              <w:bottom w:type="dxa" w:w="80"/>
              <w:right w:type="dxa" w:w="120"/>
            </w:tcMar>
          </w:tcPr>
          <w:p>
            <w:pPr>
              <w:spacing w:after="0" w:line="276"/>
            </w:pPr>
            <w:r>
              <w:t xml:space="preserve">9 — The Whole System in Motion</w:t>
            </w:r>
          </w:p>
        </w:tc>
      </w:tr>
      <w:tr>
        <w:trPr>
          <w:tblHeader w:val="off"/>
        </w:trPr>
        <w:tc>
          <w:tcPr>
            <w:tcW w:type="dxa" w:w="3931"/>
            <w:tcMar>
              <w:top w:type="dxa" w:w="80"/>
              <w:left w:type="dxa" w:w="120"/>
              <w:bottom w:type="dxa" w:w="80"/>
              <w:right w:type="dxa" w:w="120"/>
            </w:tcMar>
          </w:tcPr>
          <w:p>
            <w:pPr>
              <w:spacing w:after="0" w:line="276"/>
            </w:pPr>
            <w:r>
              <w:t xml:space="preserve">(how the machine is funded)</w:t>
            </w:r>
          </w:p>
        </w:tc>
        <w:tc>
          <w:tcPr>
            <w:tcW w:type="dxa" w:w="5429"/>
            <w:tcMar>
              <w:top w:type="dxa" w:w="80"/>
              <w:left w:type="dxa" w:w="120"/>
              <w:bottom w:type="dxa" w:w="80"/>
              <w:right w:type="dxa" w:w="120"/>
            </w:tcMar>
          </w:tcPr>
          <w:p>
            <w:pPr>
              <w:spacing w:after="0" w:line="276"/>
            </w:pPr>
            <w:r>
              <w:t xml:space="preserve">10 — The Business of Free</w:t>
            </w:r>
          </w:p>
        </w:tc>
      </w:tr>
      <w:tr>
        <w:trPr>
          <w:tblHeader w:val="off"/>
        </w:trPr>
        <w:tc>
          <w:tcPr>
            <w:tcW w:type="dxa" w:w="3931"/>
            <w:tcMar>
              <w:top w:type="dxa" w:w="80"/>
              <w:left w:type="dxa" w:w="120"/>
              <w:bottom w:type="dxa" w:w="80"/>
              <w:right w:type="dxa" w:w="120"/>
            </w:tcMar>
          </w:tcPr>
          <w:p>
            <w:pPr>
              <w:spacing w:after="0" w:line="276"/>
            </w:pPr>
            <w:r>
              <w:t xml:space="preserve">1. Attention</w:t>
            </w:r>
          </w:p>
        </w:tc>
        <w:tc>
          <w:tcPr>
            <w:tcW w:type="dxa" w:w="5429"/>
            <w:tcMar>
              <w:top w:type="dxa" w:w="80"/>
              <w:left w:type="dxa" w:w="120"/>
              <w:bottom w:type="dxa" w:w="80"/>
              <w:right w:type="dxa" w:w="120"/>
            </w:tcMar>
          </w:tcPr>
          <w:p>
            <w:pPr>
              <w:spacing w:after="0" w:line="276"/>
            </w:pPr>
            <w:r>
              <w:t xml:space="preserve">11 — The First Second</w:t>
            </w:r>
          </w:p>
        </w:tc>
      </w:tr>
      <w:tr>
        <w:trPr>
          <w:tblHeader w:val="off"/>
        </w:trPr>
        <w:tc>
          <w:tcPr>
            <w:tcW w:type="dxa" w:w="3931"/>
            <w:tcMar>
              <w:top w:type="dxa" w:w="80"/>
              <w:left w:type="dxa" w:w="120"/>
              <w:bottom w:type="dxa" w:w="80"/>
              <w:right w:type="dxa" w:w="120"/>
            </w:tcMar>
          </w:tcPr>
          <w:p>
            <w:pPr>
              <w:spacing w:after="0" w:line="276"/>
            </w:pPr>
            <w:r>
              <w:t xml:space="preserve">2. Engagement</w:t>
            </w:r>
          </w:p>
        </w:tc>
        <w:tc>
          <w:tcPr>
            <w:tcW w:type="dxa" w:w="5429"/>
            <w:tcMar>
              <w:top w:type="dxa" w:w="80"/>
              <w:left w:type="dxa" w:w="120"/>
              <w:bottom w:type="dxa" w:w="80"/>
              <w:right w:type="dxa" w:w="120"/>
            </w:tcMar>
          </w:tcPr>
          <w:p>
            <w:pPr>
              <w:spacing w:after="0" w:line="276"/>
            </w:pPr>
            <w:r>
              <w:t xml:space="preserve">12 — Worth Coming Back To</w:t>
            </w:r>
          </w:p>
        </w:tc>
      </w:tr>
      <w:tr>
        <w:trPr>
          <w:tblHeader w:val="off"/>
        </w:trPr>
        <w:tc>
          <w:tcPr>
            <w:tcW w:type="dxa" w:w="3931"/>
            <w:tcMar>
              <w:top w:type="dxa" w:w="80"/>
              <w:left w:type="dxa" w:w="120"/>
              <w:bottom w:type="dxa" w:w="80"/>
              <w:right w:type="dxa" w:w="120"/>
            </w:tcMar>
          </w:tcPr>
          <w:p>
            <w:pPr>
              <w:spacing w:after="0" w:line="276"/>
            </w:pPr>
            <w:r>
              <w:t xml:space="preserve">3. Trust</w:t>
            </w:r>
          </w:p>
        </w:tc>
        <w:tc>
          <w:tcPr>
            <w:tcW w:type="dxa" w:w="5429"/>
            <w:tcMar>
              <w:top w:type="dxa" w:w="80"/>
              <w:left w:type="dxa" w:w="120"/>
              <w:bottom w:type="dxa" w:w="80"/>
              <w:right w:type="dxa" w:w="120"/>
            </w:tcMar>
          </w:tcPr>
          <w:p>
            <w:pPr>
              <w:spacing w:after="0" w:line="276"/>
            </w:pPr>
            <w:r>
              <w:t xml:space="preserve">13 — Trust at Scale</w:t>
            </w:r>
          </w:p>
        </w:tc>
      </w:tr>
      <w:tr>
        <w:trPr>
          <w:tblHeader w:val="off"/>
        </w:trPr>
        <w:tc>
          <w:tcPr>
            <w:tcW w:type="dxa" w:w="3931"/>
            <w:tcMar>
              <w:top w:type="dxa" w:w="80"/>
              <w:left w:type="dxa" w:w="120"/>
              <w:bottom w:type="dxa" w:w="80"/>
              <w:right w:type="dxa" w:w="120"/>
            </w:tcMar>
          </w:tcPr>
          <w:p>
            <w:pPr>
              <w:spacing w:after="0" w:line="276"/>
            </w:pPr>
            <w:r>
              <w:t xml:space="preserve">4. Influence</w:t>
            </w:r>
          </w:p>
        </w:tc>
        <w:tc>
          <w:tcPr>
            <w:tcW w:type="dxa" w:w="5429"/>
            <w:tcMar>
              <w:top w:type="dxa" w:w="80"/>
              <w:left w:type="dxa" w:w="120"/>
              <w:bottom w:type="dxa" w:w="80"/>
              <w:right w:type="dxa" w:w="120"/>
            </w:tcMar>
          </w:tcPr>
          <w:p>
            <w:pPr>
              <w:spacing w:after="0" w:line="276"/>
            </w:pPr>
            <w:r>
              <w:rPr>
                <w:b/>
                <w:bCs/>
              </w:rPr>
              <w:t xml:space="preserve">14 — proposed</w:t>
            </w:r>
          </w:p>
        </w:tc>
      </w:tr>
      <w:tr>
        <w:trPr>
          <w:tblHeader w:val="off"/>
        </w:trPr>
        <w:tc>
          <w:tcPr>
            <w:tcW w:type="dxa" w:w="3931"/>
            <w:tcMar>
              <w:top w:type="dxa" w:w="80"/>
              <w:left w:type="dxa" w:w="120"/>
              <w:bottom w:type="dxa" w:w="80"/>
              <w:right w:type="dxa" w:w="120"/>
            </w:tcMar>
          </w:tcPr>
          <w:p>
            <w:pPr>
              <w:spacing w:after="0" w:line="276"/>
            </w:pPr>
            <w:r>
              <w:t xml:space="preserve">5. Opportunity</w:t>
            </w:r>
          </w:p>
        </w:tc>
        <w:tc>
          <w:tcPr>
            <w:tcW w:type="dxa" w:w="5429"/>
            <w:tcMar>
              <w:top w:type="dxa" w:w="80"/>
              <w:left w:type="dxa" w:w="120"/>
              <w:bottom w:type="dxa" w:w="80"/>
              <w:right w:type="dxa" w:w="120"/>
            </w:tcMar>
          </w:tcPr>
          <w:p>
            <w:pPr>
              <w:spacing w:after="0" w:line="276"/>
            </w:pPr>
            <w:r>
              <w:rPr>
                <w:b/>
                <w:bCs/>
              </w:rPr>
              <w:t xml:space="preserve">15 — proposed</w:t>
            </w:r>
          </w:p>
        </w:tc>
      </w:tr>
      <w:tr>
        <w:trPr>
          <w:tblHeader w:val="off"/>
        </w:trPr>
        <w:tc>
          <w:tcPr>
            <w:tcW w:type="dxa" w:w="3931"/>
            <w:tcMar>
              <w:top w:type="dxa" w:w="80"/>
              <w:left w:type="dxa" w:w="120"/>
              <w:bottom w:type="dxa" w:w="80"/>
              <w:right w:type="dxa" w:w="120"/>
            </w:tcMar>
          </w:tcPr>
          <w:p>
            <w:pPr>
              <w:spacing w:after="0" w:line="276"/>
            </w:pPr>
            <w:r>
              <w:t xml:space="preserve">6. Income</w:t>
            </w:r>
          </w:p>
        </w:tc>
        <w:tc>
          <w:tcPr>
            <w:tcW w:type="dxa" w:w="5429"/>
            <w:tcMar>
              <w:top w:type="dxa" w:w="80"/>
              <w:left w:type="dxa" w:w="120"/>
              <w:bottom w:type="dxa" w:w="80"/>
              <w:right w:type="dxa" w:w="120"/>
            </w:tcMar>
          </w:tcPr>
          <w:p>
            <w:pPr>
              <w:spacing w:after="0" w:line="276"/>
            </w:pPr>
            <w:r>
              <w:rPr>
                <w:b/>
                <w:bCs/>
              </w:rPr>
              <w:t xml:space="preserve">16 — proposed</w:t>
            </w:r>
          </w:p>
        </w:tc>
      </w:tr>
      <w:tr>
        <w:trPr>
          <w:tblHeader w:val="off"/>
        </w:trPr>
        <w:tc>
          <w:tcPr>
            <w:tcW w:type="dxa" w:w="3931"/>
            <w:tcMar>
              <w:top w:type="dxa" w:w="80"/>
              <w:left w:type="dxa" w:w="120"/>
              <w:bottom w:type="dxa" w:w="80"/>
              <w:right w:type="dxa" w:w="120"/>
            </w:tcMar>
          </w:tcPr>
          <w:p>
            <w:pPr>
              <w:spacing w:after="0" w:line="276"/>
            </w:pPr>
            <w:r>
              <w:t xml:space="preserve">(cross-cutting)</w:t>
            </w:r>
          </w:p>
        </w:tc>
        <w:tc>
          <w:tcPr>
            <w:tcW w:type="dxa" w:w="5429"/>
            <w:tcMar>
              <w:top w:type="dxa" w:w="80"/>
              <w:left w:type="dxa" w:w="120"/>
              <w:bottom w:type="dxa" w:w="80"/>
              <w:right w:type="dxa" w:w="120"/>
            </w:tcMar>
          </w:tcPr>
          <w:p>
            <w:pPr>
              <w:spacing w:after="0" w:line="276"/>
            </w:pPr>
            <w:r>
              <w:rPr>
                <w:b/>
                <w:bCs/>
              </w:rPr>
              <w:t xml:space="preserve">17 — proposed: AI</w:t>
            </w:r>
          </w:p>
        </w:tc>
      </w:tr>
      <w:tr>
        <w:trPr>
          <w:tblHeader w:val="off"/>
        </w:trPr>
        <w:tc>
          <w:tcPr>
            <w:tcW w:type="dxa" w:w="3931"/>
            <w:tcMar>
              <w:top w:type="dxa" w:w="80"/>
              <w:left w:type="dxa" w:w="120"/>
              <w:bottom w:type="dxa" w:w="80"/>
              <w:right w:type="dxa" w:w="120"/>
            </w:tcMar>
          </w:tcPr>
          <w:p>
            <w:pPr>
              <w:spacing w:after="0" w:line="276"/>
            </w:pPr>
            <w:r>
              <w:t xml:space="preserve">7. Ownership</w:t>
            </w:r>
          </w:p>
        </w:tc>
        <w:tc>
          <w:tcPr>
            <w:tcW w:type="dxa" w:w="5429"/>
            <w:tcMar>
              <w:top w:type="dxa" w:w="80"/>
              <w:left w:type="dxa" w:w="120"/>
              <w:bottom w:type="dxa" w:w="80"/>
              <w:right w:type="dxa" w:w="120"/>
            </w:tcMar>
          </w:tcPr>
          <w:p>
            <w:pPr>
              <w:spacing w:after="0" w:line="276"/>
            </w:pPr>
            <w:r>
              <w:rPr>
                <w:b/>
                <w:bCs/>
              </w:rPr>
              <w:t xml:space="preserve">18 — proposed</w:t>
            </w:r>
          </w:p>
        </w:tc>
      </w:tr>
      <w:tr>
        <w:trPr>
          <w:tblHeader w:val="off"/>
        </w:trPr>
        <w:tc>
          <w:tcPr>
            <w:tcW w:type="dxa" w:w="3931"/>
            <w:tcMar>
              <w:top w:type="dxa" w:w="80"/>
              <w:left w:type="dxa" w:w="120"/>
              <w:bottom w:type="dxa" w:w="80"/>
              <w:right w:type="dxa" w:w="120"/>
            </w:tcMar>
          </w:tcPr>
          <w:p>
            <w:pPr>
              <w:spacing w:after="0" w:line="276"/>
            </w:pPr>
            <w:r>
              <w:t xml:space="preserve">(capstone)</w:t>
            </w:r>
          </w:p>
        </w:tc>
        <w:tc>
          <w:tcPr>
            <w:tcW w:type="dxa" w:w="5429"/>
            <w:tcMar>
              <w:top w:type="dxa" w:w="80"/>
              <w:left w:type="dxa" w:w="120"/>
              <w:bottom w:type="dxa" w:w="80"/>
              <w:right w:type="dxa" w:w="120"/>
            </w:tcMar>
          </w:tcPr>
          <w:p>
            <w:pPr>
              <w:spacing w:after="0" w:line="276"/>
            </w:pPr>
            <w:r>
              <w:rPr>
                <w:b/>
                <w:bCs/>
              </w:rPr>
              <w:t xml:space="preserve">19 — proposed</w:t>
            </w:r>
          </w:p>
        </w:tc>
      </w:tr>
    </w:tbl>
    <w:p>
      <w:pPr>
        <w:spacing w:after="120"/>
      </w:pPr>
    </w:p>
    <w:p>
      <w:pPr>
        <w:pStyle w:val="Heading2"/>
      </w:pPr>
      <w:r>
        <w:t xml:space="preserve">Part I — The Currencies (complete, ≈39,500 words)</w:t>
      </w:r>
    </w:p>
    <w:p>
      <w:r>
        <w:t xml:space="preserve">Chapter 1 — Attention (5,791) · Chapter 2 — Emotion (4,146) · Chapter 3 — Time (4,513) · Chapter 4 — Trust (4,645) · Chapter 5 — Influence (4,503) · Chapter 6 — Opportunity (4,847) · Chapter 7 — Income (6,116) · Chapter 8 — Ownership (4,937)</w:t>
      </w:r>
    </w:p>
    <w:p>
      <w:pPr>
        <w:pStyle w:val="Heading2"/>
      </w:pPr>
      <w:r>
        <w:t xml:space="preserve">Part II — Putting It to Work: written so far</w:t>
      </w:r>
    </w:p>
    <w:p>
      <w:r>
        <w:t xml:space="preserve">Word counts for 9–11 are estimates from the drafts and worth confirming against the documents' own count.</w:t>
      </w:r>
    </w:p>
    <w:p>
      <w:r>
        <w:rPr>
          <w:b/>
          <w:bCs/>
        </w:rPr>
        <w:t xml:space="preserve">Chapter 9 — The Whole System in Motion</w:t>
      </w:r>
      <w:r>
        <w:t xml:space="preserve"> (≈6,500). The eight currencies running as one pipeline, with real money traced through it: Herbert Simon on the poverty of attention; Alphabet and Meta advertising revenue; daily social media time; where data enters and the difference between platforms selling </w:t>
      </w:r>
      <w:r>
        <w:rPr>
          <w:i/>
          <w:iCs/>
        </w:rPr>
        <w:t xml:space="preserve">access</w:t>
      </w:r>
      <w:r>
        <w:t xml:space="preserve"> and data brokers selling </w:t>
      </w:r>
      <w:r>
        <w:rPr>
          <w:i/>
          <w:iCs/>
        </w:rPr>
        <w:t xml:space="preserve">data</w:t>
      </w:r>
      <w:r>
        <w:t xml:space="preserve">; emotion and time as fuel; outrage as an emergent property rather than a conspiracy; users as raw material, unpaid factory and product at once; Starbucks' loyalty float and breakage as trust converted into a balance-sheet asset; Kevin Kelly's thousand true fans; the potter and the nurse — build with it, or defend against it.</w:t>
      </w:r>
    </w:p>
    <w:p>
      <w:r>
        <w:rPr>
          <w:b/>
          <w:bCs/>
        </w:rPr>
        <w:t xml:space="preserve">Chapter 10 — The Business of Free</w:t>
      </w:r>
      <w:r>
        <w:t xml:space="preserve"> (≈7,000). Five distinct ways free gets paid for — you are the product; free as sample (Spotify's free vs Premium revenue split); free now, paid forever (the printer, and the correction to the Gillette razors-and-blades myth); the loss leader (Costco's chicken, hot dog and membership fees); free for most, paid by a few (free-to-play whales). Then free as the on-ramp for a person with no money, and the test for giving it honestly.</w:t>
      </w:r>
    </w:p>
    <w:p>
      <w:r>
        <w:rPr>
          <w:b/>
          <w:bCs/>
        </w:rPr>
        <w:t xml:space="preserve">Chapter 11 — The First Second</w:t>
      </w:r>
      <w:r>
        <w:t xml:space="preserve"> (≈6,300). The attention rung. The half-second verdict; the eight-second goldfish myth debunked and replaced with Gloria Mark's measured forty-seven seconds; the three levers that catch a glance — novelty, the curiosity gap (Loewenstein), the open loop (Zeigarnik); capture versus keep, and clickbait as capture without keep; the honest hook, specificity, and aiming at the right person instead of everyone; the baker's dense-loaf hook worked through end to end; Godin on permission versus interruption, and the two grades of permission — rented reach on a platform versus a direct line you hold.</w:t>
      </w:r>
    </w:p>
    <w:p>
      <w:r>
        <w:rPr>
          <w:b/>
          <w:bCs/>
        </w:rPr>
        <w:t xml:space="preserve">Chapter 12 — Worth Coming Back To</w:t>
      </w:r>
      <w:r>
        <w:t xml:space="preserve"> (≈7,100). The engagement rung. Engagement defined as repeated, valued attention that does </w:t>
      </w:r>
      <w:r>
        <w:rPr>
          <w:i/>
          <w:iCs/>
        </w:rPr>
        <w:t xml:space="preserve">not</w:t>
      </w:r>
      <w:r>
        <w:t xml:space="preserve"> require a reply; what the platforms learned moving from clicks to watch time to "valued watchtime," engagement bait, and sends; one-way attention — streaks, para-social relationships, AI companions — handled without absolute claims; Gottman's bids for connection used as a flagged analogy; the six-step return loop; the people file with full privacy rules including AI tools; what to measure; when engagement becomes trust; your first ten conversations.</w:t>
      </w:r>
    </w:p>
    <w:p>
      <w:r>
        <w:rPr>
          <w:b/>
          <w:bCs/>
        </w:rPr>
        <w:t xml:space="preserve">Chapter 13 — Trust at Scale</w:t>
      </w:r>
      <w:r>
        <w:t xml:space="preserve"> (5,546). The trust rung, scaled. Akerlof's lemons problem and Spence's costly signals; the four machines — brands, ratings and reviews, credentials and licenses, scores and verification; who owns that machinery and charges rent on it; how thoroughly it is faked, with the Yelp fraud research and the FTC case file through to the 2024 rule; the signals that remain hard to fake; seven steps to credibility from zero; a worked US example with numbers; recovering from a real failure; reading other people's trust signals.</w:t>
      </w:r>
    </w:p>
    <w:p>
      <w:r>
        <w:rPr>
          <w:b/>
          <w:bCs/>
        </w:rPr>
        <w:t xml:space="preserve">Part II so far: ≈32,500 words. Manuscript to date: ≈72,000 words.</w:t>
      </w:r>
    </w:p>
    <w:p>
      <w:pPr>
        <w:pStyle w:val="Heading2"/>
      </w:pPr>
      <w:r>
        <w:t xml:space="preserve">Part II — Proposed remaining chapters</w:t>
      </w:r>
    </w:p>
    <w:p>
      <w:r>
        <w:t xml:space="preserve">Each entry names the rung, the institutional half, the reader half, the non-social-media example, and — importantly — what it must not re-tread, since five chapters of ground is now covered.</w:t>
      </w:r>
    </w:p>
    <w:p>
      <w:pPr>
        <w:pStyle w:val="Heading3"/>
      </w:pPr>
      <w:r>
        <w:t xml:space="preserve">Chapter 14 — Persuasion Without Manipulation </w:t>
      </w:r>
      <w:r>
        <w:rPr>
          <w:i/>
          <w:iCs/>
        </w:rPr>
        <w:t xml:space="preserve">(the Influence rung)</w:t>
      </w:r>
    </w:p>
    <w:p>
      <w:r>
        <w:rPr>
          <w:b/>
          <w:bCs/>
        </w:rPr>
        <w:t xml:space="preserve">Institutions:</w:t>
      </w:r>
      <w:r>
        <w:t xml:space="preserve"> how influence is manufactured and sold — advertising's actual mechanics, scarcity and urgency as engineered pressure, dark patterns and the enforcement against them, behavioral "nudge" units inside governments and companies, the influencer economy and the disclosure rules that govern it, political persuasion.</w:t>
      </w:r>
    </w:p>
    <w:p>
      <w:r>
        <w:rPr>
          <w:b/>
          <w:bCs/>
        </w:rPr>
        <w:t xml:space="preserve">The reader:</w:t>
      </w:r>
      <w:r>
        <w:t xml:space="preserve"> what you owe people who trust you. The working line between persuasion and manipulation — does this work by giving the person better information, or by exploiting a weakness they would object to if they saw it? How to sell to people who trust you without spending the trust: stating the downside, naming who it isn't for, talking someone out of a purchase, disclosure, and the price of one dishonest sale against a reputation built over years.</w:t>
      </w:r>
    </w:p>
    <w:p>
      <w:r>
        <w:rPr>
          <w:b/>
          <w:bCs/>
        </w:rPr>
        <w:t xml:space="preserve">Outside social media:</w:t>
      </w:r>
      <w:r>
        <w:t xml:space="preserve"> a salary negotiation, and a tradesperson quoting a job honestly against a competitor using pressure tactics.</w:t>
      </w:r>
    </w:p>
    <w:p>
      <w:r>
        <w:rPr>
          <w:b/>
          <w:bCs/>
        </w:rPr>
        <w:t xml:space="preserve">Must not repeat:</w:t>
      </w:r>
      <w:r>
        <w:t xml:space="preserve"> social proof (done in 13), the capture levers (11), free as a hook (10), review manipulation (13).</w:t>
      </w:r>
    </w:p>
    <w:p>
      <w:pPr>
        <w:pStyle w:val="Heading3"/>
      </w:pPr>
      <w:r>
        <w:t xml:space="preserve">Chapter 15 — Doors You Can Open </w:t>
      </w:r>
      <w:r>
        <w:rPr>
          <w:i/>
          <w:iCs/>
        </w:rPr>
        <w:t xml:space="preserve">(the Opportunity rung)</w:t>
      </w:r>
    </w:p>
    <w:p>
      <w:r>
        <w:rPr>
          <w:b/>
          <w:bCs/>
        </w:rPr>
        <w:t xml:space="preserve">Institutions:</w:t>
      </w:r>
      <w:r>
        <w:t xml:space="preserve"> how opportunity is gated and rationed — credentials as filters, referral hiring, algorithmic screening of applications, professional networks as closed systems, who gets seen and who never surfaces. Why the gates exist and what they are actually measuring.</w:t>
      </w:r>
    </w:p>
    <w:p>
      <w:r>
        <w:rPr>
          <w:b/>
          <w:bCs/>
        </w:rPr>
        <w:t xml:space="preserve">The reader:</w:t>
      </w:r>
      <w:r>
        <w:t xml:space="preserve"> manufacturing opportunity with no money, no connections and no audience. Being findable. Proof of work in place of permission. The specific, small, easy-to-say-yes-to ask. Granovetter's weak ties and the large-scale experimental evidence that moderately weak connections do the most for job mobility — which is an argument for a wide, shallow network over a tight one, and a practical instruction for someone who knows almost nobody. Cold outreach that actually gets answered. Getting into rooms: volunteering, local trade and business groups, community organizations, apprenticeships. Grants, contracts and partnerships, not just clients.</w:t>
      </w:r>
    </w:p>
    <w:p>
      <w:r>
        <w:rPr>
          <w:b/>
          <w:bCs/>
        </w:rPr>
        <w:t xml:space="preserve">Outside social media:</w:t>
      </w:r>
      <w:r>
        <w:t xml:space="preserve"> a job search run entirely offline; a cleaner who turns one apartment building into eleven.</w:t>
      </w:r>
    </w:p>
    <w:p>
      <w:r>
        <w:rPr>
          <w:b/>
          <w:bCs/>
        </w:rPr>
        <w:t xml:space="preserve">Must not repeat:</w:t>
      </w:r>
      <w:r>
        <w:t xml:space="preserve"> Chapter 6's treatment of opportunity as a currency — 15 is the applied playbook, not the concept.</w:t>
      </w:r>
    </w:p>
    <w:p>
      <w:pPr>
        <w:pStyle w:val="Heading3"/>
      </w:pPr>
      <w:r>
        <w:t xml:space="preserve">Chapter 16 — Getting Paid for What You Know </w:t>
      </w:r>
      <w:r>
        <w:rPr>
          <w:i/>
          <w:iCs/>
        </w:rPr>
        <w:t xml:space="preserve">(the Income rung)</w:t>
      </w:r>
    </w:p>
    <w:p>
      <w:r>
        <w:rPr>
          <w:b/>
          <w:bCs/>
        </w:rPr>
        <w:t xml:space="preserve">Institutions:</w:t>
      </w:r>
      <w:r>
        <w:t xml:space="preserve"> how platforms and employers price other people's labor and knowledge — marketplace take rates, gig pricing algorithms, the gap between what work earns and what the intermediary keeps, why salaried knowledge work is priced the way it is.</w:t>
      </w:r>
    </w:p>
    <w:p>
      <w:r>
        <w:rPr>
          <w:b/>
          <w:bCs/>
        </w:rPr>
        <w:t xml:space="preserve">The reader:</w:t>
      </w:r>
      <w:r>
        <w:t xml:space="preserve"> the honest routes from skill to money, with the same real-numbers treatment as Chapter 7 and clearly flagged as illustrations. Services; the productized service; teaching and small cohorts; local skills that need no audience at all; licensing; writing and small digital products; affiliate and sponsorship done honestly. Pricing: cost-plus versus value, how to raise a price, what happens when you do. The arithmetic that matters most to this book — why fifty customers who trust you beat fifty thousand followers who don't.</w:t>
      </w:r>
    </w:p>
    <w:p>
      <w:r>
        <w:rPr>
          <w:b/>
          <w:bCs/>
        </w:rPr>
        <w:t xml:space="preserve">Outside social media:</w:t>
      </w:r>
      <w:r>
        <w:t xml:space="preserve"> a welder who starts selling jigs; a bookkeeper to payroll service; a nurse teaching certification classes on weekends.</w:t>
      </w:r>
    </w:p>
    <w:p>
      <w:r>
        <w:rPr>
          <w:b/>
          <w:bCs/>
        </w:rPr>
        <w:t xml:space="preserve">Must not repeat:</w:t>
      </w:r>
      <w:r>
        <w:t xml:space="preserve"> Chapter 7's income concepts; Kelly's thousand true fans (9); free-as-funnel (10).</w:t>
      </w:r>
    </w:p>
    <w:p>
      <w:pPr>
        <w:pStyle w:val="Heading3"/>
      </w:pPr>
      <w:r>
        <w:t xml:space="preserve">Chapter 17 — When the Machines Join the Market </w:t>
      </w:r>
      <w:r>
        <w:rPr>
          <w:i/>
          <w:iCs/>
        </w:rPr>
        <w:t xml:space="preserve">(AI across all seven rungs)</w:t>
      </w:r>
    </w:p>
    <w:p>
      <w:r>
        <w:t xml:space="preserve">This is the chapter that keeps the book current, and it earns its place by running the two questions against each rung rather than becoming a technology chapter.</w:t>
      </w:r>
    </w:p>
    <w:p>
      <w:r>
        <w:rPr>
          <w:b/>
          <w:bCs/>
        </w:rPr>
        <w:t xml:space="preserve">Institutions:</w:t>
      </w:r>
      <w:r>
        <w:t xml:space="preserve"> what changes when competent output becomes nearly free — content abundance and the collapsing price of the commodity version of almost everything; synthetic trust signals; persuasion generated and targeted at scale; and the quiet one that matters most, your work and your data as training material, including who is licensing it and who is not asking.</w:t>
      </w:r>
    </w:p>
    <w:p>
      <w:r>
        <w:rPr>
          <w:b/>
          <w:bCs/>
        </w:rPr>
        <w:t xml:space="preserve">The reader:</w:t>
      </w:r>
      <w:r>
        <w:t xml:space="preserve"> which of your currencies just got cheaper and which just got dearer. The argument, made concretely: as output becomes abundant, judgment, taste, accountability, relationships and a name that can be held responsible become the scarce goods. What to automate and what to keep human, with the line drawn where Chapter 12 drew it. How to use these tools without laundering your own credibility away. What to do about your work being trained on.</w:t>
      </w:r>
    </w:p>
    <w:p>
      <w:r>
        <w:rPr>
          <w:b/>
          <w:bCs/>
        </w:rPr>
        <w:t xml:space="preserve">Outside social media:</w:t>
      </w:r>
      <w:r>
        <w:t xml:space="preserve"> a paralegal, a translator and a graphic designer, each facing a different version of the same squeeze.</w:t>
      </w:r>
    </w:p>
    <w:p>
      <w:r>
        <w:rPr>
          <w:b/>
          <w:bCs/>
        </w:rPr>
        <w:t xml:space="preserve">Must not repeat:</w:t>
      </w:r>
      <w:r>
        <w:t xml:space="preserve"> Chapter 12's AI-companion and people-file material; Chapter 13's AI-generated reviews.</w:t>
      </w:r>
    </w:p>
    <w:p>
      <w:pPr>
        <w:pStyle w:val="Heading3"/>
      </w:pPr>
      <w:r>
        <w:t xml:space="preserve">Chapter 18 — Owning the Thing You Built </w:t>
      </w:r>
      <w:r>
        <w:rPr>
          <w:i/>
          <w:iCs/>
        </w:rPr>
        <w:t xml:space="preserve">(the Ownership rung)</w:t>
      </w:r>
    </w:p>
    <w:p>
      <w:r>
        <w:rPr>
          <w:b/>
          <w:bCs/>
        </w:rPr>
        <w:t xml:space="preserve">Institutions:</w:t>
      </w:r>
      <w:r>
        <w:t xml:space="preserve"> what you hand over for nothing and what it is worth — your data, your content, your reviews, your reputation, your audience, all held on someone else's balance sheet. Terms of service as an ownership document. What happens to people who built on rented ground when the rent changes.</w:t>
      </w:r>
    </w:p>
    <w:p>
      <w:r>
        <w:rPr>
          <w:b/>
          <w:bCs/>
        </w:rPr>
        <w:t xml:space="preserve">The reader:</w:t>
      </w:r>
      <w:r>
        <w:t xml:space="preserve"> what an ordinary person can actually own. The direct relationship. The name, the domain, the archive. Intellectual property, and who owns work made for an employer or a client — the contract question most people never ask. Royalties and licensing instead of selling your time again. Systems and processes as assets. Customer lists. Equity, and the forms of it available to someone with no capital. Moving from paid-by-the-hour to paid-by-the-asset, with the arithmetic.</w:t>
      </w:r>
    </w:p>
    <w:p>
      <w:r>
        <w:rPr>
          <w:b/>
          <w:bCs/>
        </w:rPr>
        <w:t xml:space="preserve">Outside social media:</w:t>
      </w:r>
      <w:r>
        <w:t xml:space="preserve"> a photographer licensing an archive; a tutor who turns a curriculum into a licensed product; an employee reading the IP clause in their own contract.</w:t>
      </w:r>
    </w:p>
    <w:p>
      <w:r>
        <w:rPr>
          <w:b/>
          <w:bCs/>
        </w:rPr>
        <w:t xml:space="preserve">Must not repeat:</w:t>
      </w:r>
      <w:r>
        <w:t xml:space="preserve"> Chapter 11's rented-versus-owned reach and Chapter 12's "control is not ownership" caution — both are already in the manuscript. Chapter 18 starts where they stop and goes well beyond the email list.</w:t>
      </w:r>
    </w:p>
    <w:p>
      <w:pPr>
        <w:pStyle w:val="Heading3"/>
      </w:pPr>
      <w:r>
        <w:t xml:space="preserve">Chapter 19 — Your Own Ladder </w:t>
      </w:r>
      <w:r>
        <w:rPr>
          <w:i/>
          <w:iCs/>
        </w:rPr>
        <w:t xml:space="preserve">(the capstone)</w:t>
      </w:r>
    </w:p>
    <w:p>
      <w:r>
        <w:t xml:space="preserve">Not a summary. A plan. One journey, assembled from everything above: a rung-by-rung twelve-month sequence with checkpoints and honest timescales, worked three ways for three different readers — someone with a trade and no interest in the internet, someone with knowledge but no audience, and someone who wants nothing from the book but their attention back. The ethics test restated as the thing that holds it all together. Closing argument: the reader now knows how the attention economy works, how it works on them, and how to participate in it intelligently without compromising their integrity.</w:t>
      </w:r>
    </w:p>
    <w:p>
      <w:pPr>
        <w:pStyle w:val="Heading2"/>
      </w:pPr>
      <w:r>
        <w:t xml:space="preserve">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872"/>
        <w:gridCol w:w="2621"/>
      </w:tblGrid>
      <w:tr>
        <w:trPr>
          <w:tblHeader/>
        </w:trPr>
        <w:tc>
          <w:tcPr>
            <w:tcW w:type="dxa" w:w="4867"/>
            <w:shd w:fill="EFEFEF" w:color="auto" w:val="clear"/>
            <w:tcMar>
              <w:top w:type="dxa" w:w="80"/>
              <w:left w:type="dxa" w:w="120"/>
              <w:bottom w:type="dxa" w:w="80"/>
              <w:right w:type="dxa" w:w="120"/>
            </w:tcMar>
          </w:tcPr>
          <w:p>
            <w:pPr>
              <w:spacing w:after="0" w:line="276"/>
            </w:pPr>
            <w:r>
              <w:rPr>
                <w:b/>
                <w:bCs/>
              </w:rPr>
              <w:t xml:space="preserve"/>
            </w:r>
          </w:p>
        </w:tc>
        <w:tc>
          <w:tcPr>
            <w:tcW w:type="dxa" w:w="1872"/>
            <w:shd w:fill="EFEFEF" w:color="auto" w:val="clear"/>
            <w:tcMar>
              <w:top w:type="dxa" w:w="80"/>
              <w:left w:type="dxa" w:w="120"/>
              <w:bottom w:type="dxa" w:w="80"/>
              <w:right w:type="dxa" w:w="120"/>
            </w:tcMar>
          </w:tcPr>
          <w:p>
            <w:pPr>
              <w:spacing w:after="0" w:line="276"/>
            </w:pPr>
            <w:r>
              <w:rPr>
                <w:b/>
                <w:bCs/>
              </w:rPr>
              <w:t xml:space="preserve">Words</w:t>
            </w:r>
          </w:p>
        </w:tc>
        <w:tc>
          <w:tcPr>
            <w:tcW w:type="dxa" w:w="2621"/>
            <w:shd w:fill="EFEFEF" w:color="auto" w:val="clear"/>
            <w:tcMar>
              <w:top w:type="dxa" w:w="80"/>
              <w:left w:type="dxa" w:w="120"/>
              <w:bottom w:type="dxa" w:w="80"/>
              <w:right w:type="dxa" w:w="120"/>
            </w:tcMar>
          </w:tcPr>
          <w:p>
            <w:pPr>
              <w:spacing w:after="0" w:line="276"/>
            </w:pPr>
            <w:r>
              <w:rPr>
                <w:b/>
                <w:bCs/>
              </w:rPr>
              <w:t xml:space="preserve">Printed pages (≈275/page)</w:t>
            </w:r>
          </w:p>
        </w:tc>
      </w:tr>
      <w:tr>
        <w:trPr>
          <w:tblHeader w:val="off"/>
        </w:trPr>
        <w:tc>
          <w:tcPr>
            <w:tcW w:type="dxa" w:w="4867"/>
            <w:tcMar>
              <w:top w:type="dxa" w:w="80"/>
              <w:left w:type="dxa" w:w="120"/>
              <w:bottom w:type="dxa" w:w="80"/>
              <w:right w:type="dxa" w:w="120"/>
            </w:tcMar>
          </w:tcPr>
          <w:p>
            <w:pPr>
              <w:spacing w:after="0" w:line="276"/>
            </w:pPr>
            <w:r>
              <w:t xml:space="preserve">Part I (complete)</w:t>
            </w:r>
          </w:p>
        </w:tc>
        <w:tc>
          <w:tcPr>
            <w:tcW w:type="dxa" w:w="1872"/>
            <w:tcMar>
              <w:top w:type="dxa" w:w="80"/>
              <w:left w:type="dxa" w:w="120"/>
              <w:bottom w:type="dxa" w:w="80"/>
              <w:right w:type="dxa" w:w="120"/>
            </w:tcMar>
          </w:tcPr>
          <w:p>
            <w:pPr>
              <w:spacing w:after="0" w:line="276"/>
            </w:pPr>
            <w:r>
              <w:t xml:space="preserve">≈39,500</w:t>
            </w:r>
          </w:p>
        </w:tc>
        <w:tc>
          <w:tcPr>
            <w:tcW w:type="dxa" w:w="2621"/>
            <w:tcMar>
              <w:top w:type="dxa" w:w="80"/>
              <w:left w:type="dxa" w:w="120"/>
              <w:bottom w:type="dxa" w:w="80"/>
              <w:right w:type="dxa" w:w="120"/>
            </w:tcMar>
          </w:tcPr>
          <w:p>
            <w:pPr>
              <w:spacing w:after="0" w:line="276"/>
            </w:pPr>
            <w:r>
              <w:t xml:space="preserve">145</w:t>
            </w:r>
          </w:p>
        </w:tc>
      </w:tr>
      <w:tr>
        <w:trPr>
          <w:tblHeader w:val="off"/>
        </w:trPr>
        <w:tc>
          <w:tcPr>
            <w:tcW w:type="dxa" w:w="4867"/>
            <w:tcMar>
              <w:top w:type="dxa" w:w="80"/>
              <w:left w:type="dxa" w:w="120"/>
              <w:bottom w:type="dxa" w:w="80"/>
              <w:right w:type="dxa" w:w="120"/>
            </w:tcMar>
          </w:tcPr>
          <w:p>
            <w:pPr>
              <w:spacing w:after="0" w:line="276"/>
            </w:pPr>
            <w:r>
              <w:t xml:space="preserve">Part II, Chapters 9–13 (complete)</w:t>
            </w:r>
          </w:p>
        </w:tc>
        <w:tc>
          <w:tcPr>
            <w:tcW w:type="dxa" w:w="1872"/>
            <w:tcMar>
              <w:top w:type="dxa" w:w="80"/>
              <w:left w:type="dxa" w:w="120"/>
              <w:bottom w:type="dxa" w:w="80"/>
              <w:right w:type="dxa" w:w="120"/>
            </w:tcMar>
          </w:tcPr>
          <w:p>
            <w:pPr>
              <w:spacing w:after="0" w:line="276"/>
            </w:pPr>
            <w:r>
              <w:t xml:space="preserve">≈32,500</w:t>
            </w:r>
          </w:p>
        </w:tc>
        <w:tc>
          <w:tcPr>
            <w:tcW w:type="dxa" w:w="2621"/>
            <w:tcMar>
              <w:top w:type="dxa" w:w="80"/>
              <w:left w:type="dxa" w:w="120"/>
              <w:bottom w:type="dxa" w:w="80"/>
              <w:right w:type="dxa" w:w="120"/>
            </w:tcMar>
          </w:tcPr>
          <w:p>
            <w:pPr>
              <w:spacing w:after="0" w:line="276"/>
            </w:pPr>
            <w:r>
              <w:t xml:space="preserve">118</w:t>
            </w:r>
          </w:p>
        </w:tc>
      </w:tr>
      <w:tr>
        <w:trPr>
          <w:tblHeader w:val="off"/>
        </w:trPr>
        <w:tc>
          <w:tcPr>
            <w:tcW w:type="dxa" w:w="4867"/>
            <w:tcMar>
              <w:top w:type="dxa" w:w="80"/>
              <w:left w:type="dxa" w:w="120"/>
              <w:bottom w:type="dxa" w:w="80"/>
              <w:right w:type="dxa" w:w="120"/>
            </w:tcMar>
          </w:tcPr>
          <w:p>
            <w:pPr>
              <w:spacing w:after="0" w:line="276"/>
            </w:pPr>
            <w:r>
              <w:rPr>
                <w:b/>
                <w:bCs/>
              </w:rPr>
              <w:t xml:space="preserve">Written so far</w:t>
            </w:r>
          </w:p>
        </w:tc>
        <w:tc>
          <w:tcPr>
            <w:tcW w:type="dxa" w:w="1872"/>
            <w:tcMar>
              <w:top w:type="dxa" w:w="80"/>
              <w:left w:type="dxa" w:w="120"/>
              <w:bottom w:type="dxa" w:w="80"/>
              <w:right w:type="dxa" w:w="120"/>
            </w:tcMar>
          </w:tcPr>
          <w:p>
            <w:pPr>
              <w:spacing w:after="0" w:line="276"/>
            </w:pPr>
            <w:r>
              <w:rPr>
                <w:b/>
                <w:bCs/>
              </w:rPr>
              <w:t xml:space="preserve">≈72,000</w:t>
            </w:r>
          </w:p>
        </w:tc>
        <w:tc>
          <w:tcPr>
            <w:tcW w:type="dxa" w:w="2621"/>
            <w:tcMar>
              <w:top w:type="dxa" w:w="80"/>
              <w:left w:type="dxa" w:w="120"/>
              <w:bottom w:type="dxa" w:w="80"/>
              <w:right w:type="dxa" w:w="120"/>
            </w:tcMar>
          </w:tcPr>
          <w:p>
            <w:pPr>
              <w:spacing w:after="0" w:line="276"/>
            </w:pPr>
            <w:r>
              <w:rPr>
                <w:b/>
                <w:bCs/>
              </w:rPr>
              <w:t xml:space="preserve">≈262</w:t>
            </w:r>
          </w:p>
        </w:tc>
      </w:tr>
      <w:tr>
        <w:trPr>
          <w:tblHeader w:val="off"/>
        </w:trPr>
        <w:tc>
          <w:tcPr>
            <w:tcW w:type="dxa" w:w="4867"/>
            <w:tcMar>
              <w:top w:type="dxa" w:w="80"/>
              <w:left w:type="dxa" w:w="120"/>
              <w:bottom w:type="dxa" w:w="80"/>
              <w:right w:type="dxa" w:w="120"/>
            </w:tcMar>
          </w:tcPr>
          <w:p>
            <w:pPr>
              <w:spacing w:after="0" w:line="276"/>
            </w:pPr>
            <w:r>
              <w:t xml:space="preserve">Chapters 14–19, six at 4,500–5,000</w:t>
            </w:r>
          </w:p>
        </w:tc>
        <w:tc>
          <w:tcPr>
            <w:tcW w:type="dxa" w:w="1872"/>
            <w:tcMar>
              <w:top w:type="dxa" w:w="80"/>
              <w:left w:type="dxa" w:w="120"/>
              <w:bottom w:type="dxa" w:w="80"/>
              <w:right w:type="dxa" w:w="120"/>
            </w:tcMar>
          </w:tcPr>
          <w:p>
            <w:pPr>
              <w:spacing w:after="0" w:line="276"/>
            </w:pPr>
            <w:r>
              <w:t xml:space="preserve">≈28,500</w:t>
            </w:r>
          </w:p>
        </w:tc>
        <w:tc>
          <w:tcPr>
            <w:tcW w:type="dxa" w:w="2621"/>
            <w:tcMar>
              <w:top w:type="dxa" w:w="80"/>
              <w:left w:type="dxa" w:w="120"/>
              <w:bottom w:type="dxa" w:w="80"/>
              <w:right w:type="dxa" w:w="120"/>
            </w:tcMar>
          </w:tcPr>
          <w:p>
            <w:pPr>
              <w:spacing w:after="0" w:line="276"/>
            </w:pPr>
            <w:r>
              <w:t xml:space="preserve">104</w:t>
            </w:r>
          </w:p>
        </w:tc>
      </w:tr>
      <w:tr>
        <w:trPr>
          <w:tblHeader w:val="off"/>
        </w:trPr>
        <w:tc>
          <w:tcPr>
            <w:tcW w:type="dxa" w:w="4867"/>
            <w:tcMar>
              <w:top w:type="dxa" w:w="80"/>
              <w:left w:type="dxa" w:w="120"/>
              <w:bottom w:type="dxa" w:w="80"/>
              <w:right w:type="dxa" w:w="120"/>
            </w:tcMar>
          </w:tcPr>
          <w:p>
            <w:pPr>
              <w:spacing w:after="0" w:line="276"/>
            </w:pPr>
            <w:r>
              <w:rPr>
                <w:b/>
                <w:bCs/>
              </w:rPr>
              <w:t xml:space="preserve">Projected finished book</w:t>
            </w:r>
          </w:p>
        </w:tc>
        <w:tc>
          <w:tcPr>
            <w:tcW w:type="dxa" w:w="1872"/>
            <w:tcMar>
              <w:top w:type="dxa" w:w="80"/>
              <w:left w:type="dxa" w:w="120"/>
              <w:bottom w:type="dxa" w:w="80"/>
              <w:right w:type="dxa" w:w="120"/>
            </w:tcMar>
          </w:tcPr>
          <w:p>
            <w:pPr>
              <w:spacing w:after="0" w:line="276"/>
            </w:pPr>
            <w:r>
              <w:rPr>
                <w:b/>
                <w:bCs/>
              </w:rPr>
              <w:t xml:space="preserve">≈100,000</w:t>
            </w:r>
          </w:p>
        </w:tc>
        <w:tc>
          <w:tcPr>
            <w:tcW w:type="dxa" w:w="2621"/>
            <w:tcMar>
              <w:top w:type="dxa" w:w="80"/>
              <w:left w:type="dxa" w:w="120"/>
              <w:bottom w:type="dxa" w:w="80"/>
              <w:right w:type="dxa" w:w="120"/>
            </w:tcMar>
          </w:tcPr>
          <w:p>
            <w:pPr>
              <w:spacing w:after="0" w:line="276"/>
            </w:pPr>
            <w:r>
              <w:rPr>
                <w:b/>
                <w:bCs/>
              </w:rPr>
              <w:t xml:space="preserve">≈365</w:t>
            </w:r>
          </w:p>
        </w:tc>
      </w:tr>
    </w:tbl>
    <w:p>
      <w:pPr>
        <w:spacing w:after="120"/>
      </w:pPr>
    </w:p>
    <w:p>
      <w:r>
        <w:rPr>
          <w:b/>
          <w:bCs/>
        </w:rPr>
        <w:t xml:space="preserve">This needs a decision.</w:t>
      </w:r>
      <w:r>
        <w:t xml:space="preserve"> The original plan projected 75,000–80,000 words and 250–300 pages. The written chapters have run longer than the 4,500–5,000 target — Chapters 9 through 12 are each closer to 6,500–7,000 — so the manuscript is already at roughly 262 pages with seven rungs' worth of material still to write.</w:t>
      </w:r>
    </w:p>
    <w:p>
      <w:r>
        <w:t xml:space="preserve">Three options:</w:t>
      </w:r>
    </w:p>
    <w:p>
      <w:pPr>
        <w:pStyle w:val="ListParagraph"/>
        <w:numPr>
          <w:ilvl w:val="0"/>
          <w:numId w:val="3"/>
        </w:numPr>
      </w:pPr>
      <w:r>
        <w:rPr>
          <w:b/>
          <w:bCs/>
        </w:rPr>
        <w:t xml:space="preserve">Six remaining chapters, held to 4,500–5,000 each.</w:t>
      </w:r>
      <w:r>
        <w:t xml:space="preserve"> Lands near 100,000 words / 365 pages. A bigger book than planned, but an unremarkable size for this category, and it covers everything without compression. </w:t>
      </w:r>
      <w:r>
        <w:rPr>
          <w:i/>
          <w:iCs/>
        </w:rPr>
        <w:t xml:space="preserve">My recommendation.</w:t>
      </w:r>
    </w:p>
    <w:p>
      <w:pPr>
        <w:pStyle w:val="ListParagraph"/>
        <w:numPr>
          <w:ilvl w:val="0"/>
          <w:numId w:val="3"/>
        </w:numPr>
      </w:pPr>
      <w:r>
        <w:rPr>
          <w:b/>
          <w:bCs/>
        </w:rPr>
        <w:t xml:space="preserve">Five remaining chapters</w:t>
      </w:r>
      <w:r>
        <w:t xml:space="preserve"> — fold Chapter 17's AI material into the rungs it affects, inside 14, 16 and 18. Lands near 95,000 / 345 pages. Saves a chapter but scatters the strongest current-relevance thread, and risks each mention feeling bolted on.</w:t>
      </w:r>
    </w:p>
    <w:p>
      <w:pPr>
        <w:pStyle w:val="ListParagraph"/>
        <w:numPr>
          <w:ilvl w:val="0"/>
          <w:numId w:val="3"/>
        </w:numPr>
      </w:pPr>
      <w:r>
        <w:rPr>
          <w:b/>
          <w:bCs/>
        </w:rPr>
        <w:t xml:space="preserve">Six chapters, and a tightening pass over Chapters 9–12</w:t>
      </w:r>
      <w:r>
        <w:t xml:space="preserve"> to bring them back toward 5,000. Recovers roughly 7,000 words and lands near 93,000 / 340 pages. This is editing already-approved work, so it is a separate decision and probably better handled in the final edit than now.</w:t>
      </w:r>
    </w:p>
    <w:p>
      <w:pPr>
        <w:pStyle w:val="Heading2"/>
      </w:pPr>
      <w:r>
        <w:t xml:space="preserve">To start Chapter 14 I need</w:t>
      </w:r>
    </w:p>
    <w:p>
      <w:pPr>
        <w:pStyle w:val="ListParagraph"/>
        <w:numPr>
          <w:ilvl w:val="0"/>
          <w:numId w:val="4"/>
        </w:numPr>
      </w:pPr>
      <w:r>
        <w:t xml:space="preserve">Approval of the chapter list above, or your changes to it.</w:t>
      </w:r>
    </w:p>
    <w:p>
      <w:pPr>
        <w:pStyle w:val="ListParagraph"/>
        <w:numPr>
          <w:ilvl w:val="0"/>
          <w:numId w:val="4"/>
        </w:numPr>
      </w:pPr>
      <w:r>
        <w:t xml:space="preserve">Your choice on length — option 1, 2 or 3.</w:t>
      </w:r>
    </w:p>
    <w:p>
      <w:pPr>
        <w:pStyle w:val="ListParagraph"/>
        <w:numPr>
          <w:ilvl w:val="0"/>
          <w:numId w:val="4"/>
        </w:numPr>
      </w:pPr>
      <w:r>
        <w:t xml:space="preserve">Confirmation that American English and US figures now apply to the whole manuscript, including a pass over Chapters 1–12 for British spellings and currency, so the book is consistent rather than American from Chapter 13 onward.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abstractNum>
  <w:abstractNum w:abstractNumId="3" w15:restartNumberingAfterBreak="0">
    <w:multiLevelType w:val="hybridMultilevel"/>
    <w:lvl w:ilvl="0" w: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pPr>
        <w:spacing w:after="180" w:line="3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0"/>
    </w:pPr>
    <w:rPr>
      <w:rFonts w:ascii="Georgia" w:cs="Georgia" w:eastAsia="Georgia" w:hAnsi="Georgia"/>
      <w:b/>
      <w:bCs/>
      <w:color w:val="000000"/>
      <w:sz w:val="40"/>
      <w:szCs w:val="40"/>
    </w:rPr>
  </w:style>
  <w:style w:type="paragraph" w:styleId="Heading2">
    <w:name w:val="Heading 2"/>
    <w:basedOn w:val="Normal"/>
    <w:next w:val="Normal"/>
    <w:qFormat/>
    <w:pPr>
      <w:keepNext/>
      <w:spacing w:after="160" w:before="420"/>
    </w:pPr>
    <w:rPr>
      <w:rFonts w:ascii="Georgia" w:cs="Georgia" w:eastAsia="Georgia" w:hAnsi="Georgia"/>
      <w:b/>
      <w:bCs/>
      <w:color w:val="000000"/>
      <w:sz w:val="28"/>
      <w:szCs w:val="28"/>
    </w:rPr>
  </w:style>
  <w:style w:type="paragraph" w:styleId="Heading3">
    <w:name w:val="Heading 3"/>
    <w:basedOn w:val="Normal"/>
    <w:next w:val="Normal"/>
    <w:qFormat/>
    <w:pPr>
      <w:keepNext/>
      <w:spacing w:after="140" w:before="320"/>
    </w:pPr>
    <w:rPr>
      <w:rFonts w:ascii="Georgia" w:cs="Georgia" w:eastAsia="Georgia" w:hAnsi="Georgia"/>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outline-v2</dc:title>
  <dc:creator>Attention Is Currency</dc:creator>
  <cp:lastModifiedBy>Un-named</cp:lastModifiedBy>
  <cp:revision>1</cp:revision>
  <dcterms:created xsi:type="dcterms:W3CDTF">2026-10-15T18:22:42.656Z</dcterms:created>
  <dcterms:modified xsi:type="dcterms:W3CDTF">2026-10-15T18:22:42.657Z</dcterms:modified>
</cp:coreProperties>
</file>

<file path=docProps/custom.xml><?xml version="1.0" encoding="utf-8"?>
<Properties xmlns="http://schemas.openxmlformats.org/officeDocument/2006/custom-properties" xmlns:vt="http://schemas.openxmlformats.org/officeDocument/2006/docPropsVTypes"/>
</file>