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Overview</w:t>
      </w:r>
      <w:r>
        <w:t xml:space="preserve"> </w:t>
      </w:r>
      <w:r>
        <w:t xml:space="preserve">of</w:t>
      </w:r>
      <w:r>
        <w:t xml:space="preserve"> </w:t>
      </w:r>
      <w:r>
        <w:t xml:space="preserve">Transparent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MoBa</w:t>
      </w:r>
    </w:p>
    <w:p>
      <w:pPr>
        <w:pStyle w:val="Author"/>
      </w:pPr>
      <w:r>
        <w:t xml:space="preserve">Timo</w:t>
      </w:r>
      <w:r>
        <w:t xml:space="preserve"> </w:t>
      </w:r>
      <w:r>
        <w:t xml:space="preserve">Roettger</w:t>
      </w:r>
    </w:p>
    <w:p>
      <w:pPr>
        <w:pStyle w:val="Date"/>
      </w:pPr>
      <w:r>
        <w:t xml:space="preserve">2024-08-21</w:t>
      </w:r>
    </w:p>
    <w:bookmarkStart w:id="23" w:name="general-sample-characteristics"/>
    <w:p>
      <w:pPr>
        <w:pStyle w:val="Heading1"/>
      </w:pPr>
      <w:r>
        <w:t xml:space="preserve">General sample characteristics</w:t>
      </w:r>
    </w:p>
    <w:p>
      <w:pPr>
        <w:pStyle w:val="FirstParagraph"/>
      </w:pPr>
      <w:r>
        <w:t xml:space="preserve">799 articles were coded as in principle accessible (84.7%).</w:t>
      </w:r>
      <w:r>
        <w:t xml:space="preserve"> </w:t>
      </w:r>
      <w:r>
        <w:t xml:space="preserve">Only those articles were further analysed.</w:t>
      </w:r>
      <w:r>
        <w:t xml:space="preserve"> </w:t>
      </w:r>
      <w:r>
        <w:t xml:space="preserve">58 articles could not be accessed by the coder (6.2%); 24 articles were coded as not being a full article, i.e. conference abstract or an erratum (2.5%); 2 articles were coded as not being written in English (0.2%); and 60 articles were coded as having other issues (6.4%) 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2_descriptive_stats_files/figure-docx/plot_year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Of those articles that were in principle accessible, 701 articles were coded as secondary analysis of MoBa data (87.7%) and 32 were coded as being part of a meta analysis (including other epidemiological corpora, 4%).</w:t>
      </w:r>
      <w:r>
        <w:t xml:space="preserve"> </w:t>
      </w:r>
      <w:r>
        <w:t xml:space="preserve">Only those two categories were further evaluated.</w:t>
      </w:r>
      <w:r>
        <w:t xml:space="preserve"> </w:t>
      </w:r>
      <w:r>
        <w:t xml:space="preserve">29 articles were coded as not presenting empirical data (i.e. editorials or reviews, 3.6%) and 37 could not be categorized (“unclear) but were considered not further accessible (4.6%).</w:t>
      </w:r>
      <w:r>
        <w:t xml:space="preserve"> </w:t>
      </w:r>
      <w:r>
        <w:t xml:space="preserve">This left us with 733 articles that were further analysed.</w:t>
      </w:r>
    </w:p>
    <w:bookmarkEnd w:id="23"/>
    <w:bookmarkStart w:id="33" w:name="individual-transparent-practices"/>
    <w:p>
      <w:pPr>
        <w:pStyle w:val="Heading1"/>
      </w:pPr>
      <w:r>
        <w:t xml:space="preserve">Individual transparent practices</w:t>
      </w:r>
    </w:p>
    <w:bookmarkStart w:id="24" w:name="preregistrations"/>
    <w:p>
      <w:pPr>
        <w:pStyle w:val="Heading2"/>
      </w:pPr>
      <w:r>
        <w:t xml:space="preserve">Preregistrations</w:t>
      </w:r>
    </w:p>
    <w:p>
      <w:pPr>
        <w:pStyle w:val="FirstParagraph"/>
      </w:pPr>
      <w:r>
        <w:t xml:space="preserve">In the entire corpus, there were 3 studies that reported to have preregistered aspects of their analysis.</w:t>
      </w:r>
      <w:r>
        <w:t xml:space="preserve"> </w:t>
      </w:r>
      <w:r>
        <w:t xml:space="preserve">With the available information we were able to recover the original preregistration (albeit it required some digging).</w:t>
      </w:r>
      <w:r>
        <w:t xml:space="preserve"> </w:t>
      </w:r>
      <w:r>
        <w:t xml:space="preserve">Upon further scrutiny, all three studies preregistered some aspects of the analysis including research question, variables and data analysis.</w:t>
      </w:r>
    </w:p>
    <w:bookmarkEnd w:id="24"/>
    <w:bookmarkStart w:id="25" w:name="synthetetic-data"/>
    <w:p>
      <w:pPr>
        <w:pStyle w:val="Heading2"/>
      </w:pPr>
      <w:r>
        <w:t xml:space="preserve">Synthetetic data</w:t>
      </w:r>
    </w:p>
    <w:p>
      <w:pPr>
        <w:pStyle w:val="FirstParagraph"/>
      </w:pPr>
      <w:r>
        <w:t xml:space="preserve">None of the studies reported to use synthesized data, which in principle would allow to reproduce their analysis without violating data protection laws.</w:t>
      </w:r>
    </w:p>
    <w:bookmarkEnd w:id="25"/>
    <w:bookmarkStart w:id="26" w:name="other-data-sharing"/>
    <w:p>
      <w:pPr>
        <w:pStyle w:val="Heading2"/>
      </w:pPr>
      <w:r>
        <w:t xml:space="preserve">Other data sharing</w:t>
      </w:r>
    </w:p>
    <w:p>
      <w:pPr>
        <w:pStyle w:val="FirstParagraph"/>
      </w:pPr>
      <w:r>
        <w:t xml:space="preserve">17 of assessed articles were coded as reporting to share resources that could be considered some form of non-primary data (2.3%), mostly additional metadata or summary statistics.</w:t>
      </w:r>
      <w:r>
        <w:t xml:space="preserve"> </w:t>
      </w:r>
      <w:r>
        <w:t xml:space="preserve">This information was reported to be found in supplementary materials hosted by the journal (n = 8), available</w:t>
      </w:r>
      <w:r>
        <w:t xml:space="preserve"> </w:t>
      </w:r>
      <w:r>
        <w:t xml:space="preserve">“</w:t>
      </w:r>
      <w:r>
        <w:t xml:space="preserve">upon request</w:t>
      </w:r>
      <w:r>
        <w:t xml:space="preserve">”</w:t>
      </w:r>
      <w:r>
        <w:t xml:space="preserve"> </w:t>
      </w:r>
      <w:r>
        <w:t xml:space="preserve">from the authors (n = 4), or available from a third party (n = 3).</w:t>
      </w:r>
      <w:r>
        <w:t xml:space="preserve"> </w:t>
      </w:r>
      <w:r>
        <w:t xml:space="preserve">Only one article pointed to an open online third-party repository like the OSF or Github and one article remained too vague to recover where to access the information.</w:t>
      </w:r>
      <w:r>
        <w:t xml:space="preserve"> </w:t>
      </w:r>
      <w:r>
        <w:t xml:space="preserve">All in all, out of the 17 articles claiming to share some form of non-primary data, 11 could be accessed by us.</w:t>
      </w:r>
    </w:p>
    <w:bookmarkEnd w:id="26"/>
    <w:bookmarkStart w:id="27" w:name="analysis-sharing"/>
    <w:p>
      <w:pPr>
        <w:pStyle w:val="Heading2"/>
      </w:pPr>
      <w:r>
        <w:t xml:space="preserve">Analysis sharing</w:t>
      </w:r>
    </w:p>
    <w:p>
      <w:pPr>
        <w:pStyle w:val="FirstParagraph"/>
      </w:pPr>
      <w:r>
        <w:t xml:space="preserve">31 of assessed articles were coded as reporting to share some form of analysis protocols either in form of step-by-step instructions or code (5%).</w:t>
      </w:r>
      <w:r>
        <w:t xml:space="preserve"> </w:t>
      </w:r>
      <w:r>
        <w:t xml:space="preserve">Out of these, 16 articles pointed to an open online third-party repository like the OSF or Github, 7 articles pointed to supplementary materials hosted by the journal, 1 article pointed to personal or institutional websites, and 7 were described as available</w:t>
      </w:r>
      <w:r>
        <w:t xml:space="preserve"> </w:t>
      </w:r>
      <w:r>
        <w:t xml:space="preserve">“</w:t>
      </w:r>
      <w:r>
        <w:t xml:space="preserve">upon request</w:t>
      </w:r>
      <w:r>
        <w:t xml:space="preserve">”</w:t>
      </w:r>
      <w:r>
        <w:t xml:space="preserve"> </w:t>
      </w:r>
      <w:r>
        <w:t xml:space="preserve">from the authors.</w:t>
      </w:r>
      <w:r>
        <w:t xml:space="preserve"> </w:t>
      </w:r>
      <w:r>
        <w:t xml:space="preserve">All in all, out of the 31 only 24 could be accessed.</w:t>
      </w:r>
    </w:p>
    <w:bookmarkEnd w:id="27"/>
    <w:bookmarkStart w:id="28" w:name="robustness-checks"/>
    <w:p>
      <w:pPr>
        <w:pStyle w:val="Heading2"/>
      </w:pPr>
      <w:r>
        <w:t xml:space="preserve">Robustness checks</w:t>
      </w:r>
    </w:p>
    <w:p>
      <w:pPr>
        <w:pStyle w:val="FirstParagraph"/>
      </w:pPr>
      <w:r>
        <w:t xml:space="preserve">472 of assessed articles reported neither a power analysis nor a sensitivity analysis (64%).</w:t>
      </w:r>
      <w:r>
        <w:t xml:space="preserve"> </w:t>
      </w:r>
      <w:r>
        <w:t xml:space="preserve">26 of assessed articles reported a power analysis (3.5%), 221 of assessed articles reported a sensitivity analysis (30%), and 18 of assessed articles reported both a power and sensitivity analysis (2.4%).</w:t>
      </w:r>
    </w:p>
    <w:bookmarkEnd w:id="28"/>
    <w:bookmarkStart w:id="29" w:name="materials-sharing"/>
    <w:p>
      <w:pPr>
        <w:pStyle w:val="Heading2"/>
      </w:pPr>
      <w:r>
        <w:t xml:space="preserve">Materials sharing</w:t>
      </w:r>
    </w:p>
    <w:p>
      <w:pPr>
        <w:pStyle w:val="FirstParagraph"/>
      </w:pPr>
      <w:r>
        <w:t xml:space="preserve">24 of assessed articles were coded as reporting to share some form of additional materials (3.4%).</w:t>
      </w:r>
      <w:r>
        <w:t xml:space="preserve"> </w:t>
      </w:r>
      <w:r>
        <w:t xml:space="preserve">Out of these, 2 articles pointed to an open online third-party repository like the OSF or Github, 15 articles pointed to supplementary materials hosted by the journal, 4 articles pointed to third party, and 2 were described as available</w:t>
      </w:r>
      <w:r>
        <w:t xml:space="preserve"> </w:t>
      </w:r>
      <w:r>
        <w:t xml:space="preserve">“</w:t>
      </w:r>
      <w:r>
        <w:t xml:space="preserve">upon request</w:t>
      </w:r>
      <w:r>
        <w:t xml:space="preserve">”</w:t>
      </w:r>
      <w:r>
        <w:t xml:space="preserve"> </w:t>
      </w:r>
      <w:r>
        <w:t xml:space="preserve">from the authors.</w:t>
      </w:r>
      <w:r>
        <w:t xml:space="preserve"> </w:t>
      </w:r>
      <w:r>
        <w:t xml:space="preserve">All in all, out of the 24 only 17 could actually be accessed.</w:t>
      </w:r>
    </w:p>
    <w:bookmarkEnd w:id="29"/>
    <w:bookmarkStart w:id="30" w:name="replications"/>
    <w:p>
      <w:pPr>
        <w:pStyle w:val="Heading2"/>
      </w:pPr>
      <w:r>
        <w:t xml:space="preserve">Replications</w:t>
      </w:r>
    </w:p>
    <w:p>
      <w:pPr>
        <w:pStyle w:val="FirstParagraph"/>
      </w:pPr>
      <w:r>
        <w:t xml:space="preserve">11 of assessed articles were coded as reporting to replicate a previous study (1.5%).</w:t>
      </w:r>
    </w:p>
    <w:bookmarkEnd w:id="30"/>
    <w:bookmarkStart w:id="31" w:name="conflicts-of-interests-cois"/>
    <w:p>
      <w:pPr>
        <w:pStyle w:val="Heading2"/>
      </w:pPr>
      <w:r>
        <w:t xml:space="preserve">Conflicts of Interests (COIs)</w:t>
      </w:r>
    </w:p>
    <w:p>
      <w:pPr>
        <w:pStyle w:val="FirstParagraph"/>
      </w:pPr>
      <w:r>
        <w:t xml:space="preserve">142 of assessed articles were coded as not reporting whether or not a conflict of interest applied to their study (19.3%); 488 of assessed articles were coded as reporting that there was no conflict of interest applied to their study (66.2%); and 107 of assessed articles were coded as reporting whether that there in fact was a conflict of interest applied to their study (14.5%)</w:t>
      </w:r>
    </w:p>
    <w:bookmarkEnd w:id="31"/>
    <w:bookmarkStart w:id="32" w:name="open-publishing"/>
    <w:p>
      <w:pPr>
        <w:pStyle w:val="Heading2"/>
      </w:pPr>
      <w:r>
        <w:t xml:space="preserve">Open publishing</w:t>
      </w:r>
    </w:p>
    <w:p>
      <w:pPr>
        <w:pStyle w:val="FirstParagraph"/>
      </w:pPr>
      <w:r>
        <w:t xml:space="preserve">661 of assessed articles were coded as being openly published according to our definition (89.7%);</w:t>
      </w:r>
    </w:p>
    <w:bookmarkEnd w:id="32"/>
    <w:bookmarkEnd w:id="33"/>
    <w:bookmarkStart w:id="37" w:name="trends-over-time"/>
    <w:p>
      <w:pPr>
        <w:pStyle w:val="Heading1"/>
      </w:pPr>
      <w:r>
        <w:t xml:space="preserve">Trends over time</w:t>
      </w:r>
    </w:p>
    <w:p>
      <w:pPr>
        <w:pStyle w:val="CaptionedFigure"/>
      </w:pPr>
      <w:r>
        <w:drawing>
          <wp:inline>
            <wp:extent cx="5334000" cy="5706027"/>
            <wp:effectExtent b="0" l="0" r="0" t="0"/>
            <wp:docPr descr="Figure 2: Proportion of transparent practices for articles as a function of publication year (2007-2024). Year 2023 and 2024 were collapsed due to a small number of n." title="" id="35" name="Picture"/>
            <a:graphic>
              <a:graphicData uri="http://schemas.openxmlformats.org/drawingml/2006/picture">
                <pic:pic>
                  <pic:nvPicPr>
                    <pic:cNvPr descr="../plots/Figure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Proportion of transparent practices for articles as a function of publication year (2007-2024). Year 2023 and 2024 were collapsed due to a small number of n.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Overview of Transparent Practices in MoBa</dc:title>
  <dc:creator>Timo Roettger</dc:creator>
  <cp:keywords/>
  <dcterms:created xsi:type="dcterms:W3CDTF">2024-10-10T14:17:43Z</dcterms:created>
  <dcterms:modified xsi:type="dcterms:W3CDTF">2024-10-10T14:17:43Z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