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88446" w14:textId="77777777" w:rsidR="00BE75E4" w:rsidRDefault="00BE75E4" w:rsidP="00BE75E4">
      <w:pPr>
        <w:jc w:val="center"/>
        <w:rPr>
          <w:lang w:val="en-US"/>
        </w:rPr>
      </w:pPr>
      <w:r>
        <w:rPr>
          <w:lang w:val="en-US"/>
        </w:rPr>
        <w:t>Emerging</w:t>
      </w:r>
      <w:r w:rsidRPr="0031276F">
        <w:rPr>
          <w:lang w:val="en-US"/>
        </w:rPr>
        <w:t xml:space="preserve"> market sovereign spreads</w:t>
      </w:r>
      <w:r>
        <w:rPr>
          <w:lang w:val="en-US"/>
        </w:rPr>
        <w:t>:</w:t>
      </w:r>
    </w:p>
    <w:p w14:paraId="21F74FFE" w14:textId="77777777" w:rsidR="00BE75E4" w:rsidRDefault="00BE75E4" w:rsidP="00BE75E4">
      <w:pPr>
        <w:jc w:val="center"/>
        <w:rPr>
          <w:lang w:val="en-US"/>
        </w:rPr>
      </w:pPr>
      <w:r>
        <w:rPr>
          <w:lang w:val="en-US"/>
        </w:rPr>
        <w:t>COVID-19 Dominance during March-June 2020</w:t>
      </w:r>
    </w:p>
    <w:p w14:paraId="27C47F98" w14:textId="77777777" w:rsidR="00BE75E4" w:rsidRDefault="00BE75E4" w:rsidP="00BE75E4">
      <w:pPr>
        <w:jc w:val="center"/>
        <w:rPr>
          <w:lang w:val="en-US"/>
        </w:rPr>
      </w:pPr>
    </w:p>
    <w:p w14:paraId="385FA62A" w14:textId="77777777" w:rsidR="00BE75E4" w:rsidRDefault="00BE75E4" w:rsidP="00BE75E4">
      <w:pPr>
        <w:jc w:val="center"/>
        <w:rPr>
          <w:lang w:val="en-US"/>
        </w:rPr>
      </w:pPr>
    </w:p>
    <w:p w14:paraId="487658B9" w14:textId="77777777" w:rsidR="00BE75E4" w:rsidRDefault="00BE75E4" w:rsidP="00BE75E4">
      <w:pPr>
        <w:jc w:val="center"/>
        <w:rPr>
          <w:lang w:val="en-US"/>
        </w:rPr>
      </w:pPr>
      <w:proofErr w:type="spellStart"/>
      <w:r>
        <w:rPr>
          <w:lang w:val="en-US"/>
        </w:rPr>
        <w:t>Yothin</w:t>
      </w:r>
      <w:proofErr w:type="spellEnd"/>
      <w:r>
        <w:rPr>
          <w:lang w:val="en-US"/>
        </w:rPr>
        <w:t xml:space="preserve"> </w:t>
      </w:r>
      <w:proofErr w:type="spellStart"/>
      <w:r>
        <w:rPr>
          <w:lang w:val="en-US"/>
        </w:rPr>
        <w:t>Jinjarak</w:t>
      </w:r>
      <w:proofErr w:type="spellEnd"/>
    </w:p>
    <w:p w14:paraId="7F368546" w14:textId="77777777" w:rsidR="00BE75E4" w:rsidRDefault="00BE75E4" w:rsidP="00BE75E4">
      <w:pPr>
        <w:jc w:val="center"/>
        <w:rPr>
          <w:lang w:val="en-US"/>
        </w:rPr>
      </w:pPr>
      <w:r>
        <w:rPr>
          <w:lang w:val="en-US"/>
        </w:rPr>
        <w:t>Timo B. Daehler</w:t>
      </w:r>
    </w:p>
    <w:p w14:paraId="69A3C6FD" w14:textId="77777777" w:rsidR="00BE75E4" w:rsidRDefault="00BE75E4" w:rsidP="00BE75E4">
      <w:pPr>
        <w:jc w:val="center"/>
        <w:rPr>
          <w:lang w:val="en-US"/>
        </w:rPr>
      </w:pPr>
      <w:r>
        <w:rPr>
          <w:lang w:val="en-US"/>
        </w:rPr>
        <w:t xml:space="preserve">Joshua </w:t>
      </w:r>
      <w:proofErr w:type="spellStart"/>
      <w:r>
        <w:rPr>
          <w:lang w:val="en-US"/>
        </w:rPr>
        <w:t>Aizenman</w:t>
      </w:r>
      <w:proofErr w:type="spellEnd"/>
    </w:p>
    <w:p w14:paraId="4B15BBCA" w14:textId="77777777" w:rsidR="00BE75E4" w:rsidRDefault="00BE75E4" w:rsidP="00BE75E4">
      <w:pPr>
        <w:rPr>
          <w:lang w:val="en-US"/>
        </w:rPr>
      </w:pPr>
      <w:r>
        <w:rPr>
          <w:lang w:val="en-US"/>
        </w:rPr>
        <w:br w:type="page"/>
      </w:r>
    </w:p>
    <w:p w14:paraId="45A559D3" w14:textId="1371DFAC" w:rsidR="00BE75E4" w:rsidRDefault="00BE75E4" w:rsidP="00BE75E4">
      <w:pPr>
        <w:pStyle w:val="Heading1"/>
        <w:numPr>
          <w:ilvl w:val="0"/>
          <w:numId w:val="0"/>
        </w:numPr>
        <w:ind w:left="432"/>
        <w:rPr>
          <w:lang w:val="en-US"/>
        </w:rPr>
      </w:pPr>
      <w:r>
        <w:rPr>
          <w:lang w:val="en-US"/>
        </w:rPr>
        <w:lastRenderedPageBreak/>
        <w:t>Abstract</w:t>
      </w:r>
    </w:p>
    <w:p w14:paraId="273BF231" w14:textId="6EFB9C3A" w:rsidR="00BE75E4" w:rsidRDefault="00BE75E4" w:rsidP="00BE75E4">
      <w:pPr>
        <w:rPr>
          <w:lang w:val="en-US"/>
        </w:rPr>
      </w:pPr>
      <w:r>
        <w:rPr>
          <w:lang w:val="en-US"/>
        </w:rPr>
        <w:t>This case study compares the importance of prevailing market factors against that of COVID-19 dynamics and policy responses in explain the evolution of emerging market sovereign CDS spreads during the first half of 2020…</w:t>
      </w:r>
    </w:p>
    <w:p w14:paraId="41C71785" w14:textId="77777777" w:rsidR="00BE75E4" w:rsidRDefault="00BE75E4" w:rsidP="00BE75E4">
      <w:pPr>
        <w:rPr>
          <w:lang w:val="en-US"/>
        </w:rPr>
      </w:pPr>
    </w:p>
    <w:p w14:paraId="0DDE1B5E" w14:textId="77777777" w:rsidR="00BE75E4" w:rsidRDefault="00BE75E4" w:rsidP="00BE75E4">
      <w:pPr>
        <w:rPr>
          <w:lang w:val="en-US"/>
        </w:rPr>
      </w:pPr>
    </w:p>
    <w:p w14:paraId="1CCC94A8" w14:textId="77777777" w:rsidR="00BE75E4" w:rsidRDefault="00BE75E4" w:rsidP="00BE75E4">
      <w:pPr>
        <w:rPr>
          <w:lang w:val="en-US"/>
        </w:rPr>
      </w:pPr>
    </w:p>
    <w:p w14:paraId="6F6FAAA6" w14:textId="77777777" w:rsidR="00BE75E4" w:rsidRDefault="00BE75E4" w:rsidP="00BE75E4">
      <w:pPr>
        <w:rPr>
          <w:rFonts w:ascii="Times" w:hAnsi="Times"/>
        </w:rPr>
      </w:pPr>
      <w:r>
        <w:rPr>
          <w:rFonts w:ascii="Times" w:hAnsi="Times"/>
        </w:rPr>
        <w:t>Yothin Jinjarak</w:t>
      </w:r>
    </w:p>
    <w:p w14:paraId="29F2964C" w14:textId="77777777" w:rsidR="00BE75E4" w:rsidRDefault="00BE75E4" w:rsidP="00BE75E4">
      <w:pPr>
        <w:rPr>
          <w:rFonts w:ascii="Times" w:hAnsi="Times"/>
        </w:rPr>
      </w:pPr>
      <w:r>
        <w:rPr>
          <w:rFonts w:ascii="Times" w:hAnsi="Times"/>
        </w:rPr>
        <w:t xml:space="preserve">School of Economics and Finance </w:t>
      </w:r>
    </w:p>
    <w:p w14:paraId="5A7C9BFA" w14:textId="77777777" w:rsidR="00BE75E4" w:rsidRDefault="00BE75E4" w:rsidP="00BE75E4">
      <w:pPr>
        <w:rPr>
          <w:rFonts w:ascii="Times" w:hAnsi="Times"/>
        </w:rPr>
      </w:pPr>
      <w:r>
        <w:rPr>
          <w:rFonts w:ascii="Times" w:hAnsi="Times"/>
        </w:rPr>
        <w:t xml:space="preserve">Victoria University of Wellington </w:t>
      </w:r>
    </w:p>
    <w:p w14:paraId="7978B2C3" w14:textId="77777777" w:rsidR="00BE75E4" w:rsidRDefault="00BE75E4" w:rsidP="00BE75E4">
      <w:pPr>
        <w:rPr>
          <w:rFonts w:ascii="Times" w:hAnsi="Times"/>
        </w:rPr>
      </w:pPr>
      <w:r>
        <w:rPr>
          <w:rFonts w:ascii="Times" w:hAnsi="Times"/>
        </w:rPr>
        <w:t xml:space="preserve">PO Box 60023 Lambton Quay, Wellington </w:t>
      </w:r>
    </w:p>
    <w:p w14:paraId="266EE717" w14:textId="77777777" w:rsidR="00BE75E4" w:rsidRDefault="00BE75E4" w:rsidP="00BE75E4">
      <w:pPr>
        <w:rPr>
          <w:rFonts w:ascii="Times" w:hAnsi="Times"/>
        </w:rPr>
      </w:pPr>
      <w:r>
        <w:rPr>
          <w:rFonts w:ascii="Times" w:hAnsi="Times"/>
        </w:rPr>
        <w:t xml:space="preserve">New Zealand </w:t>
      </w:r>
    </w:p>
    <w:p w14:paraId="07A427C3" w14:textId="77777777" w:rsidR="00BE75E4" w:rsidRDefault="00BE75E4" w:rsidP="00BE75E4">
      <w:pPr>
        <w:rPr>
          <w:rFonts w:ascii="Times" w:hAnsi="Times"/>
        </w:rPr>
      </w:pPr>
      <w:hyperlink r:id="rId8" w:history="1">
        <w:r w:rsidRPr="00F542AE">
          <w:rPr>
            <w:rStyle w:val="Hyperlink"/>
            <w:rFonts w:ascii="Times" w:hAnsi="Times"/>
          </w:rPr>
          <w:t>yothin.jinjarak@vuw.ac.nz</w:t>
        </w:r>
      </w:hyperlink>
      <w:r>
        <w:rPr>
          <w:rFonts w:ascii="Times" w:hAnsi="Times"/>
        </w:rPr>
        <w:t xml:space="preserve"> </w:t>
      </w:r>
    </w:p>
    <w:p w14:paraId="3F96257A" w14:textId="77777777" w:rsidR="00BE75E4" w:rsidRDefault="00BE75E4" w:rsidP="00BE75E4"/>
    <w:p w14:paraId="7E2897A7" w14:textId="77777777" w:rsidR="00BE75E4" w:rsidRDefault="00BE75E4" w:rsidP="00BE75E4">
      <w:pPr>
        <w:rPr>
          <w:rFonts w:ascii="Times" w:hAnsi="Times"/>
        </w:rPr>
      </w:pPr>
      <w:r>
        <w:rPr>
          <w:rFonts w:ascii="Times" w:hAnsi="Times"/>
        </w:rPr>
        <w:t>Joshua Aizenman</w:t>
      </w:r>
    </w:p>
    <w:p w14:paraId="764ED5CE" w14:textId="77777777" w:rsidR="00BE75E4" w:rsidRDefault="00BE75E4" w:rsidP="00BE75E4">
      <w:pPr>
        <w:rPr>
          <w:rFonts w:ascii="Times" w:hAnsi="Times"/>
        </w:rPr>
      </w:pPr>
      <w:r>
        <w:rPr>
          <w:rFonts w:ascii="Times" w:hAnsi="Times"/>
        </w:rPr>
        <w:t>Economics and SIR</w:t>
      </w:r>
    </w:p>
    <w:p w14:paraId="496D2EA8" w14:textId="77777777" w:rsidR="00BE75E4" w:rsidRDefault="00BE75E4" w:rsidP="00BE75E4">
      <w:pPr>
        <w:rPr>
          <w:rFonts w:ascii="TimesNewRomanPSMT" w:hAnsi="TimesNewRomanPSMT"/>
        </w:rPr>
      </w:pPr>
      <w:r>
        <w:rPr>
          <w:rFonts w:ascii="TimesNewRomanPSMT" w:hAnsi="TimesNewRomanPSMT"/>
        </w:rPr>
        <w:t xml:space="preserve">University of Southern California </w:t>
      </w:r>
    </w:p>
    <w:p w14:paraId="7CA3AF61" w14:textId="77777777" w:rsidR="00BE75E4" w:rsidRDefault="00BE75E4" w:rsidP="00BE75E4">
      <w:pPr>
        <w:rPr>
          <w:rFonts w:ascii="Times" w:hAnsi="Times"/>
        </w:rPr>
      </w:pPr>
      <w:r>
        <w:rPr>
          <w:rFonts w:ascii="Times" w:hAnsi="Times"/>
        </w:rPr>
        <w:t>University Park</w:t>
      </w:r>
    </w:p>
    <w:p w14:paraId="2E8C1FF7" w14:textId="77777777" w:rsidR="00BE75E4" w:rsidRDefault="00BE75E4" w:rsidP="00BE75E4">
      <w:pPr>
        <w:rPr>
          <w:rFonts w:ascii="Times" w:hAnsi="Times"/>
        </w:rPr>
      </w:pPr>
      <w:r>
        <w:rPr>
          <w:rFonts w:ascii="Times" w:hAnsi="Times"/>
        </w:rPr>
        <w:t xml:space="preserve">Los Angeles, CA 90089-0043 </w:t>
      </w:r>
    </w:p>
    <w:p w14:paraId="50B306CB" w14:textId="77777777" w:rsidR="00BE75E4" w:rsidRDefault="00BE75E4" w:rsidP="00BE75E4">
      <w:pPr>
        <w:rPr>
          <w:rFonts w:ascii="Times" w:hAnsi="Times"/>
        </w:rPr>
      </w:pPr>
      <w:r>
        <w:rPr>
          <w:rFonts w:ascii="Times" w:hAnsi="Times"/>
        </w:rPr>
        <w:t>and NBE</w:t>
      </w:r>
      <w:r w:rsidRPr="0031276F">
        <w:rPr>
          <w:rFonts w:ascii="Times" w:hAnsi="Times"/>
          <w:lang w:val="en-US"/>
        </w:rPr>
        <w:t>R</w:t>
      </w:r>
    </w:p>
    <w:p w14:paraId="7F187F32" w14:textId="77777777" w:rsidR="00BE75E4" w:rsidRDefault="00BE75E4" w:rsidP="00BE75E4">
      <w:pPr>
        <w:rPr>
          <w:rFonts w:ascii="Times" w:hAnsi="Times"/>
        </w:rPr>
      </w:pPr>
      <w:hyperlink r:id="rId9" w:history="1">
        <w:r w:rsidRPr="00F542AE">
          <w:rPr>
            <w:rStyle w:val="Hyperlink"/>
            <w:rFonts w:ascii="Times" w:hAnsi="Times"/>
          </w:rPr>
          <w:t>aizenman@usc.edu</w:t>
        </w:r>
      </w:hyperlink>
      <w:r>
        <w:rPr>
          <w:rFonts w:ascii="Times" w:hAnsi="Times"/>
        </w:rPr>
        <w:t xml:space="preserve"> </w:t>
      </w:r>
    </w:p>
    <w:p w14:paraId="69D49F1E" w14:textId="77777777" w:rsidR="00BE75E4" w:rsidRDefault="00BE75E4" w:rsidP="00BE75E4"/>
    <w:p w14:paraId="1CE928C7" w14:textId="77777777" w:rsidR="00BE75E4" w:rsidRDefault="00BE75E4" w:rsidP="00BE75E4">
      <w:pPr>
        <w:rPr>
          <w:rFonts w:ascii="Times" w:hAnsi="Times"/>
        </w:rPr>
      </w:pPr>
      <w:r w:rsidRPr="0031276F">
        <w:rPr>
          <w:rFonts w:ascii="Times" w:hAnsi="Times"/>
          <w:lang w:val="en-US"/>
        </w:rPr>
        <w:t>Timo Daehler</w:t>
      </w:r>
    </w:p>
    <w:p w14:paraId="37CE1CD5" w14:textId="77777777" w:rsidR="00BE75E4" w:rsidRDefault="00BE75E4" w:rsidP="00BE75E4">
      <w:pPr>
        <w:rPr>
          <w:rFonts w:ascii="Times" w:hAnsi="Times"/>
        </w:rPr>
      </w:pPr>
      <w:r>
        <w:rPr>
          <w:rFonts w:ascii="Times" w:hAnsi="Times"/>
        </w:rPr>
        <w:t xml:space="preserve">University of Southern California </w:t>
      </w:r>
    </w:p>
    <w:p w14:paraId="7934D63E" w14:textId="77777777" w:rsidR="00BE75E4" w:rsidRDefault="00BE75E4" w:rsidP="00BE75E4">
      <w:pPr>
        <w:rPr>
          <w:rFonts w:ascii="Times" w:hAnsi="Times"/>
        </w:rPr>
      </w:pPr>
      <w:r w:rsidRPr="0031276F">
        <w:rPr>
          <w:rFonts w:ascii="Times" w:hAnsi="Times"/>
          <w:lang w:val="en-US"/>
        </w:rPr>
        <w:t>3518</w:t>
      </w:r>
      <w:r>
        <w:rPr>
          <w:rFonts w:ascii="Times" w:hAnsi="Times"/>
        </w:rPr>
        <w:t xml:space="preserve"> </w:t>
      </w:r>
      <w:r w:rsidRPr="0031276F">
        <w:rPr>
          <w:rFonts w:ascii="Times" w:hAnsi="Times"/>
          <w:lang w:val="en-US"/>
        </w:rPr>
        <w:t>Trousdale Pkw</w:t>
      </w:r>
      <w:r>
        <w:rPr>
          <w:rFonts w:ascii="Times" w:hAnsi="Times"/>
          <w:lang w:val="en-US"/>
        </w:rPr>
        <w:t>y.</w:t>
      </w:r>
    </w:p>
    <w:p w14:paraId="7B0BF192" w14:textId="77777777" w:rsidR="00BE75E4" w:rsidRDefault="00BE75E4" w:rsidP="00BE75E4">
      <w:pPr>
        <w:rPr>
          <w:rFonts w:ascii="Times" w:hAnsi="Times"/>
        </w:rPr>
      </w:pPr>
      <w:r>
        <w:rPr>
          <w:rFonts w:ascii="Times" w:hAnsi="Times"/>
        </w:rPr>
        <w:t xml:space="preserve">Los Angeles, CA 90089 </w:t>
      </w:r>
    </w:p>
    <w:p w14:paraId="143F615B" w14:textId="35F52979" w:rsidR="00BE75E4" w:rsidRDefault="0055207D" w:rsidP="00BE75E4">
      <w:pPr>
        <w:rPr>
          <w:rFonts w:ascii="Times" w:hAnsi="Times"/>
        </w:rPr>
      </w:pPr>
      <w:hyperlink r:id="rId10" w:history="1">
        <w:r w:rsidRPr="00F542AE">
          <w:rPr>
            <w:rStyle w:val="Hyperlink"/>
            <w:rFonts w:ascii="Times" w:hAnsi="Times"/>
            <w:lang w:val="de-CH"/>
          </w:rPr>
          <w:t>daehler</w:t>
        </w:r>
        <w:r w:rsidRPr="00F542AE">
          <w:rPr>
            <w:rStyle w:val="Hyperlink"/>
            <w:rFonts w:ascii="Times" w:hAnsi="Times"/>
          </w:rPr>
          <w:t>@usc.edu</w:t>
        </w:r>
      </w:hyperlink>
    </w:p>
    <w:p w14:paraId="16CF3EBC" w14:textId="77777777" w:rsidR="0055207D" w:rsidRPr="0031276F" w:rsidRDefault="0055207D" w:rsidP="00BE75E4">
      <w:pPr>
        <w:rPr>
          <w:rFonts w:ascii="Times" w:hAnsi="Times"/>
        </w:rPr>
      </w:pPr>
    </w:p>
    <w:p w14:paraId="5E86A883" w14:textId="77777777" w:rsidR="00BE75E4" w:rsidRDefault="00BE75E4" w:rsidP="00BE75E4">
      <w:r>
        <w:br w:type="page"/>
      </w:r>
    </w:p>
    <w:p w14:paraId="446A255B" w14:textId="1E24208F" w:rsidR="00D02381" w:rsidRDefault="00BE75E4" w:rsidP="00BE75E4">
      <w:pPr>
        <w:pStyle w:val="Heading1"/>
        <w:rPr>
          <w:lang w:val="en-US"/>
        </w:rPr>
      </w:pPr>
      <w:r>
        <w:rPr>
          <w:lang w:val="en-US"/>
        </w:rPr>
        <w:lastRenderedPageBreak/>
        <w:t>Introduction</w:t>
      </w:r>
    </w:p>
    <w:p w14:paraId="29EB2901" w14:textId="6E095B2F" w:rsidR="00D24894" w:rsidRPr="00D24894" w:rsidRDefault="00D24894" w:rsidP="00D24894">
      <w:pPr>
        <w:pStyle w:val="Heading2"/>
        <w:rPr>
          <w:lang w:val="en-US"/>
        </w:rPr>
      </w:pPr>
      <w:r>
        <w:rPr>
          <w:lang w:val="en-US"/>
        </w:rPr>
        <w:t>Overview</w:t>
      </w:r>
    </w:p>
    <w:p w14:paraId="095628C8" w14:textId="629F39D6" w:rsidR="00501823" w:rsidRPr="00501823" w:rsidRDefault="00501823" w:rsidP="00501823">
      <w:pPr>
        <w:rPr>
          <w:rStyle w:val="Emphasis"/>
          <w:i w:val="0"/>
          <w:iCs w:val="0"/>
          <w:lang w:val="en-US"/>
        </w:rPr>
      </w:pPr>
      <w:r w:rsidRPr="00501823">
        <w:rPr>
          <w:rStyle w:val="Emphasis"/>
          <w:i w:val="0"/>
          <w:iCs w:val="0"/>
          <w:lang w:val="en-US"/>
        </w:rPr>
        <w:t>(</w:t>
      </w:r>
      <w:r w:rsidRPr="00501823">
        <w:rPr>
          <w:rStyle w:val="Emphasis"/>
          <w:i w:val="0"/>
          <w:iCs w:val="0"/>
        </w:rPr>
        <w:t>Explains what question of paper is and why it is important</w:t>
      </w:r>
      <w:r w:rsidRPr="00501823">
        <w:rPr>
          <w:rStyle w:val="Emphasis"/>
          <w:i w:val="0"/>
          <w:iCs w:val="0"/>
          <w:lang w:val="en-US"/>
        </w:rPr>
        <w:t>)</w:t>
      </w:r>
    </w:p>
    <w:p w14:paraId="31134A01" w14:textId="7AAAE668" w:rsidR="0044331E" w:rsidRPr="0044331E" w:rsidRDefault="0044331E" w:rsidP="006615C3">
      <w:pPr>
        <w:rPr>
          <w:rFonts w:ascii="Times New Roman" w:hAnsi="Times New Roman"/>
          <w:lang w:val="en-US" w:eastAsia="en-GB"/>
        </w:rPr>
      </w:pPr>
      <w:r>
        <w:rPr>
          <w:lang w:val="en-US" w:eastAsia="en-GB"/>
        </w:rPr>
        <w:t xml:space="preserve">The 2007-2008 global financial crisis (GFC) was a shock of unusual severity and global reach and </w:t>
      </w:r>
      <w:r w:rsidR="001B105E">
        <w:rPr>
          <w:lang w:val="en-US" w:eastAsia="en-GB"/>
        </w:rPr>
        <w:t>numerous</w:t>
      </w:r>
      <w:r>
        <w:rPr>
          <w:lang w:val="en-US" w:eastAsia="en-GB"/>
        </w:rPr>
        <w:t xml:space="preserve"> countries around the world suffered massive falls in economic output and employment. Nevertheless, the GFC did not affect all countries to the same extent. </w:t>
      </w:r>
      <w:r w:rsidRPr="0044331E">
        <w:rPr>
          <w:lang w:val="en-US" w:eastAsia="en-GB"/>
        </w:rPr>
        <w:t xml:space="preserve">The </w:t>
      </w:r>
      <w:r w:rsidRPr="0044331E">
        <w:rPr>
          <w:lang w:eastAsia="en-GB"/>
        </w:rPr>
        <w:t>large emerging markets of the world economy—the likes of Brazil, Argentina, India, Thailand, and Malaysia</w:t>
      </w:r>
      <w:r>
        <w:rPr>
          <w:lang w:val="en-US" w:eastAsia="en-GB"/>
        </w:rPr>
        <w:t xml:space="preserve">—did relatively well. More importantly, China was comparatively invulnerable and escaped the GFC relatively unscathed. In fact, China </w:t>
      </w:r>
      <w:r w:rsidR="001B105E">
        <w:rPr>
          <w:lang w:val="en-US" w:eastAsia="en-GB"/>
        </w:rPr>
        <w:t>was able to put in place staggeringly big economic stimuli for its domestic economy. Because of China’s new importance not only as an exporter but also as a buyer on global markets, t</w:t>
      </w:r>
      <w:r w:rsidR="001B105E">
        <w:rPr>
          <w:lang w:val="en-US" w:eastAsia="en-GB"/>
        </w:rPr>
        <w:t>h</w:t>
      </w:r>
      <w:r w:rsidR="001B105E">
        <w:rPr>
          <w:lang w:val="en-US" w:eastAsia="en-GB"/>
        </w:rPr>
        <w:t>ese stimuli</w:t>
      </w:r>
      <w:r w:rsidR="001B105E">
        <w:rPr>
          <w:lang w:val="en-US" w:eastAsia="en-GB"/>
        </w:rPr>
        <w:t xml:space="preserve"> helped the global economy back on its feet</w:t>
      </w:r>
      <w:r w:rsidR="001B105E">
        <w:rPr>
          <w:lang w:val="en-US" w:eastAsia="en-GB"/>
        </w:rPr>
        <w:t xml:space="preserve">. </w:t>
      </w:r>
    </w:p>
    <w:p w14:paraId="772CF865" w14:textId="4C0ADBE8" w:rsidR="0044331E" w:rsidRPr="0044331E" w:rsidRDefault="0044331E" w:rsidP="006615C3">
      <w:pPr>
        <w:rPr>
          <w:lang w:eastAsia="en-GB"/>
        </w:rPr>
      </w:pPr>
    </w:p>
    <w:p w14:paraId="636E308D" w14:textId="74F622F2" w:rsidR="00564D4D" w:rsidRDefault="001B105E" w:rsidP="006615C3">
      <w:pPr>
        <w:rPr>
          <w:lang w:val="en-US" w:eastAsia="en-GB"/>
        </w:rPr>
      </w:pPr>
      <w:r>
        <w:rPr>
          <w:lang w:val="en-US" w:eastAsia="en-GB"/>
        </w:rPr>
        <w:t>Despite the severity and breadth of the GFC,</w:t>
      </w:r>
      <w:r w:rsidR="0044331E" w:rsidRPr="0044331E">
        <w:rPr>
          <w:lang w:eastAsia="en-GB"/>
        </w:rPr>
        <w:t xml:space="preserve"> that crisis took more than 12 months to spread from the overbuilt suburbs of </w:t>
      </w:r>
      <w:r>
        <w:rPr>
          <w:lang w:val="en-US" w:eastAsia="en-GB"/>
        </w:rPr>
        <w:t>the US</w:t>
      </w:r>
      <w:r w:rsidR="0044331E" w:rsidRPr="0044331E">
        <w:rPr>
          <w:lang w:eastAsia="en-GB"/>
        </w:rPr>
        <w:t xml:space="preserve"> and </w:t>
      </w:r>
      <w:r w:rsidRPr="001B105E">
        <w:rPr>
          <w:lang w:val="en-US" w:eastAsia="en-GB"/>
        </w:rPr>
        <w:t xml:space="preserve">the </w:t>
      </w:r>
      <w:proofErr w:type="gramStart"/>
      <w:r w:rsidRPr="001B105E">
        <w:rPr>
          <w:lang w:val="en-US" w:eastAsia="en-GB"/>
        </w:rPr>
        <w:t>Iberian p</w:t>
      </w:r>
      <w:r>
        <w:rPr>
          <w:lang w:val="en-US" w:eastAsia="en-GB"/>
        </w:rPr>
        <w:t>eninsula</w:t>
      </w:r>
      <w:proofErr w:type="gramEnd"/>
      <w:r w:rsidR="0044331E" w:rsidRPr="0044331E">
        <w:rPr>
          <w:lang w:eastAsia="en-GB"/>
        </w:rPr>
        <w:t xml:space="preserve"> to the financial centers of the world. </w:t>
      </w:r>
      <w:r w:rsidRPr="001B105E">
        <w:rPr>
          <w:lang w:val="en-US" w:eastAsia="en-GB"/>
        </w:rPr>
        <w:t>In contrast, t</w:t>
      </w:r>
      <w:r w:rsidR="0044331E" w:rsidRPr="0044331E">
        <w:rPr>
          <w:lang w:eastAsia="en-GB"/>
        </w:rPr>
        <w:t>he coronavirus pandemic has taken just three months to engulf first China</w:t>
      </w:r>
      <w:r w:rsidRPr="001B105E">
        <w:rPr>
          <w:lang w:val="en-US" w:eastAsia="en-GB"/>
        </w:rPr>
        <w:t>, then</w:t>
      </w:r>
      <w:r>
        <w:rPr>
          <w:lang w:val="en-US" w:eastAsia="en-GB"/>
        </w:rPr>
        <w:t xml:space="preserve"> </w:t>
      </w:r>
      <w:r w:rsidR="0044331E" w:rsidRPr="0044331E">
        <w:rPr>
          <w:lang w:eastAsia="en-GB"/>
        </w:rPr>
        <w:t>Europe and North America</w:t>
      </w:r>
      <w:r w:rsidRPr="001B105E">
        <w:rPr>
          <w:lang w:val="en-US" w:eastAsia="en-GB"/>
        </w:rPr>
        <w:t xml:space="preserve"> and u</w:t>
      </w:r>
      <w:r>
        <w:rPr>
          <w:lang w:val="en-US" w:eastAsia="en-GB"/>
        </w:rPr>
        <w:t>ltimately South America, India, and other regions</w:t>
      </w:r>
      <w:r w:rsidR="0044331E" w:rsidRPr="0044331E">
        <w:rPr>
          <w:lang w:eastAsia="en-GB"/>
        </w:rPr>
        <w:t xml:space="preserve">. As it has swept </w:t>
      </w:r>
      <w:r w:rsidRPr="001B105E">
        <w:rPr>
          <w:lang w:val="en-US" w:eastAsia="en-GB"/>
        </w:rPr>
        <w:t>away from China’s shores,</w:t>
      </w:r>
      <w:r w:rsidR="0044331E" w:rsidRPr="0044331E">
        <w:rPr>
          <w:lang w:eastAsia="en-GB"/>
        </w:rPr>
        <w:t xml:space="preserve"> it has triggered an economic crisis whose violence is </w:t>
      </w:r>
      <w:r w:rsidRPr="001B105E">
        <w:rPr>
          <w:lang w:val="en-US" w:eastAsia="en-GB"/>
        </w:rPr>
        <w:t>exceeding</w:t>
      </w:r>
      <w:r w:rsidR="0044331E" w:rsidRPr="0044331E">
        <w:rPr>
          <w:lang w:eastAsia="en-GB"/>
        </w:rPr>
        <w:t xml:space="preserve"> anything we have previously witnessed.</w:t>
      </w:r>
      <w:r w:rsidR="00564D4D" w:rsidRPr="00564D4D">
        <w:rPr>
          <w:lang w:val="en-US" w:eastAsia="en-GB"/>
        </w:rPr>
        <w:t xml:space="preserve"> </w:t>
      </w:r>
      <w:r w:rsidR="00564D4D">
        <w:rPr>
          <w:lang w:val="en-US" w:eastAsia="en-GB"/>
        </w:rPr>
        <w:t xml:space="preserve">Regional shutdowns led to interruptions of global value chains and stay-at-home orders compressed consumer demand and thereby company and personal incomes. This in turn caused prices of global commodities, especially oil, to fall and become negative at times. As such, </w:t>
      </w:r>
      <w:r w:rsidR="006615C3">
        <w:rPr>
          <w:lang w:val="en-US" w:eastAsia="en-GB"/>
        </w:rPr>
        <w:t xml:space="preserve">many of the commodity-dependent emerging markets </w:t>
      </w:r>
      <w:r w:rsidR="00E66ADD">
        <w:rPr>
          <w:lang w:val="en-US" w:eastAsia="en-GB"/>
        </w:rPr>
        <w:t xml:space="preserve">(EMs) </w:t>
      </w:r>
      <w:r w:rsidR="006615C3">
        <w:rPr>
          <w:lang w:val="en-US" w:eastAsia="en-GB"/>
        </w:rPr>
        <w:t xml:space="preserve">are going through a particularly challenging first half of 2020. </w:t>
      </w:r>
    </w:p>
    <w:p w14:paraId="3DED675B" w14:textId="57A2D1A5" w:rsidR="00564D4D" w:rsidRDefault="00564D4D" w:rsidP="006615C3">
      <w:pPr>
        <w:rPr>
          <w:lang w:val="en-US" w:eastAsia="en-GB"/>
        </w:rPr>
      </w:pPr>
    </w:p>
    <w:p w14:paraId="3147D411" w14:textId="77777777" w:rsidR="00B1406C" w:rsidRDefault="00564D4D" w:rsidP="006615C3">
      <w:pPr>
        <w:rPr>
          <w:lang w:val="en-US" w:eastAsia="en-GB"/>
        </w:rPr>
      </w:pPr>
      <w:r w:rsidRPr="00564D4D">
        <w:rPr>
          <w:lang w:eastAsia="en-GB"/>
        </w:rPr>
        <w:t xml:space="preserve">With their populations at risk, their public finances stretched, financial </w:t>
      </w:r>
      <w:r w:rsidR="006615C3" w:rsidRPr="006615C3">
        <w:rPr>
          <w:lang w:val="en-US" w:eastAsia="en-GB"/>
        </w:rPr>
        <w:t xml:space="preserve">and commodity </w:t>
      </w:r>
      <w:r w:rsidRPr="00564D4D">
        <w:rPr>
          <w:lang w:eastAsia="en-GB"/>
        </w:rPr>
        <w:t xml:space="preserve">markets in turmoil, many emerging market </w:t>
      </w:r>
      <w:r w:rsidR="006615C3">
        <w:rPr>
          <w:lang w:val="en-US" w:eastAsia="en-GB"/>
        </w:rPr>
        <w:t>sovereigns</w:t>
      </w:r>
      <w:r w:rsidRPr="00564D4D">
        <w:rPr>
          <w:lang w:eastAsia="en-GB"/>
        </w:rPr>
        <w:t xml:space="preserve"> </w:t>
      </w:r>
      <w:r w:rsidR="009747CD">
        <w:rPr>
          <w:lang w:val="en-US" w:eastAsia="en-GB"/>
        </w:rPr>
        <w:t>are challenged. But the pandemic is not the first shock that emerging markets have recently faced. In recent decades, the increased flow of cross-border investment and trade in a more and more intertwined world economy has been subject to repeated interruption. For example, in 2015 there was a relatively contained crisis in China when the stock market tumbled, the Yuan slid, and a lot of foreign investment quickly left the country. A year before that, dropping prices of oil and other commodities sent a shock wave through a number of commodity-</w:t>
      </w:r>
      <w:r w:rsidR="00222B74">
        <w:rPr>
          <w:lang w:val="en-US" w:eastAsia="en-GB"/>
        </w:rPr>
        <w:t>exporting emerging markets. More importantly still, a general slowdown in EM growth began in 2013 with the Federal Reserve’s (FED) taper tantrum: indications of less accommodating monetary policy caused instability in EMs since investors tried to funnel money back into higher yielding US assets. In view of the past fragility of EM</w:t>
      </w:r>
      <w:r w:rsidR="00501823">
        <w:rPr>
          <w:lang w:val="en-US" w:eastAsia="en-GB"/>
        </w:rPr>
        <w:t xml:space="preserve">s, it </w:t>
      </w:r>
      <w:r w:rsidR="00501823">
        <w:rPr>
          <w:lang w:val="en-US" w:eastAsia="en-GB"/>
        </w:rPr>
        <w:t xml:space="preserve">interesting to see what the long-term political, societal, and economic effects of </w:t>
      </w:r>
      <w:r w:rsidR="00501823">
        <w:rPr>
          <w:lang w:val="en-US" w:eastAsia="en-GB"/>
        </w:rPr>
        <w:t xml:space="preserve">the global </w:t>
      </w:r>
      <w:r w:rsidR="00501823">
        <w:rPr>
          <w:lang w:val="en-US" w:eastAsia="en-GB"/>
        </w:rPr>
        <w:t xml:space="preserve">COVID-19 </w:t>
      </w:r>
      <w:r w:rsidR="00501823">
        <w:rPr>
          <w:lang w:val="en-US" w:eastAsia="en-GB"/>
        </w:rPr>
        <w:t xml:space="preserve">shock are. </w:t>
      </w:r>
    </w:p>
    <w:p w14:paraId="1E3FC6CA" w14:textId="77777777" w:rsidR="00B1406C" w:rsidRDefault="00B1406C" w:rsidP="006615C3">
      <w:pPr>
        <w:rPr>
          <w:lang w:val="en-US" w:eastAsia="en-GB"/>
        </w:rPr>
      </w:pPr>
    </w:p>
    <w:p w14:paraId="113A84DC" w14:textId="445A74E3" w:rsidR="00501823" w:rsidRDefault="00501823" w:rsidP="006615C3">
      <w:pPr>
        <w:rPr>
          <w:lang w:val="en-US" w:eastAsia="en-GB"/>
        </w:rPr>
      </w:pPr>
      <w:r>
        <w:rPr>
          <w:lang w:val="en-US" w:eastAsia="en-GB"/>
        </w:rPr>
        <w:t xml:space="preserve">In this paper, we </w:t>
      </w:r>
      <w:r>
        <w:rPr>
          <w:lang w:val="en-US" w:eastAsia="en-GB"/>
        </w:rPr>
        <w:t>focus on the</w:t>
      </w:r>
      <w:r>
        <w:rPr>
          <w:lang w:val="en-US" w:eastAsia="en-GB"/>
        </w:rPr>
        <w:t xml:space="preserve"> economic dimension of the challenges posed by </w:t>
      </w:r>
      <w:r>
        <w:rPr>
          <w:lang w:val="en-US" w:eastAsia="en-GB"/>
        </w:rPr>
        <w:t>this shock</w:t>
      </w:r>
      <w:r>
        <w:rPr>
          <w:lang w:val="en-US" w:eastAsia="en-GB"/>
        </w:rPr>
        <w:t xml:space="preserve">. Specifically, the paper compares the importance of prevailing market factors against that of COVID-19 dynamics and policy responses in explaining the evolution of </w:t>
      </w:r>
      <w:r w:rsidR="00504CFF">
        <w:rPr>
          <w:lang w:val="en-US" w:eastAsia="en-GB"/>
        </w:rPr>
        <w:t xml:space="preserve">30 </w:t>
      </w:r>
      <w:r>
        <w:rPr>
          <w:lang w:val="en-US" w:eastAsia="en-GB"/>
        </w:rPr>
        <w:t xml:space="preserve">emerging market sovereign CDS spreads during the first half of 2020. In doing so, we contribute to the study of emerging market fragility and try to disentangle the effects of global </w:t>
      </w:r>
      <w:r w:rsidR="00504CFF">
        <w:rPr>
          <w:lang w:val="en-US" w:eastAsia="en-GB"/>
        </w:rPr>
        <w:t xml:space="preserve">economic and </w:t>
      </w:r>
      <w:r>
        <w:rPr>
          <w:lang w:val="en-US" w:eastAsia="en-GB"/>
        </w:rPr>
        <w:t xml:space="preserve">financial </w:t>
      </w:r>
      <w:r>
        <w:rPr>
          <w:lang w:val="en-US" w:eastAsia="en-GB"/>
        </w:rPr>
        <w:lastRenderedPageBreak/>
        <w:t>turmoil from the effects of commodity price decays for emerging markets. Focusing on daily EM sovereign CDS spreads, we adopt a multi-stage econometric approach. First, we estimate/train a heterogenous multi-factor model for changes in CDS spreads over the pre-COVID-19. Next, we use the estimated coefficients from this model to apply a synthetic control-type procedure to extrapolate model-implied changes in the CDS spreads from July 2019 through June 2020.</w:t>
      </w:r>
      <w:r>
        <w:rPr>
          <w:lang w:val="en-US" w:eastAsia="en-GB"/>
        </w:rPr>
        <w:t xml:space="preserve"> We find that…</w:t>
      </w:r>
    </w:p>
    <w:p w14:paraId="05E90847" w14:textId="77777777" w:rsidR="009747CD" w:rsidRPr="009747CD" w:rsidRDefault="009747CD" w:rsidP="006615C3">
      <w:pPr>
        <w:rPr>
          <w:lang w:eastAsia="en-GB"/>
        </w:rPr>
      </w:pPr>
    </w:p>
    <w:p w14:paraId="4D8D97D3" w14:textId="77BDD083" w:rsidR="00501823" w:rsidRDefault="00501823" w:rsidP="00501823">
      <w:pPr>
        <w:rPr>
          <w:lang w:val="en-US" w:eastAsia="en-GB"/>
        </w:rPr>
      </w:pPr>
      <w:r w:rsidRPr="00501823">
        <w:rPr>
          <w:lang w:eastAsia="en-GB"/>
        </w:rPr>
        <w:t xml:space="preserve">There are a number of studies that look at </w:t>
      </w:r>
      <w:r w:rsidRPr="00501823">
        <w:rPr>
          <w:lang w:val="en-US" w:eastAsia="en-GB"/>
        </w:rPr>
        <w:t>emerging markets</w:t>
      </w:r>
      <w:r>
        <w:rPr>
          <w:lang w:val="en-US" w:eastAsia="en-GB"/>
        </w:rPr>
        <w:t>…</w:t>
      </w:r>
    </w:p>
    <w:p w14:paraId="47F51CAA" w14:textId="51018D7C" w:rsidR="00501823" w:rsidRDefault="00501823" w:rsidP="00501823">
      <w:pPr>
        <w:rPr>
          <w:lang w:val="en-US" w:eastAsia="en-GB"/>
        </w:rPr>
      </w:pPr>
      <w:r>
        <w:rPr>
          <w:lang w:val="en-US" w:eastAsia="en-GB"/>
        </w:rPr>
        <w:t>EZ-paper</w:t>
      </w:r>
    </w:p>
    <w:p w14:paraId="439DAACF" w14:textId="12AE9C19" w:rsidR="00501823" w:rsidRDefault="00501823" w:rsidP="00501823">
      <w:pPr>
        <w:rPr>
          <w:lang w:val="en-US" w:eastAsia="en-GB"/>
        </w:rPr>
      </w:pPr>
    </w:p>
    <w:p w14:paraId="79314E30" w14:textId="338F0D7C" w:rsidR="00501823" w:rsidRPr="00501823" w:rsidRDefault="00501823" w:rsidP="00501823">
      <w:pPr>
        <w:rPr>
          <w:lang w:val="en-US" w:eastAsia="en-GB"/>
        </w:rPr>
      </w:pPr>
      <w:r w:rsidRPr="00501823">
        <w:rPr>
          <w:lang w:val="en-US" w:eastAsia="en-GB"/>
        </w:rPr>
        <w:t>This paper differs from previous work in that...</w:t>
      </w:r>
    </w:p>
    <w:p w14:paraId="7913A47A" w14:textId="77777777" w:rsidR="00501823" w:rsidRPr="00501823" w:rsidRDefault="00501823" w:rsidP="00501823">
      <w:pPr>
        <w:rPr>
          <w:lang w:eastAsia="en-GB"/>
        </w:rPr>
      </w:pPr>
    </w:p>
    <w:p w14:paraId="7B288265" w14:textId="2E11912B" w:rsidR="00D24894" w:rsidRPr="00D24894" w:rsidRDefault="00712F79" w:rsidP="00D24894">
      <w:pPr>
        <w:rPr>
          <w:lang w:val="en-US" w:eastAsia="en-GB"/>
        </w:rPr>
      </w:pPr>
      <w:r>
        <w:rPr>
          <w:lang w:val="en-US" w:eastAsia="en-GB"/>
        </w:rPr>
        <w:t xml:space="preserve">Our findings clearly indicate “COVID-19 dominance”: The widening spreads during the pandemic induced by COVID-specific risks and fiscal responses has led to unconventional monetary and fiscal </w:t>
      </w:r>
      <w:proofErr w:type="spellStart"/>
      <w:r>
        <w:rPr>
          <w:lang w:val="en-US" w:eastAsia="en-GB"/>
        </w:rPr>
        <w:t>policie</w:t>
      </w:r>
      <w:proofErr w:type="spellEnd"/>
      <w:r>
        <w:rPr>
          <w:lang w:val="en-US" w:eastAsia="en-GB"/>
        </w:rPr>
        <w:t xml:space="preserve"> that primarily aimed to mitigate the fear of the worst economic outcomes such as collapsing household and corporate incomes, and temporarily pushed away concerns over fiscal risk. </w:t>
      </w:r>
    </w:p>
    <w:p w14:paraId="159771D2" w14:textId="719F5C7C" w:rsidR="00B1406C" w:rsidRPr="00B1406C" w:rsidRDefault="00BE75E4" w:rsidP="00B1406C">
      <w:pPr>
        <w:pStyle w:val="Heading1"/>
        <w:rPr>
          <w:lang w:val="en-US"/>
        </w:rPr>
      </w:pPr>
      <w:r>
        <w:rPr>
          <w:lang w:val="en-US"/>
        </w:rPr>
        <w:t>COVID-19 crisis and emerging market sovereigns</w:t>
      </w:r>
    </w:p>
    <w:p w14:paraId="24370869" w14:textId="5D430C58" w:rsidR="00BE75E4" w:rsidRDefault="00BE75E4" w:rsidP="00BE75E4">
      <w:pPr>
        <w:pStyle w:val="Heading2"/>
        <w:rPr>
          <w:lang w:val="en-US"/>
        </w:rPr>
      </w:pPr>
      <w:r>
        <w:rPr>
          <w:lang w:val="en-US"/>
        </w:rPr>
        <w:t>Mortality patterns</w:t>
      </w:r>
    </w:p>
    <w:p w14:paraId="6FCFB26A" w14:textId="6AF0179A" w:rsidR="00712F79" w:rsidRPr="00712F79" w:rsidRDefault="00504CFF" w:rsidP="00712F79">
      <w:r>
        <w:rPr>
          <w:lang w:val="en-US"/>
        </w:rPr>
        <w:t xml:space="preserve">With COVID-19 being a global pandemic, </w:t>
      </w:r>
      <w:r w:rsidR="00D76916">
        <w:rPr>
          <w:lang w:val="en-US"/>
        </w:rPr>
        <w:t xml:space="preserve">the entirety of the emerging and developing market countries was hit. However, mortality dynamics across nations were heterogeneous. </w:t>
      </w:r>
      <w:r w:rsidR="00D76916">
        <w:rPr>
          <w:lang w:val="en-US"/>
        </w:rPr>
        <w:fldChar w:fldCharType="begin"/>
      </w:r>
      <w:r w:rsidR="00D76916">
        <w:rPr>
          <w:lang w:val="en-US"/>
        </w:rPr>
        <w:instrText xml:space="preserve"> REF _Ref50706153 \h </w:instrText>
      </w:r>
      <w:r w:rsidR="00D76916">
        <w:rPr>
          <w:lang w:val="en-US"/>
        </w:rPr>
      </w:r>
      <w:r w:rsidR="00D76916">
        <w:rPr>
          <w:lang w:val="en-US"/>
        </w:rPr>
        <w:fldChar w:fldCharType="separate"/>
      </w:r>
      <w:r w:rsidR="00D76916">
        <w:t>F</w:t>
      </w:r>
      <w:r w:rsidR="00D76916">
        <w:t>i</w:t>
      </w:r>
      <w:r w:rsidR="00D76916">
        <w:t xml:space="preserve">gure </w:t>
      </w:r>
      <w:r w:rsidR="00D76916">
        <w:rPr>
          <w:noProof/>
        </w:rPr>
        <w:t>1</w:t>
      </w:r>
      <w:r w:rsidR="00D76916">
        <w:rPr>
          <w:lang w:val="en-US"/>
        </w:rPr>
        <w:fldChar w:fldCharType="end"/>
      </w:r>
      <w:r w:rsidR="00D76916">
        <w:rPr>
          <w:lang w:val="en-US"/>
        </w:rPr>
        <w:t xml:space="preserve"> and </w:t>
      </w:r>
      <w:r w:rsidR="00D76916">
        <w:rPr>
          <w:lang w:val="en-US"/>
        </w:rPr>
        <w:fldChar w:fldCharType="begin"/>
      </w:r>
      <w:r w:rsidR="00D76916">
        <w:rPr>
          <w:lang w:val="en-US"/>
        </w:rPr>
        <w:instrText xml:space="preserve"> REF _Ref50706167 \h </w:instrText>
      </w:r>
      <w:r w:rsidR="00D76916">
        <w:rPr>
          <w:lang w:val="en-US"/>
        </w:rPr>
      </w:r>
      <w:r w:rsidR="00D76916">
        <w:rPr>
          <w:lang w:val="en-US"/>
        </w:rPr>
        <w:fldChar w:fldCharType="separate"/>
      </w:r>
      <w:r w:rsidR="00D76916">
        <w:t xml:space="preserve">Figure </w:t>
      </w:r>
      <w:r w:rsidR="00D76916">
        <w:rPr>
          <w:noProof/>
        </w:rPr>
        <w:t>2</w:t>
      </w:r>
      <w:r w:rsidR="00D76916">
        <w:rPr>
          <w:lang w:val="en-US"/>
        </w:rPr>
        <w:fldChar w:fldCharType="end"/>
      </w:r>
      <w:r w:rsidR="00D76916">
        <w:rPr>
          <w:lang w:val="en-US"/>
        </w:rPr>
        <w:t xml:space="preserve"> illustrate the discrepancies in mortality per capita and deaths per million residents across emerging markets. </w:t>
      </w:r>
      <w:r w:rsidR="00DC353E">
        <w:rPr>
          <w:lang w:val="en-US"/>
        </w:rPr>
        <w:t>As per the end of April 2020, Peru, Brazil, Panama, Romania and Turkey were among the emerging markets with the highest mortality rates whereas Bahrain, Qatar, Sri Lanka, China, and Thailand were at the lower end. Of course, some of this heterogeneity can be attributed to differing reporting standards across regimes. Nevertheless, [</w:t>
      </w:r>
      <w:proofErr w:type="spellStart"/>
      <w:r w:rsidR="00DC353E">
        <w:rPr>
          <w:lang w:val="en-US"/>
        </w:rPr>
        <w:t>Jinjarak</w:t>
      </w:r>
      <w:proofErr w:type="spellEnd"/>
      <w:r w:rsidR="00DC353E">
        <w:rPr>
          <w:lang w:val="en-US"/>
        </w:rPr>
        <w:t xml:space="preserve"> et al. 2020] provide evidence that the government pandemic policy interventions, i.e. their strictness, duration, etc., along with initial country characteristics such as demographics may have influenced both the mortality growth rates and the dynamic trajectory of the its development. </w:t>
      </w:r>
      <w:r w:rsidR="00DC353E">
        <w:rPr>
          <w:lang w:val="en-US"/>
        </w:rPr>
        <w:t>[</w:t>
      </w:r>
      <w:proofErr w:type="spellStart"/>
      <w:r w:rsidR="00DC353E">
        <w:rPr>
          <w:lang w:val="en-US"/>
        </w:rPr>
        <w:t>Jinjarak</w:t>
      </w:r>
      <w:proofErr w:type="spellEnd"/>
      <w:r w:rsidR="00DC353E">
        <w:rPr>
          <w:lang w:val="en-US"/>
        </w:rPr>
        <w:t xml:space="preserve"> et al. 2020] </w:t>
      </w:r>
      <w:r w:rsidR="00DC353E" w:rsidRPr="00DC353E">
        <w:rPr>
          <w:lang w:val="en-US"/>
        </w:rPr>
        <w:t>ex</w:t>
      </w:r>
      <w:r w:rsidR="00DC353E">
        <w:rPr>
          <w:lang w:val="en-US"/>
        </w:rPr>
        <w:t>plore</w:t>
      </w:r>
      <w:r w:rsidR="00DC353E">
        <w:t xml:space="preserve"> several demographic and structural features across a large sample of </w:t>
      </w:r>
      <w:r w:rsidR="00DC353E" w:rsidRPr="00DC353E">
        <w:rPr>
          <w:lang w:val="en-US"/>
        </w:rPr>
        <w:t>both a</w:t>
      </w:r>
      <w:r w:rsidR="00DC353E">
        <w:t>dvanced and emerging economies from 1/23/2020 to 4/28/2020</w:t>
      </w:r>
      <w:r w:rsidR="00DC353E" w:rsidRPr="00DC353E">
        <w:rPr>
          <w:lang w:val="en-US"/>
        </w:rPr>
        <w:t xml:space="preserve"> and</w:t>
      </w:r>
      <w:r w:rsidR="00DC353E">
        <w:t xml:space="preserve"> </w:t>
      </w:r>
      <w:r w:rsidR="00DC353E" w:rsidRPr="00DC353E">
        <w:rPr>
          <w:lang w:val="en-US"/>
        </w:rPr>
        <w:t>find</w:t>
      </w:r>
      <w:r w:rsidR="00DC353E">
        <w:t xml:space="preserve"> that with a lag</w:t>
      </w:r>
      <w:r w:rsidR="00DC353E" w:rsidRPr="00DC353E">
        <w:rPr>
          <w:lang w:val="en-US"/>
        </w:rPr>
        <w:t xml:space="preserve"> </w:t>
      </w:r>
      <w:r w:rsidR="00DC353E">
        <w:t>more stringent pandemic policies were associated with lower mortality growth rates.</w:t>
      </w:r>
      <w:r w:rsidR="00DC353E" w:rsidRPr="00DC353E">
        <w:rPr>
          <w:lang w:val="en-US"/>
        </w:rPr>
        <w:t xml:space="preserve"> </w:t>
      </w:r>
      <w:r w:rsidR="00DC353E">
        <w:rPr>
          <w:lang w:val="en-US"/>
        </w:rPr>
        <w:t xml:space="preserve">Additionally, </w:t>
      </w:r>
      <w:r w:rsidR="00712F79">
        <w:t xml:space="preserve">the association between stricter pandemic policies and lower future </w:t>
      </w:r>
    </w:p>
    <w:p w14:paraId="0DFC8B84" w14:textId="77777777" w:rsidR="00712F79" w:rsidRDefault="00712F79" w:rsidP="00712F79">
      <w:r>
        <w:t xml:space="preserve">mortality growth was more pronounced in countries with a greater proportion of the elderly </w:t>
      </w:r>
    </w:p>
    <w:p w14:paraId="2C80F5EF" w14:textId="77777777" w:rsidR="00712F79" w:rsidRDefault="00712F79" w:rsidP="00712F79">
      <w:r>
        <w:t xml:space="preserve">population, greater democratic freedom, larger international travel flows, and further distance </w:t>
      </w:r>
    </w:p>
    <w:p w14:paraId="6A67A764" w14:textId="77777777" w:rsidR="00712F79" w:rsidRDefault="00712F79" w:rsidP="00712F79">
      <w:r>
        <w:t xml:space="preserve">from the equator. In addition, they document that the extent to which the peak mortality rates </w:t>
      </w:r>
    </w:p>
    <w:p w14:paraId="2E1E6603" w14:textId="3AB2983F" w:rsidR="00504CFF" w:rsidRPr="00712F79" w:rsidRDefault="00712F79" w:rsidP="00504CFF">
      <w:pPr>
        <w:rPr>
          <w:lang w:val="en-US"/>
        </w:rPr>
      </w:pPr>
      <w:r>
        <w:t xml:space="preserve">were explained by government pandemic policies and country-specific structural features is </w:t>
      </w:r>
      <w:r w:rsidRPr="00712F79">
        <w:rPr>
          <w:lang w:val="en-US"/>
        </w:rPr>
        <w:t>heterogen</w:t>
      </w:r>
      <w:r>
        <w:rPr>
          <w:lang w:val="en-US"/>
        </w:rPr>
        <w:t xml:space="preserve">eous. </w:t>
      </w:r>
    </w:p>
    <w:p w14:paraId="744EE752" w14:textId="70876EDF" w:rsidR="00B1406C" w:rsidRDefault="00B1406C" w:rsidP="00B1406C">
      <w:pPr>
        <w:pStyle w:val="Heading2"/>
        <w:rPr>
          <w:lang w:val="en-US"/>
        </w:rPr>
      </w:pPr>
      <w:r>
        <w:rPr>
          <w:lang w:val="en-US"/>
        </w:rPr>
        <w:t>Fiscal policies of emerging market countries</w:t>
      </w:r>
    </w:p>
    <w:p w14:paraId="16B54485" w14:textId="77777777" w:rsidR="00712F79" w:rsidRPr="00712F79" w:rsidRDefault="00712F79" w:rsidP="00712F79">
      <w:pPr>
        <w:rPr>
          <w:lang w:val="en-US"/>
        </w:rPr>
      </w:pPr>
    </w:p>
    <w:p w14:paraId="01ADE780" w14:textId="43125E2F" w:rsidR="00BE75E4" w:rsidRDefault="00B1406C" w:rsidP="00B1406C">
      <w:pPr>
        <w:pStyle w:val="Heading1"/>
        <w:rPr>
          <w:lang w:val="en-US"/>
        </w:rPr>
      </w:pPr>
      <w:r>
        <w:rPr>
          <w:lang w:val="en-US"/>
        </w:rPr>
        <w:lastRenderedPageBreak/>
        <w:t>Analysis of COVID dominance</w:t>
      </w:r>
    </w:p>
    <w:p w14:paraId="32B40FEF" w14:textId="77777777" w:rsidR="00712F79" w:rsidRPr="00712F79" w:rsidRDefault="00712F79" w:rsidP="00712F79">
      <w:pPr>
        <w:rPr>
          <w:lang w:val="en-US"/>
        </w:rPr>
      </w:pPr>
    </w:p>
    <w:p w14:paraId="2251F8B2" w14:textId="55832DDB" w:rsidR="00B1406C" w:rsidRDefault="00B1406C" w:rsidP="00B1406C">
      <w:pPr>
        <w:pStyle w:val="Heading2"/>
        <w:rPr>
          <w:lang w:val="en-US"/>
        </w:rPr>
      </w:pPr>
      <w:r>
        <w:rPr>
          <w:lang w:val="en-US"/>
        </w:rPr>
        <w:t>Data</w:t>
      </w:r>
    </w:p>
    <w:p w14:paraId="602AE24C" w14:textId="09FD3887" w:rsidR="00234D27" w:rsidRDefault="00504CFF" w:rsidP="00B1406C">
      <w:pPr>
        <w:rPr>
          <w:lang w:val="en-US"/>
        </w:rPr>
      </w:pPr>
      <w:r>
        <w:rPr>
          <w:lang w:val="en-US"/>
        </w:rPr>
        <w:t xml:space="preserve">Our empirical analysis uses daily data for 30 emerging market sovereigns for </w:t>
      </w:r>
      <w:r w:rsidR="00712F79">
        <w:rPr>
          <w:lang w:val="en-US"/>
        </w:rPr>
        <w:t xml:space="preserve">a period of 6.5 years from January 1, 2014 to June 30, 2020. </w:t>
      </w:r>
      <w:r w:rsidR="00234D27">
        <w:rPr>
          <w:lang w:val="en-US"/>
        </w:rPr>
        <w:t>We chose</w:t>
      </w:r>
      <w:r w:rsidR="00057062">
        <w:rPr>
          <w:lang w:val="en-US"/>
        </w:rPr>
        <w:t xml:space="preserve"> 30 EMs </w:t>
      </w:r>
      <w:r w:rsidR="00234D27">
        <w:rPr>
          <w:lang w:val="en-US"/>
        </w:rPr>
        <w:t>based</w:t>
      </w:r>
      <w:r w:rsidR="00057062">
        <w:rPr>
          <w:lang w:val="en-US"/>
        </w:rPr>
        <w:t xml:space="preserve"> on their </w:t>
      </w:r>
      <w:proofErr w:type="spellStart"/>
      <w:r w:rsidR="00057062">
        <w:rPr>
          <w:lang w:val="en-US"/>
        </w:rPr>
        <w:t>investibility</w:t>
      </w:r>
      <w:proofErr w:type="spellEnd"/>
      <w:r w:rsidR="00057062">
        <w:rPr>
          <w:lang w:val="en-US"/>
        </w:rPr>
        <w:t xml:space="preserve"> and data availability</w:t>
      </w:r>
      <w:r w:rsidR="00234D27">
        <w:rPr>
          <w:lang w:val="en-US"/>
        </w:rPr>
        <w:t xml:space="preserve"> of the dependent variably</w:t>
      </w:r>
      <w:r w:rsidR="00057062">
        <w:rPr>
          <w:lang w:val="en-US"/>
        </w:rPr>
        <w:t xml:space="preserve">, whereby </w:t>
      </w:r>
      <w:proofErr w:type="spellStart"/>
      <w:r w:rsidR="00057062">
        <w:rPr>
          <w:lang w:val="en-US"/>
        </w:rPr>
        <w:t>investibility</w:t>
      </w:r>
      <w:proofErr w:type="spellEnd"/>
      <w:r w:rsidR="00057062">
        <w:rPr>
          <w:lang w:val="en-US"/>
        </w:rPr>
        <w:t xml:space="preserve"> was defined by a country’s representation in the widely regarded J.P. Morgan Emerging Markets Bond Index</w:t>
      </w:r>
      <w:r w:rsidR="00A9493D">
        <w:rPr>
          <w:lang w:val="en-US"/>
        </w:rPr>
        <w:t xml:space="preserve"> (laender.xlsx </w:t>
      </w:r>
      <w:proofErr w:type="gramStart"/>
      <w:r w:rsidR="00A9493D">
        <w:rPr>
          <w:lang w:val="en-US"/>
        </w:rPr>
        <w:t xml:space="preserve">and </w:t>
      </w:r>
      <w:r w:rsidR="00057062">
        <w:rPr>
          <w:lang w:val="en-US"/>
        </w:rPr>
        <w:t>.</w:t>
      </w:r>
      <w:proofErr w:type="gramEnd"/>
      <w:r w:rsidR="00057062">
        <w:rPr>
          <w:lang w:val="en-US"/>
        </w:rPr>
        <w:t xml:space="preserve"> Over the course of the analysis, 10 countries were </w:t>
      </w:r>
      <w:r w:rsidR="00C32EA2">
        <w:rPr>
          <w:lang w:val="en-US"/>
        </w:rPr>
        <w:t>dropped from the sample</w:t>
      </w:r>
      <w:r w:rsidR="00057062">
        <w:rPr>
          <w:lang w:val="en-US"/>
        </w:rPr>
        <w:t xml:space="preserve"> because of country-specific </w:t>
      </w:r>
      <w:r w:rsidR="00234D27">
        <w:rPr>
          <w:lang w:val="en-US"/>
        </w:rPr>
        <w:t xml:space="preserve">pre-COVID </w:t>
      </w:r>
      <w:r w:rsidR="00057062">
        <w:rPr>
          <w:lang w:val="en-US"/>
        </w:rPr>
        <w:t xml:space="preserve">events that </w:t>
      </w:r>
      <w:r w:rsidR="00234D27">
        <w:rPr>
          <w:lang w:val="en-US"/>
        </w:rPr>
        <w:t>would make them outliers (for example Argentina).</w:t>
      </w:r>
      <w:r w:rsidR="00234D27">
        <w:rPr>
          <w:rStyle w:val="FootnoteReference"/>
          <w:lang w:val="en-US"/>
        </w:rPr>
        <w:footnoteReference w:id="1"/>
      </w:r>
      <w:r w:rsidR="00234D27">
        <w:rPr>
          <w:lang w:val="en-US"/>
        </w:rPr>
        <w:t xml:space="preserve"> We chose this specific time period because it begins after the structural break of the taper tantrum and to have enough data to calibrate and test the model in both normal and COVID-times. </w:t>
      </w:r>
      <w:r w:rsidR="00C32EA2">
        <w:rPr>
          <w:lang w:val="en-US"/>
        </w:rPr>
        <w:t>The following data is used, and descriptive statistics are shown in Table XXX. For more specific manipulations of the raw data, see section XXX on the estimation method.</w:t>
      </w:r>
      <w:r w:rsidR="00A9493D">
        <w:rPr>
          <w:lang w:val="en-US"/>
        </w:rPr>
        <w:t xml:space="preserve"> (EMcountries</w:t>
      </w:r>
      <w:r w:rsidR="00A9493D" w:rsidRPr="00A9493D">
        <w:rPr>
          <w:lang w:val="en-US"/>
        </w:rPr>
        <w:t>.xlsx</w:t>
      </w:r>
    </w:p>
    <w:p w14:paraId="7CB72E0A" w14:textId="1A6E2B59" w:rsidR="00C32EA2" w:rsidRDefault="00C32EA2" w:rsidP="00B1406C">
      <w:pPr>
        <w:rPr>
          <w:lang w:val="en-US"/>
        </w:rPr>
      </w:pPr>
    </w:p>
    <w:p w14:paraId="0F81B699" w14:textId="79449274" w:rsidR="00C32EA2" w:rsidRDefault="00C32EA2" w:rsidP="00C32EA2">
      <w:pPr>
        <w:pStyle w:val="ListParagraph"/>
        <w:numPr>
          <w:ilvl w:val="0"/>
          <w:numId w:val="11"/>
        </w:numPr>
        <w:rPr>
          <w:lang w:val="en-US"/>
        </w:rPr>
      </w:pPr>
      <w:r w:rsidRPr="00D3038C">
        <w:rPr>
          <w:i/>
          <w:iCs/>
          <w:lang w:val="en-US"/>
        </w:rPr>
        <w:t>Sovereign Credit Default Swap spread (CDS spread).</w:t>
      </w:r>
      <w:r w:rsidRPr="00C32EA2">
        <w:rPr>
          <w:lang w:val="en-US"/>
        </w:rPr>
        <w:t xml:space="preserve"> We use the daily CDS spreads reported by Eikon Refinitiv</w:t>
      </w:r>
      <w:r w:rsidR="00D3038C">
        <w:rPr>
          <w:lang w:val="en-US"/>
        </w:rPr>
        <w:t xml:space="preserve"> and convert the levels into daily log changes for the first-stage regression. </w:t>
      </w:r>
      <w:r w:rsidR="00A9493D">
        <w:rPr>
          <w:lang w:val="en-US"/>
        </w:rPr>
        <w:t>(</w:t>
      </w:r>
      <w:r w:rsidR="00A9493D" w:rsidRPr="00A9493D">
        <w:rPr>
          <w:lang w:val="en-US"/>
        </w:rPr>
        <w:t>CDS.xlsx</w:t>
      </w:r>
      <w:r w:rsidR="00A9493D">
        <w:rPr>
          <w:lang w:val="en-US"/>
        </w:rPr>
        <w:t xml:space="preserve"> file)</w:t>
      </w:r>
    </w:p>
    <w:p w14:paraId="5FEF7184" w14:textId="6D0370F6" w:rsidR="00D3038C" w:rsidRDefault="00A9493D" w:rsidP="00C32EA2">
      <w:pPr>
        <w:pStyle w:val="ListParagraph"/>
        <w:numPr>
          <w:ilvl w:val="0"/>
          <w:numId w:val="11"/>
        </w:numPr>
        <w:rPr>
          <w:lang w:val="en-US"/>
        </w:rPr>
      </w:pPr>
      <w:r>
        <w:rPr>
          <w:i/>
          <w:iCs/>
          <w:lang w:val="en-US"/>
        </w:rPr>
        <w:t>Infections</w:t>
      </w:r>
      <w:r w:rsidR="00D3038C">
        <w:rPr>
          <w:i/>
          <w:iCs/>
          <w:lang w:val="en-US"/>
        </w:rPr>
        <w:t xml:space="preserve">. </w:t>
      </w:r>
      <w:r w:rsidR="00D3038C" w:rsidRPr="00A9493D">
        <w:rPr>
          <w:lang w:val="en-US"/>
        </w:rPr>
        <w:t xml:space="preserve">We use the daily infections per country reported by </w:t>
      </w:r>
      <w:r w:rsidRPr="00A9493D">
        <w:rPr>
          <w:lang w:val="en-US"/>
        </w:rPr>
        <w:t>the Johns Hopkins University Center for Systems Science and Engineering (JHU CSSE). Counts include confirmed and probably where reported.</w:t>
      </w:r>
      <w:r>
        <w:rPr>
          <w:lang w:val="en-US"/>
        </w:rPr>
        <w:t xml:space="preserve"> (</w:t>
      </w:r>
      <w:r w:rsidRPr="00A9493D">
        <w:rPr>
          <w:lang w:val="en-US"/>
        </w:rPr>
        <w:t>csse_covid_19_time_series</w:t>
      </w:r>
      <w:r>
        <w:rPr>
          <w:lang w:val="en-US"/>
        </w:rPr>
        <w:t xml:space="preserve"> folder)</w:t>
      </w:r>
    </w:p>
    <w:p w14:paraId="34843297" w14:textId="6B3A3B7C" w:rsidR="00D3038C" w:rsidRDefault="00A9493D" w:rsidP="00C32EA2">
      <w:pPr>
        <w:pStyle w:val="ListParagraph"/>
        <w:numPr>
          <w:ilvl w:val="0"/>
          <w:numId w:val="11"/>
        </w:numPr>
        <w:rPr>
          <w:lang w:val="en-US"/>
        </w:rPr>
      </w:pPr>
      <w:r w:rsidRPr="00A9493D">
        <w:rPr>
          <w:i/>
          <w:iCs/>
          <w:lang w:val="en-US"/>
        </w:rPr>
        <w:t>Deaths</w:t>
      </w:r>
      <w:r>
        <w:rPr>
          <w:lang w:val="en-US"/>
        </w:rPr>
        <w:t>. We use the daily deaths per country reported by the JHU CSSE. Counts include confirmed and probably where reported. (</w:t>
      </w:r>
      <w:r w:rsidRPr="00A9493D">
        <w:rPr>
          <w:lang w:val="en-US"/>
        </w:rPr>
        <w:t>csse_covid_19_time_series</w:t>
      </w:r>
      <w:r>
        <w:rPr>
          <w:lang w:val="en-US"/>
        </w:rPr>
        <w:t xml:space="preserve"> folder)</w:t>
      </w:r>
    </w:p>
    <w:p w14:paraId="1B84B960" w14:textId="526E3E0D" w:rsidR="00A9493D" w:rsidRDefault="00A9493D" w:rsidP="00C32EA2">
      <w:pPr>
        <w:pStyle w:val="ListParagraph"/>
        <w:numPr>
          <w:ilvl w:val="0"/>
          <w:numId w:val="11"/>
        </w:numPr>
        <w:rPr>
          <w:lang w:val="en-US"/>
        </w:rPr>
      </w:pPr>
      <w:r>
        <w:rPr>
          <w:i/>
          <w:iCs/>
          <w:lang w:val="en-US"/>
        </w:rPr>
        <w:t>Gross domestic product (GDP)</w:t>
      </w:r>
      <w:r w:rsidRPr="00A9493D">
        <w:rPr>
          <w:lang w:val="en-US"/>
        </w:rPr>
        <w:t>.</w:t>
      </w:r>
      <w:r>
        <w:rPr>
          <w:lang w:val="en-US"/>
        </w:rPr>
        <w:t xml:space="preserve"> We use GDP data in current $ reported by the World Bank (GDP.xlsx file).</w:t>
      </w:r>
    </w:p>
    <w:p w14:paraId="092E816F" w14:textId="72CBBF26" w:rsidR="00A9493D" w:rsidRDefault="00B76134" w:rsidP="00C32EA2">
      <w:pPr>
        <w:pStyle w:val="ListParagraph"/>
        <w:numPr>
          <w:ilvl w:val="0"/>
          <w:numId w:val="11"/>
        </w:numPr>
        <w:rPr>
          <w:lang w:val="en-US"/>
        </w:rPr>
      </w:pPr>
      <w:r w:rsidRPr="00B76134">
        <w:rPr>
          <w:i/>
          <w:iCs/>
          <w:lang w:val="en-US"/>
        </w:rPr>
        <w:t>Mobility</w:t>
      </w:r>
      <w:r>
        <w:rPr>
          <w:lang w:val="en-US"/>
        </w:rPr>
        <w:t xml:space="preserve">. We use the daily routing requests per country reported by Apple. </w:t>
      </w:r>
    </w:p>
    <w:p w14:paraId="0D710CC5" w14:textId="77777777" w:rsidR="00B76134" w:rsidRDefault="00B76134" w:rsidP="00C32EA2">
      <w:pPr>
        <w:pStyle w:val="ListParagraph"/>
        <w:numPr>
          <w:ilvl w:val="0"/>
          <w:numId w:val="11"/>
        </w:numPr>
        <w:rPr>
          <w:lang w:val="en-US"/>
        </w:rPr>
      </w:pPr>
    </w:p>
    <w:p w14:paraId="5479E898" w14:textId="737F1C04" w:rsidR="00D3038C" w:rsidRDefault="00D3038C" w:rsidP="00D3038C">
      <w:pPr>
        <w:rPr>
          <w:lang w:val="en-US"/>
        </w:rPr>
      </w:pPr>
    </w:p>
    <w:p w14:paraId="6E62BFA9" w14:textId="5D5F9A1F" w:rsidR="00D3038C" w:rsidRDefault="00D3038C" w:rsidP="00D3038C">
      <w:pPr>
        <w:rPr>
          <w:lang w:val="en-US"/>
        </w:rPr>
      </w:pPr>
    </w:p>
    <w:p w14:paraId="101BBCB2" w14:textId="77777777" w:rsidR="00D3038C" w:rsidRDefault="00D3038C" w:rsidP="00D3038C">
      <w:pPr>
        <w:autoSpaceDE w:val="0"/>
        <w:autoSpaceDN w:val="0"/>
        <w:adjustRightInd w:val="0"/>
        <w:rPr>
          <w:rFonts w:ascii="Times New Roman" w:hAnsi="Times New Roman" w:cs="Times New Roman"/>
          <w:sz w:val="17"/>
          <w:szCs w:val="17"/>
          <w:lang w:val="en-GB"/>
        </w:rPr>
      </w:pPr>
      <w:r>
        <w:rPr>
          <w:rFonts w:ascii="Times New Roman" w:hAnsi="Times New Roman" w:cs="Times New Roman"/>
          <w:sz w:val="17"/>
          <w:szCs w:val="17"/>
          <w:lang w:val="en-GB"/>
        </w:rPr>
        <w:t>New Mortality Rate 0.0349 0.0483 0.2131 0.2213 0.1911</w:t>
      </w:r>
    </w:p>
    <w:p w14:paraId="1322B2F6" w14:textId="77777777" w:rsidR="00D3038C" w:rsidRDefault="00D3038C" w:rsidP="00D3038C">
      <w:pPr>
        <w:autoSpaceDE w:val="0"/>
        <w:autoSpaceDN w:val="0"/>
        <w:adjustRightInd w:val="0"/>
        <w:rPr>
          <w:rFonts w:ascii="Times New Roman" w:hAnsi="Times New Roman" w:cs="Times New Roman"/>
          <w:sz w:val="17"/>
          <w:szCs w:val="17"/>
          <w:lang w:val="en-GB"/>
        </w:rPr>
      </w:pPr>
      <w:r>
        <w:rPr>
          <w:rFonts w:ascii="Times New Roman" w:hAnsi="Times New Roman" w:cs="Times New Roman"/>
          <w:sz w:val="17"/>
          <w:szCs w:val="17"/>
          <w:lang w:val="en-GB"/>
        </w:rPr>
        <w:t>(0.0406) (0.0460) (0.1961) (0.1873) (0.1810)</w:t>
      </w:r>
    </w:p>
    <w:p w14:paraId="353846FB" w14:textId="77777777" w:rsidR="00D3038C" w:rsidRDefault="00D3038C" w:rsidP="00D3038C">
      <w:pPr>
        <w:autoSpaceDE w:val="0"/>
        <w:autoSpaceDN w:val="0"/>
        <w:adjustRightInd w:val="0"/>
        <w:rPr>
          <w:rFonts w:ascii="Times New Roman" w:hAnsi="Times New Roman" w:cs="Times New Roman"/>
          <w:sz w:val="17"/>
          <w:szCs w:val="17"/>
          <w:lang w:val="en-GB"/>
        </w:rPr>
      </w:pPr>
      <w:r>
        <w:rPr>
          <w:rFonts w:ascii="Times New Roman" w:hAnsi="Times New Roman" w:cs="Times New Roman"/>
          <w:sz w:val="17"/>
          <w:szCs w:val="17"/>
          <w:lang w:val="en-GB"/>
        </w:rPr>
        <w:t>New Mortality Rate Growth 0.0028 0.0029 0.0049 0.0051 0.0018</w:t>
      </w:r>
    </w:p>
    <w:p w14:paraId="4B07ED30" w14:textId="77777777" w:rsidR="00D3038C" w:rsidRDefault="00D3038C" w:rsidP="00D3038C">
      <w:pPr>
        <w:autoSpaceDE w:val="0"/>
        <w:autoSpaceDN w:val="0"/>
        <w:adjustRightInd w:val="0"/>
        <w:rPr>
          <w:rFonts w:ascii="Times New Roman" w:hAnsi="Times New Roman" w:cs="Times New Roman"/>
          <w:sz w:val="17"/>
          <w:szCs w:val="17"/>
          <w:lang w:val="en-GB"/>
        </w:rPr>
      </w:pPr>
      <w:r>
        <w:rPr>
          <w:rFonts w:ascii="Times New Roman" w:hAnsi="Times New Roman" w:cs="Times New Roman"/>
          <w:sz w:val="17"/>
          <w:szCs w:val="17"/>
          <w:lang w:val="en-GB"/>
        </w:rPr>
        <w:t>(0.0053) (0.0053) (0.0045) (0.0047) (0.0055)</w:t>
      </w:r>
    </w:p>
    <w:p w14:paraId="0A233AC2" w14:textId="77777777" w:rsidR="00D3038C" w:rsidRDefault="00D3038C" w:rsidP="00D3038C">
      <w:pPr>
        <w:autoSpaceDE w:val="0"/>
        <w:autoSpaceDN w:val="0"/>
        <w:adjustRightInd w:val="0"/>
        <w:rPr>
          <w:rFonts w:ascii="Times New Roman" w:hAnsi="Times New Roman" w:cs="Times New Roman"/>
          <w:sz w:val="17"/>
          <w:szCs w:val="17"/>
          <w:lang w:val="en-GB"/>
        </w:rPr>
      </w:pPr>
      <w:r>
        <w:rPr>
          <w:rFonts w:ascii="Times New Roman" w:hAnsi="Times New Roman" w:cs="Times New Roman"/>
          <w:sz w:val="17"/>
          <w:szCs w:val="17"/>
          <w:lang w:val="en-GB"/>
        </w:rPr>
        <w:t>Total Mortality Rate 􀀀0.0083 􀀀0.0113 􀀀0.0521 􀀀0.0558 􀀀0.0443</w:t>
      </w:r>
    </w:p>
    <w:p w14:paraId="0491E2AC" w14:textId="77777777" w:rsidR="00D3038C" w:rsidRDefault="00D3038C" w:rsidP="00D3038C">
      <w:pPr>
        <w:autoSpaceDE w:val="0"/>
        <w:autoSpaceDN w:val="0"/>
        <w:adjustRightInd w:val="0"/>
        <w:rPr>
          <w:rFonts w:ascii="Times New Roman" w:hAnsi="Times New Roman" w:cs="Times New Roman"/>
          <w:sz w:val="17"/>
          <w:szCs w:val="17"/>
          <w:lang w:val="en-GB"/>
        </w:rPr>
      </w:pPr>
      <w:r>
        <w:rPr>
          <w:rFonts w:ascii="Times New Roman" w:hAnsi="Times New Roman" w:cs="Times New Roman"/>
          <w:sz w:val="17"/>
          <w:szCs w:val="17"/>
          <w:lang w:val="en-GB"/>
        </w:rPr>
        <w:t>(0.0095) (0.0105) (0.0537) (0.0516) (0.0421)</w:t>
      </w:r>
    </w:p>
    <w:p w14:paraId="37A88E79" w14:textId="6BB18AD1" w:rsidR="00D3038C" w:rsidRPr="00D3038C" w:rsidRDefault="00D3038C" w:rsidP="00D3038C">
      <w:pPr>
        <w:rPr>
          <w:lang w:val="en-US"/>
        </w:rPr>
      </w:pPr>
      <w:r>
        <w:rPr>
          <w:rFonts w:ascii="Times New Roman" w:hAnsi="Times New Roman" w:cs="Times New Roman"/>
          <w:sz w:val="17"/>
          <w:szCs w:val="17"/>
          <w:lang w:val="en-GB"/>
        </w:rPr>
        <w:t>Total Mortality Rate Growth</w:t>
      </w:r>
    </w:p>
    <w:p w14:paraId="2482FDF5" w14:textId="6838605D" w:rsidR="00B1406C" w:rsidRPr="00B1406C" w:rsidRDefault="00B1406C" w:rsidP="00B1406C">
      <w:pPr>
        <w:rPr>
          <w:lang w:val="en-US"/>
        </w:rPr>
      </w:pPr>
    </w:p>
    <w:p w14:paraId="6C235474" w14:textId="77777777" w:rsidR="005E3813" w:rsidRPr="00BE75E4" w:rsidRDefault="005E3813" w:rsidP="00BE75E4">
      <w:pPr>
        <w:rPr>
          <w:lang w:val="en-US"/>
        </w:rPr>
      </w:pPr>
    </w:p>
    <w:tbl>
      <w:tblPr>
        <w:tblW w:w="1808" w:type="dxa"/>
        <w:tblLook w:val="04A0" w:firstRow="1" w:lastRow="0" w:firstColumn="1" w:lastColumn="0" w:noHBand="0" w:noVBand="1"/>
      </w:tblPr>
      <w:tblGrid>
        <w:gridCol w:w="1808"/>
      </w:tblGrid>
      <w:tr w:rsidR="00B1406C" w:rsidRPr="00B1406C" w14:paraId="077F882E" w14:textId="77777777" w:rsidTr="00B1406C">
        <w:trPr>
          <w:trHeight w:val="300"/>
        </w:trPr>
        <w:tc>
          <w:tcPr>
            <w:tcW w:w="1808" w:type="dxa"/>
            <w:tcBorders>
              <w:top w:val="nil"/>
              <w:left w:val="nil"/>
              <w:bottom w:val="nil"/>
              <w:right w:val="nil"/>
            </w:tcBorders>
            <w:shd w:val="clear" w:color="000000" w:fill="F2F2F2"/>
            <w:noWrap/>
            <w:vAlign w:val="bottom"/>
            <w:hideMark/>
          </w:tcPr>
          <w:p w14:paraId="2AA14277"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Argentina</w:t>
            </w:r>
          </w:p>
        </w:tc>
      </w:tr>
      <w:tr w:rsidR="00B1406C" w:rsidRPr="00B1406C" w14:paraId="5C910001" w14:textId="77777777" w:rsidTr="00B1406C">
        <w:trPr>
          <w:trHeight w:val="300"/>
        </w:trPr>
        <w:tc>
          <w:tcPr>
            <w:tcW w:w="1808" w:type="dxa"/>
            <w:tcBorders>
              <w:top w:val="nil"/>
              <w:left w:val="nil"/>
              <w:bottom w:val="nil"/>
              <w:right w:val="nil"/>
            </w:tcBorders>
            <w:shd w:val="clear" w:color="000000" w:fill="F2F2F2"/>
            <w:noWrap/>
            <w:vAlign w:val="bottom"/>
            <w:hideMark/>
          </w:tcPr>
          <w:p w14:paraId="429801FC"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Bahrain</w:t>
            </w:r>
          </w:p>
        </w:tc>
      </w:tr>
      <w:tr w:rsidR="00B1406C" w:rsidRPr="00B1406C" w14:paraId="1A024168" w14:textId="77777777" w:rsidTr="00B1406C">
        <w:trPr>
          <w:trHeight w:val="300"/>
        </w:trPr>
        <w:tc>
          <w:tcPr>
            <w:tcW w:w="1808" w:type="dxa"/>
            <w:tcBorders>
              <w:top w:val="nil"/>
              <w:left w:val="nil"/>
              <w:bottom w:val="nil"/>
              <w:right w:val="nil"/>
            </w:tcBorders>
            <w:shd w:val="clear" w:color="000000" w:fill="F2F2F2"/>
            <w:noWrap/>
            <w:vAlign w:val="bottom"/>
            <w:hideMark/>
          </w:tcPr>
          <w:p w14:paraId="41BA0FF0"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Brazil</w:t>
            </w:r>
          </w:p>
        </w:tc>
      </w:tr>
      <w:tr w:rsidR="00B1406C" w:rsidRPr="00B1406C" w14:paraId="3E6DA732" w14:textId="77777777" w:rsidTr="00B1406C">
        <w:trPr>
          <w:trHeight w:val="300"/>
        </w:trPr>
        <w:tc>
          <w:tcPr>
            <w:tcW w:w="1808" w:type="dxa"/>
            <w:tcBorders>
              <w:top w:val="nil"/>
              <w:left w:val="nil"/>
              <w:bottom w:val="nil"/>
              <w:right w:val="nil"/>
            </w:tcBorders>
            <w:shd w:val="clear" w:color="000000" w:fill="F2F2F2"/>
            <w:noWrap/>
            <w:vAlign w:val="bottom"/>
            <w:hideMark/>
          </w:tcPr>
          <w:p w14:paraId="6393F6BD"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Chile</w:t>
            </w:r>
          </w:p>
        </w:tc>
      </w:tr>
      <w:tr w:rsidR="00B1406C" w:rsidRPr="00B1406C" w14:paraId="09EF3780" w14:textId="77777777" w:rsidTr="00B1406C">
        <w:trPr>
          <w:trHeight w:val="300"/>
        </w:trPr>
        <w:tc>
          <w:tcPr>
            <w:tcW w:w="1808" w:type="dxa"/>
            <w:tcBorders>
              <w:top w:val="nil"/>
              <w:left w:val="nil"/>
              <w:bottom w:val="nil"/>
              <w:right w:val="nil"/>
            </w:tcBorders>
            <w:shd w:val="clear" w:color="000000" w:fill="F2F2F2"/>
            <w:noWrap/>
            <w:vAlign w:val="bottom"/>
            <w:hideMark/>
          </w:tcPr>
          <w:p w14:paraId="0FB410A5"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China</w:t>
            </w:r>
          </w:p>
        </w:tc>
      </w:tr>
      <w:tr w:rsidR="00B1406C" w:rsidRPr="00B1406C" w14:paraId="251E1786" w14:textId="77777777" w:rsidTr="00B1406C">
        <w:trPr>
          <w:trHeight w:val="300"/>
        </w:trPr>
        <w:tc>
          <w:tcPr>
            <w:tcW w:w="1808" w:type="dxa"/>
            <w:tcBorders>
              <w:top w:val="nil"/>
              <w:left w:val="nil"/>
              <w:bottom w:val="nil"/>
              <w:right w:val="nil"/>
            </w:tcBorders>
            <w:shd w:val="clear" w:color="000000" w:fill="F2F2F2"/>
            <w:noWrap/>
            <w:vAlign w:val="bottom"/>
            <w:hideMark/>
          </w:tcPr>
          <w:p w14:paraId="3930EDC3"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lastRenderedPageBreak/>
              <w:t>Colombia</w:t>
            </w:r>
          </w:p>
        </w:tc>
      </w:tr>
      <w:tr w:rsidR="00B1406C" w:rsidRPr="00B1406C" w14:paraId="5D9909E7" w14:textId="77777777" w:rsidTr="00B1406C">
        <w:trPr>
          <w:trHeight w:val="300"/>
        </w:trPr>
        <w:tc>
          <w:tcPr>
            <w:tcW w:w="1808" w:type="dxa"/>
            <w:tcBorders>
              <w:top w:val="nil"/>
              <w:left w:val="nil"/>
              <w:bottom w:val="nil"/>
              <w:right w:val="nil"/>
            </w:tcBorders>
            <w:shd w:val="clear" w:color="000000" w:fill="F2F2F2"/>
            <w:noWrap/>
            <w:vAlign w:val="bottom"/>
            <w:hideMark/>
          </w:tcPr>
          <w:p w14:paraId="0E7946AD"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Czechia</w:t>
            </w:r>
          </w:p>
        </w:tc>
      </w:tr>
      <w:tr w:rsidR="00B1406C" w:rsidRPr="00B1406C" w14:paraId="3746AB7E" w14:textId="77777777" w:rsidTr="00B1406C">
        <w:trPr>
          <w:trHeight w:val="300"/>
        </w:trPr>
        <w:tc>
          <w:tcPr>
            <w:tcW w:w="1808" w:type="dxa"/>
            <w:tcBorders>
              <w:top w:val="nil"/>
              <w:left w:val="nil"/>
              <w:bottom w:val="nil"/>
              <w:right w:val="nil"/>
            </w:tcBorders>
            <w:shd w:val="clear" w:color="000000" w:fill="F2F2F2"/>
            <w:noWrap/>
            <w:vAlign w:val="bottom"/>
            <w:hideMark/>
          </w:tcPr>
          <w:p w14:paraId="531DBF74"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Dominican Republic</w:t>
            </w:r>
          </w:p>
        </w:tc>
      </w:tr>
      <w:tr w:rsidR="00B1406C" w:rsidRPr="00B1406C" w14:paraId="53DAC2B0" w14:textId="77777777" w:rsidTr="00B1406C">
        <w:trPr>
          <w:trHeight w:val="300"/>
        </w:trPr>
        <w:tc>
          <w:tcPr>
            <w:tcW w:w="1808" w:type="dxa"/>
            <w:tcBorders>
              <w:top w:val="nil"/>
              <w:left w:val="nil"/>
              <w:bottom w:val="nil"/>
              <w:right w:val="nil"/>
            </w:tcBorders>
            <w:shd w:val="clear" w:color="000000" w:fill="F2F2F2"/>
            <w:noWrap/>
            <w:vAlign w:val="bottom"/>
            <w:hideMark/>
          </w:tcPr>
          <w:p w14:paraId="2D2DDF42"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Egypt</w:t>
            </w:r>
          </w:p>
        </w:tc>
      </w:tr>
      <w:tr w:rsidR="00B1406C" w:rsidRPr="00B1406C" w14:paraId="62BF953C" w14:textId="77777777" w:rsidTr="00B1406C">
        <w:trPr>
          <w:trHeight w:val="300"/>
        </w:trPr>
        <w:tc>
          <w:tcPr>
            <w:tcW w:w="1808" w:type="dxa"/>
            <w:tcBorders>
              <w:top w:val="nil"/>
              <w:left w:val="nil"/>
              <w:bottom w:val="nil"/>
              <w:right w:val="nil"/>
            </w:tcBorders>
            <w:shd w:val="clear" w:color="000000" w:fill="F2F2F2"/>
            <w:noWrap/>
            <w:vAlign w:val="bottom"/>
            <w:hideMark/>
          </w:tcPr>
          <w:p w14:paraId="0A6BC05E"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Ghana</w:t>
            </w:r>
          </w:p>
        </w:tc>
      </w:tr>
      <w:tr w:rsidR="00B1406C" w:rsidRPr="00B1406C" w14:paraId="59D4D88D" w14:textId="77777777" w:rsidTr="00B1406C">
        <w:trPr>
          <w:trHeight w:val="300"/>
        </w:trPr>
        <w:tc>
          <w:tcPr>
            <w:tcW w:w="1808" w:type="dxa"/>
            <w:tcBorders>
              <w:top w:val="nil"/>
              <w:left w:val="nil"/>
              <w:bottom w:val="nil"/>
              <w:right w:val="nil"/>
            </w:tcBorders>
            <w:shd w:val="clear" w:color="000000" w:fill="F2F2F2"/>
            <w:noWrap/>
            <w:vAlign w:val="bottom"/>
            <w:hideMark/>
          </w:tcPr>
          <w:p w14:paraId="6ACD1CC0"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Hungary</w:t>
            </w:r>
          </w:p>
        </w:tc>
      </w:tr>
      <w:tr w:rsidR="00B1406C" w:rsidRPr="00B1406C" w14:paraId="56757084" w14:textId="77777777" w:rsidTr="00B1406C">
        <w:trPr>
          <w:trHeight w:val="300"/>
        </w:trPr>
        <w:tc>
          <w:tcPr>
            <w:tcW w:w="1808" w:type="dxa"/>
            <w:tcBorders>
              <w:top w:val="nil"/>
              <w:left w:val="nil"/>
              <w:bottom w:val="nil"/>
              <w:right w:val="nil"/>
            </w:tcBorders>
            <w:shd w:val="clear" w:color="000000" w:fill="F2F2F2"/>
            <w:noWrap/>
            <w:vAlign w:val="bottom"/>
            <w:hideMark/>
          </w:tcPr>
          <w:p w14:paraId="55847B27"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India</w:t>
            </w:r>
          </w:p>
        </w:tc>
      </w:tr>
      <w:tr w:rsidR="00B1406C" w:rsidRPr="00B1406C" w14:paraId="7609D0CF" w14:textId="77777777" w:rsidTr="00B1406C">
        <w:trPr>
          <w:trHeight w:val="300"/>
        </w:trPr>
        <w:tc>
          <w:tcPr>
            <w:tcW w:w="1808" w:type="dxa"/>
            <w:tcBorders>
              <w:top w:val="nil"/>
              <w:left w:val="nil"/>
              <w:bottom w:val="nil"/>
              <w:right w:val="nil"/>
            </w:tcBorders>
            <w:shd w:val="clear" w:color="000000" w:fill="F2F2F2"/>
            <w:noWrap/>
            <w:vAlign w:val="bottom"/>
            <w:hideMark/>
          </w:tcPr>
          <w:p w14:paraId="726A60A0"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Indonesia</w:t>
            </w:r>
          </w:p>
        </w:tc>
      </w:tr>
      <w:tr w:rsidR="00B1406C" w:rsidRPr="00B1406C" w14:paraId="1D7E74CA" w14:textId="77777777" w:rsidTr="00B1406C">
        <w:trPr>
          <w:trHeight w:val="300"/>
        </w:trPr>
        <w:tc>
          <w:tcPr>
            <w:tcW w:w="1808" w:type="dxa"/>
            <w:tcBorders>
              <w:top w:val="nil"/>
              <w:left w:val="nil"/>
              <w:bottom w:val="nil"/>
              <w:right w:val="nil"/>
            </w:tcBorders>
            <w:shd w:val="clear" w:color="000000" w:fill="F2F2F2"/>
            <w:noWrap/>
            <w:vAlign w:val="bottom"/>
            <w:hideMark/>
          </w:tcPr>
          <w:p w14:paraId="719C8A9C"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Kazakhstan</w:t>
            </w:r>
          </w:p>
        </w:tc>
      </w:tr>
      <w:tr w:rsidR="00B1406C" w:rsidRPr="00B1406C" w14:paraId="6E35CB2C" w14:textId="77777777" w:rsidTr="00B1406C">
        <w:trPr>
          <w:trHeight w:val="300"/>
        </w:trPr>
        <w:tc>
          <w:tcPr>
            <w:tcW w:w="1808" w:type="dxa"/>
            <w:tcBorders>
              <w:top w:val="nil"/>
              <w:left w:val="nil"/>
              <w:bottom w:val="nil"/>
              <w:right w:val="nil"/>
            </w:tcBorders>
            <w:shd w:val="clear" w:color="000000" w:fill="F2F2F2"/>
            <w:noWrap/>
            <w:vAlign w:val="bottom"/>
            <w:hideMark/>
          </w:tcPr>
          <w:p w14:paraId="17533570"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Malaysia</w:t>
            </w:r>
          </w:p>
        </w:tc>
      </w:tr>
      <w:tr w:rsidR="00B1406C" w:rsidRPr="00B1406C" w14:paraId="0C736E7C" w14:textId="77777777" w:rsidTr="00B1406C">
        <w:trPr>
          <w:trHeight w:val="300"/>
        </w:trPr>
        <w:tc>
          <w:tcPr>
            <w:tcW w:w="1808" w:type="dxa"/>
            <w:tcBorders>
              <w:top w:val="nil"/>
              <w:left w:val="nil"/>
              <w:bottom w:val="nil"/>
              <w:right w:val="nil"/>
            </w:tcBorders>
            <w:shd w:val="clear" w:color="000000" w:fill="F2F2F2"/>
            <w:noWrap/>
            <w:vAlign w:val="bottom"/>
            <w:hideMark/>
          </w:tcPr>
          <w:p w14:paraId="20C04DBF"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Mexico</w:t>
            </w:r>
          </w:p>
        </w:tc>
      </w:tr>
      <w:tr w:rsidR="00B1406C" w:rsidRPr="00B1406C" w14:paraId="29535FE2" w14:textId="77777777" w:rsidTr="00B1406C">
        <w:trPr>
          <w:trHeight w:val="300"/>
        </w:trPr>
        <w:tc>
          <w:tcPr>
            <w:tcW w:w="1808" w:type="dxa"/>
            <w:tcBorders>
              <w:top w:val="nil"/>
              <w:left w:val="nil"/>
              <w:bottom w:val="nil"/>
              <w:right w:val="nil"/>
            </w:tcBorders>
            <w:shd w:val="clear" w:color="000000" w:fill="F2F2F2"/>
            <w:noWrap/>
            <w:vAlign w:val="bottom"/>
            <w:hideMark/>
          </w:tcPr>
          <w:p w14:paraId="43623335"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Panama</w:t>
            </w:r>
          </w:p>
        </w:tc>
      </w:tr>
      <w:tr w:rsidR="00B1406C" w:rsidRPr="00B1406C" w14:paraId="465FD599" w14:textId="77777777" w:rsidTr="00B1406C">
        <w:trPr>
          <w:trHeight w:val="300"/>
        </w:trPr>
        <w:tc>
          <w:tcPr>
            <w:tcW w:w="1808" w:type="dxa"/>
            <w:tcBorders>
              <w:top w:val="nil"/>
              <w:left w:val="nil"/>
              <w:bottom w:val="nil"/>
              <w:right w:val="nil"/>
            </w:tcBorders>
            <w:shd w:val="clear" w:color="000000" w:fill="F2F2F2"/>
            <w:noWrap/>
            <w:vAlign w:val="bottom"/>
            <w:hideMark/>
          </w:tcPr>
          <w:p w14:paraId="7E921C97"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Peru</w:t>
            </w:r>
          </w:p>
        </w:tc>
      </w:tr>
      <w:tr w:rsidR="00B1406C" w:rsidRPr="00B1406C" w14:paraId="35FFA80F" w14:textId="77777777" w:rsidTr="00B1406C">
        <w:trPr>
          <w:trHeight w:val="300"/>
        </w:trPr>
        <w:tc>
          <w:tcPr>
            <w:tcW w:w="1808" w:type="dxa"/>
            <w:tcBorders>
              <w:top w:val="nil"/>
              <w:left w:val="nil"/>
              <w:bottom w:val="nil"/>
              <w:right w:val="nil"/>
            </w:tcBorders>
            <w:shd w:val="clear" w:color="000000" w:fill="F2F2F2"/>
            <w:noWrap/>
            <w:vAlign w:val="bottom"/>
            <w:hideMark/>
          </w:tcPr>
          <w:p w14:paraId="65923B73"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Philippines</w:t>
            </w:r>
          </w:p>
        </w:tc>
      </w:tr>
      <w:tr w:rsidR="00B1406C" w:rsidRPr="00B1406C" w14:paraId="2857F937" w14:textId="77777777" w:rsidTr="00B1406C">
        <w:trPr>
          <w:trHeight w:val="300"/>
        </w:trPr>
        <w:tc>
          <w:tcPr>
            <w:tcW w:w="1808" w:type="dxa"/>
            <w:tcBorders>
              <w:top w:val="nil"/>
              <w:left w:val="nil"/>
              <w:bottom w:val="nil"/>
              <w:right w:val="nil"/>
            </w:tcBorders>
            <w:shd w:val="clear" w:color="000000" w:fill="F2F2F2"/>
            <w:noWrap/>
            <w:vAlign w:val="bottom"/>
            <w:hideMark/>
          </w:tcPr>
          <w:p w14:paraId="2BDF15E7"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Poland</w:t>
            </w:r>
          </w:p>
        </w:tc>
      </w:tr>
      <w:tr w:rsidR="00B1406C" w:rsidRPr="00B1406C" w14:paraId="76391339" w14:textId="77777777" w:rsidTr="00B1406C">
        <w:trPr>
          <w:trHeight w:val="300"/>
        </w:trPr>
        <w:tc>
          <w:tcPr>
            <w:tcW w:w="1808" w:type="dxa"/>
            <w:tcBorders>
              <w:top w:val="nil"/>
              <w:left w:val="nil"/>
              <w:bottom w:val="nil"/>
              <w:right w:val="nil"/>
            </w:tcBorders>
            <w:shd w:val="clear" w:color="000000" w:fill="F2F2F2"/>
            <w:noWrap/>
            <w:vAlign w:val="bottom"/>
            <w:hideMark/>
          </w:tcPr>
          <w:p w14:paraId="52007298"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Qatar</w:t>
            </w:r>
          </w:p>
        </w:tc>
      </w:tr>
      <w:tr w:rsidR="00B1406C" w:rsidRPr="00B1406C" w14:paraId="44F464CF" w14:textId="77777777" w:rsidTr="00B1406C">
        <w:trPr>
          <w:trHeight w:val="300"/>
        </w:trPr>
        <w:tc>
          <w:tcPr>
            <w:tcW w:w="1808" w:type="dxa"/>
            <w:tcBorders>
              <w:top w:val="nil"/>
              <w:left w:val="nil"/>
              <w:bottom w:val="nil"/>
              <w:right w:val="nil"/>
            </w:tcBorders>
            <w:shd w:val="clear" w:color="000000" w:fill="F2F2F2"/>
            <w:noWrap/>
            <w:vAlign w:val="bottom"/>
            <w:hideMark/>
          </w:tcPr>
          <w:p w14:paraId="06A36207"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Romania</w:t>
            </w:r>
          </w:p>
        </w:tc>
      </w:tr>
      <w:tr w:rsidR="00B1406C" w:rsidRPr="00B1406C" w14:paraId="2A7B7C0F" w14:textId="77777777" w:rsidTr="00B1406C">
        <w:trPr>
          <w:trHeight w:val="300"/>
        </w:trPr>
        <w:tc>
          <w:tcPr>
            <w:tcW w:w="1808" w:type="dxa"/>
            <w:tcBorders>
              <w:top w:val="nil"/>
              <w:left w:val="nil"/>
              <w:bottom w:val="nil"/>
              <w:right w:val="nil"/>
            </w:tcBorders>
            <w:shd w:val="clear" w:color="000000" w:fill="F2F2F2"/>
            <w:noWrap/>
            <w:vAlign w:val="bottom"/>
            <w:hideMark/>
          </w:tcPr>
          <w:p w14:paraId="6ECC30DD"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Russia</w:t>
            </w:r>
          </w:p>
        </w:tc>
      </w:tr>
      <w:tr w:rsidR="00B1406C" w:rsidRPr="00B1406C" w14:paraId="31A5D4C9" w14:textId="77777777" w:rsidTr="00B1406C">
        <w:trPr>
          <w:trHeight w:val="300"/>
        </w:trPr>
        <w:tc>
          <w:tcPr>
            <w:tcW w:w="1808" w:type="dxa"/>
            <w:tcBorders>
              <w:top w:val="nil"/>
              <w:left w:val="nil"/>
              <w:bottom w:val="nil"/>
              <w:right w:val="nil"/>
            </w:tcBorders>
            <w:shd w:val="clear" w:color="000000" w:fill="F2F2F2"/>
            <w:noWrap/>
            <w:vAlign w:val="bottom"/>
            <w:hideMark/>
          </w:tcPr>
          <w:p w14:paraId="5E5302F8"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Saudi Arabia</w:t>
            </w:r>
          </w:p>
        </w:tc>
      </w:tr>
      <w:tr w:rsidR="00B1406C" w:rsidRPr="00B1406C" w14:paraId="7065492D" w14:textId="77777777" w:rsidTr="00B1406C">
        <w:trPr>
          <w:trHeight w:val="300"/>
        </w:trPr>
        <w:tc>
          <w:tcPr>
            <w:tcW w:w="1808" w:type="dxa"/>
            <w:tcBorders>
              <w:top w:val="nil"/>
              <w:left w:val="nil"/>
              <w:bottom w:val="nil"/>
              <w:right w:val="nil"/>
            </w:tcBorders>
            <w:shd w:val="clear" w:color="000000" w:fill="F2F2F2"/>
            <w:noWrap/>
            <w:vAlign w:val="bottom"/>
            <w:hideMark/>
          </w:tcPr>
          <w:p w14:paraId="41E1040D"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South Africa</w:t>
            </w:r>
          </w:p>
        </w:tc>
      </w:tr>
      <w:tr w:rsidR="00B1406C" w:rsidRPr="00B1406C" w14:paraId="5B101F70" w14:textId="77777777" w:rsidTr="00B1406C">
        <w:trPr>
          <w:trHeight w:val="300"/>
        </w:trPr>
        <w:tc>
          <w:tcPr>
            <w:tcW w:w="1808" w:type="dxa"/>
            <w:tcBorders>
              <w:top w:val="nil"/>
              <w:left w:val="nil"/>
              <w:bottom w:val="nil"/>
              <w:right w:val="nil"/>
            </w:tcBorders>
            <w:shd w:val="clear" w:color="000000" w:fill="F2F2F2"/>
            <w:noWrap/>
            <w:vAlign w:val="bottom"/>
            <w:hideMark/>
          </w:tcPr>
          <w:p w14:paraId="78B5371C"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Sri Lanka</w:t>
            </w:r>
          </w:p>
        </w:tc>
      </w:tr>
      <w:tr w:rsidR="00B1406C" w:rsidRPr="00B1406C" w14:paraId="6281FD74" w14:textId="77777777" w:rsidTr="00B1406C">
        <w:trPr>
          <w:trHeight w:val="300"/>
        </w:trPr>
        <w:tc>
          <w:tcPr>
            <w:tcW w:w="1808" w:type="dxa"/>
            <w:tcBorders>
              <w:top w:val="nil"/>
              <w:left w:val="nil"/>
              <w:bottom w:val="nil"/>
              <w:right w:val="nil"/>
            </w:tcBorders>
            <w:shd w:val="clear" w:color="000000" w:fill="F2F2F2"/>
            <w:noWrap/>
            <w:vAlign w:val="bottom"/>
            <w:hideMark/>
          </w:tcPr>
          <w:p w14:paraId="1492E5AE"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Thailand</w:t>
            </w:r>
          </w:p>
        </w:tc>
      </w:tr>
      <w:tr w:rsidR="00B1406C" w:rsidRPr="00B1406C" w14:paraId="093ACFA5" w14:textId="77777777" w:rsidTr="00B1406C">
        <w:trPr>
          <w:trHeight w:val="300"/>
        </w:trPr>
        <w:tc>
          <w:tcPr>
            <w:tcW w:w="1808" w:type="dxa"/>
            <w:tcBorders>
              <w:top w:val="nil"/>
              <w:left w:val="nil"/>
              <w:bottom w:val="nil"/>
              <w:right w:val="nil"/>
            </w:tcBorders>
            <w:shd w:val="clear" w:color="000000" w:fill="F2F2F2"/>
            <w:noWrap/>
            <w:vAlign w:val="bottom"/>
            <w:hideMark/>
          </w:tcPr>
          <w:p w14:paraId="2FE542A7"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Turkey</w:t>
            </w:r>
          </w:p>
        </w:tc>
      </w:tr>
      <w:tr w:rsidR="00B1406C" w:rsidRPr="00B1406C" w14:paraId="23781CCD" w14:textId="77777777" w:rsidTr="00B1406C">
        <w:trPr>
          <w:trHeight w:val="300"/>
        </w:trPr>
        <w:tc>
          <w:tcPr>
            <w:tcW w:w="1808" w:type="dxa"/>
            <w:tcBorders>
              <w:top w:val="nil"/>
              <w:left w:val="nil"/>
              <w:bottom w:val="nil"/>
              <w:right w:val="nil"/>
            </w:tcBorders>
            <w:shd w:val="clear" w:color="000000" w:fill="F2F2F2"/>
            <w:noWrap/>
            <w:vAlign w:val="bottom"/>
            <w:hideMark/>
          </w:tcPr>
          <w:p w14:paraId="303CB1A7"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Ukraine</w:t>
            </w:r>
          </w:p>
        </w:tc>
      </w:tr>
      <w:tr w:rsidR="00B1406C" w:rsidRPr="00B1406C" w14:paraId="57710453" w14:textId="77777777" w:rsidTr="00B1406C">
        <w:trPr>
          <w:trHeight w:val="300"/>
        </w:trPr>
        <w:tc>
          <w:tcPr>
            <w:tcW w:w="1808" w:type="dxa"/>
            <w:tcBorders>
              <w:top w:val="nil"/>
              <w:left w:val="nil"/>
              <w:bottom w:val="nil"/>
              <w:right w:val="nil"/>
            </w:tcBorders>
            <w:shd w:val="clear" w:color="000000" w:fill="F2F2F2"/>
            <w:noWrap/>
            <w:vAlign w:val="bottom"/>
            <w:hideMark/>
          </w:tcPr>
          <w:p w14:paraId="51F5A2BD" w14:textId="77777777" w:rsidR="00B1406C" w:rsidRPr="00B1406C" w:rsidRDefault="00B1406C" w:rsidP="00B1406C">
            <w:pPr>
              <w:rPr>
                <w:rFonts w:ascii="Calibri" w:eastAsia="Times New Roman" w:hAnsi="Calibri" w:cs="Calibri"/>
                <w:color w:val="000000"/>
                <w:sz w:val="22"/>
                <w:szCs w:val="22"/>
                <w:lang w:eastAsia="en-GB"/>
              </w:rPr>
            </w:pPr>
            <w:r w:rsidRPr="00B1406C">
              <w:rPr>
                <w:rFonts w:ascii="Calibri" w:eastAsia="Times New Roman" w:hAnsi="Calibri" w:cs="Calibri"/>
                <w:color w:val="000000"/>
                <w:sz w:val="22"/>
                <w:szCs w:val="22"/>
                <w:lang w:eastAsia="en-GB"/>
              </w:rPr>
              <w:t>Uruguay</w:t>
            </w:r>
          </w:p>
        </w:tc>
      </w:tr>
    </w:tbl>
    <w:p w14:paraId="2A0B6E52" w14:textId="0FD4BB98" w:rsidR="00504CFF" w:rsidRDefault="00504CFF">
      <w:pPr>
        <w:rPr>
          <w:lang w:val="en-US"/>
        </w:rPr>
      </w:pPr>
    </w:p>
    <w:p w14:paraId="6F2D6AE4" w14:textId="77777777" w:rsidR="00504CFF" w:rsidRDefault="00504CFF">
      <w:pPr>
        <w:rPr>
          <w:lang w:val="en-US"/>
        </w:rPr>
      </w:pPr>
      <w:r>
        <w:rPr>
          <w:lang w:val="en-US"/>
        </w:rPr>
        <w:br w:type="page"/>
      </w:r>
    </w:p>
    <w:p w14:paraId="26687171" w14:textId="1F3B3E41" w:rsidR="00BE75E4" w:rsidRDefault="00504CFF" w:rsidP="00504CFF">
      <w:pPr>
        <w:pStyle w:val="Heading1"/>
        <w:rPr>
          <w:lang w:val="en-US"/>
        </w:rPr>
      </w:pPr>
      <w:r>
        <w:rPr>
          <w:lang w:val="en-US"/>
        </w:rPr>
        <w:lastRenderedPageBreak/>
        <w:t>Abstract</w:t>
      </w:r>
    </w:p>
    <w:p w14:paraId="22DC75FD" w14:textId="77777777" w:rsidR="00D76916" w:rsidRDefault="00504CFF" w:rsidP="00D76916">
      <w:pPr>
        <w:keepNext/>
      </w:pPr>
      <w:r>
        <w:rPr>
          <w:noProof/>
          <w:lang w:val="en-US"/>
        </w:rPr>
        <w:drawing>
          <wp:inline distT="0" distB="0" distL="0" distR="0" wp14:anchorId="5B86C7E5" wp14:editId="5CF97283">
            <wp:extent cx="5943600" cy="462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7EA72188" w14:textId="3A6776F0" w:rsidR="00D76916" w:rsidRDefault="00D76916" w:rsidP="00D76916">
      <w:pPr>
        <w:pStyle w:val="Caption"/>
      </w:pPr>
      <w:bookmarkStart w:id="0" w:name="_Ref50706153"/>
      <w:r>
        <w:t xml:space="preserve">Figure </w:t>
      </w:r>
      <w:r>
        <w:fldChar w:fldCharType="begin"/>
      </w:r>
      <w:r>
        <w:instrText xml:space="preserve"> SEQ Figure \* ARABIC </w:instrText>
      </w:r>
      <w:r>
        <w:fldChar w:fldCharType="separate"/>
      </w:r>
      <w:r>
        <w:rPr>
          <w:noProof/>
        </w:rPr>
        <w:t>1</w:t>
      </w:r>
      <w:r>
        <w:fldChar w:fldCharType="end"/>
      </w:r>
      <w:bookmarkEnd w:id="0"/>
    </w:p>
    <w:p w14:paraId="151844E5" w14:textId="77777777" w:rsidR="00D76916" w:rsidRDefault="00504CFF" w:rsidP="00D76916">
      <w:pPr>
        <w:keepNext/>
      </w:pPr>
      <w:r>
        <w:rPr>
          <w:noProof/>
          <w:lang w:val="en-US"/>
        </w:rPr>
        <w:lastRenderedPageBreak/>
        <w:drawing>
          <wp:inline distT="0" distB="0" distL="0" distR="0" wp14:anchorId="13B407ED" wp14:editId="65BB4CFB">
            <wp:extent cx="5943600" cy="462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3ED0033A" w14:textId="012FD4F4" w:rsidR="00504CFF" w:rsidRPr="00504CFF" w:rsidRDefault="00D76916" w:rsidP="00D76916">
      <w:pPr>
        <w:pStyle w:val="Caption"/>
        <w:rPr>
          <w:lang w:val="en-US"/>
        </w:rPr>
      </w:pPr>
      <w:bookmarkStart w:id="1" w:name="_Ref50706167"/>
      <w:r>
        <w:t xml:space="preserve">Figure </w:t>
      </w:r>
      <w:r>
        <w:fldChar w:fldCharType="begin"/>
      </w:r>
      <w:r>
        <w:instrText xml:space="preserve"> SEQ Figure \* ARABIC </w:instrText>
      </w:r>
      <w:r>
        <w:fldChar w:fldCharType="separate"/>
      </w:r>
      <w:r>
        <w:rPr>
          <w:noProof/>
        </w:rPr>
        <w:t>2</w:t>
      </w:r>
      <w:r>
        <w:fldChar w:fldCharType="end"/>
      </w:r>
      <w:bookmarkEnd w:id="1"/>
    </w:p>
    <w:sectPr w:rsidR="00504CFF" w:rsidRPr="00504CFF" w:rsidSect="006F07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1B0DC" w14:textId="77777777" w:rsidR="00E63402" w:rsidRDefault="00E63402" w:rsidP="00DC353E">
      <w:r>
        <w:separator/>
      </w:r>
    </w:p>
  </w:endnote>
  <w:endnote w:type="continuationSeparator" w:id="0">
    <w:p w14:paraId="6202A608" w14:textId="77777777" w:rsidR="00E63402" w:rsidRDefault="00E63402" w:rsidP="00DC3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56F8E" w14:textId="77777777" w:rsidR="00E63402" w:rsidRDefault="00E63402" w:rsidP="00DC353E">
      <w:r>
        <w:separator/>
      </w:r>
    </w:p>
  </w:footnote>
  <w:footnote w:type="continuationSeparator" w:id="0">
    <w:p w14:paraId="63746449" w14:textId="77777777" w:rsidR="00E63402" w:rsidRDefault="00E63402" w:rsidP="00DC353E">
      <w:r>
        <w:continuationSeparator/>
      </w:r>
    </w:p>
  </w:footnote>
  <w:footnote w:id="1">
    <w:p w14:paraId="70DAC099" w14:textId="028BCF48" w:rsidR="00234D27" w:rsidRPr="00234D27" w:rsidRDefault="00234D27">
      <w:pPr>
        <w:pStyle w:val="FootnoteText"/>
        <w:rPr>
          <w:lang w:val="en-US"/>
        </w:rPr>
      </w:pPr>
      <w:r>
        <w:rPr>
          <w:rStyle w:val="FootnoteReference"/>
        </w:rPr>
        <w:footnoteRef/>
      </w:r>
      <w:r>
        <w:t xml:space="preserve"> </w:t>
      </w:r>
      <w:r w:rsidRPr="00234D27">
        <w:rPr>
          <w:lang w:val="en-US"/>
        </w:rPr>
        <w:t>For the</w:t>
      </w:r>
      <w:r>
        <w:rPr>
          <w:lang w:val="en-US"/>
        </w:rPr>
        <w:t xml:space="preserve"> selection criterion and the</w:t>
      </w:r>
      <w:r w:rsidRPr="00234D27">
        <w:rPr>
          <w:lang w:val="en-US"/>
        </w:rPr>
        <w:t xml:space="preserve"> final sample of countries, see the appendi</w:t>
      </w:r>
      <w:r>
        <w:rPr>
          <w:lang w:val="en-US"/>
        </w:rPr>
        <w:t>x XXX.</w:t>
      </w:r>
      <w:r w:rsidR="00C32EA2">
        <w:rPr>
          <w:lang w:val="en-US"/>
        </w:rPr>
        <w:t xml:space="preserve"> The appendix also contains the whole analysis for the full sample of 30 countries.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342B"/>
    <w:multiLevelType w:val="hybridMultilevel"/>
    <w:tmpl w:val="036E0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47D7F"/>
    <w:multiLevelType w:val="multilevel"/>
    <w:tmpl w:val="AEC696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AFD44CC"/>
    <w:multiLevelType w:val="multilevel"/>
    <w:tmpl w:val="0809001D"/>
    <w:styleLink w:val="TimoHeader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6854E4B"/>
    <w:multiLevelType w:val="multilevel"/>
    <w:tmpl w:val="D3FABCEC"/>
    <w:styleLink w:val="TimoHeader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C582980"/>
    <w:multiLevelType w:val="multilevel"/>
    <w:tmpl w:val="84C2A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77505B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5"/>
  </w:num>
  <w:num w:numId="4">
    <w:abstractNumId w:val="5"/>
  </w:num>
  <w:num w:numId="5">
    <w:abstractNumId w:val="5"/>
  </w:num>
  <w:num w:numId="6">
    <w:abstractNumId w:val="1"/>
  </w:num>
  <w:num w:numId="7">
    <w:abstractNumId w:val="4"/>
  </w:num>
  <w:num w:numId="8">
    <w:abstractNumId w:val="5"/>
  </w:num>
  <w:num w:numId="9">
    <w:abstractNumId w:val="5"/>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BC"/>
    <w:rsid w:val="00057062"/>
    <w:rsid w:val="001B105E"/>
    <w:rsid w:val="001D198C"/>
    <w:rsid w:val="00222B74"/>
    <w:rsid w:val="00234D27"/>
    <w:rsid w:val="0044331E"/>
    <w:rsid w:val="004460BC"/>
    <w:rsid w:val="004C46EE"/>
    <w:rsid w:val="00501823"/>
    <w:rsid w:val="00504CFF"/>
    <w:rsid w:val="0055207D"/>
    <w:rsid w:val="00564D4D"/>
    <w:rsid w:val="005E3813"/>
    <w:rsid w:val="006615C3"/>
    <w:rsid w:val="006F072E"/>
    <w:rsid w:val="00712F79"/>
    <w:rsid w:val="009747CD"/>
    <w:rsid w:val="00A9493D"/>
    <w:rsid w:val="00B1406C"/>
    <w:rsid w:val="00B76134"/>
    <w:rsid w:val="00BE75E4"/>
    <w:rsid w:val="00C32EA2"/>
    <w:rsid w:val="00CB21AA"/>
    <w:rsid w:val="00D02381"/>
    <w:rsid w:val="00D24894"/>
    <w:rsid w:val="00D3038C"/>
    <w:rsid w:val="00D76916"/>
    <w:rsid w:val="00DC353E"/>
    <w:rsid w:val="00E63402"/>
    <w:rsid w:val="00E66ADD"/>
    <w:rsid w:val="00ED6AB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F044314"/>
  <w15:chartTrackingRefBased/>
  <w15:docId w15:val="{29FFE926-DAD0-1E4D-93C8-1A1FB804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5E4"/>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E4"/>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75E4"/>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E75E4"/>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75E4"/>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75E4"/>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75E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75E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75E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moHeader1">
    <w:name w:val="TimoHeader1"/>
    <w:uiPriority w:val="99"/>
    <w:rsid w:val="004C46EE"/>
    <w:pPr>
      <w:numPr>
        <w:numId w:val="1"/>
      </w:numPr>
    </w:pPr>
  </w:style>
  <w:style w:type="numbering" w:customStyle="1" w:styleId="TimoHeader2">
    <w:name w:val="TimoHeader2"/>
    <w:uiPriority w:val="99"/>
    <w:rsid w:val="004C46EE"/>
    <w:pPr>
      <w:numPr>
        <w:numId w:val="2"/>
      </w:numPr>
    </w:pPr>
  </w:style>
  <w:style w:type="character" w:customStyle="1" w:styleId="Heading1Char">
    <w:name w:val="Heading 1 Char"/>
    <w:basedOn w:val="DefaultParagraphFont"/>
    <w:link w:val="Heading1"/>
    <w:uiPriority w:val="9"/>
    <w:rsid w:val="00BE75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E75E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E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75E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E75E4"/>
    <w:rPr>
      <w:color w:val="0563C1" w:themeColor="hyperlink"/>
      <w:u w:val="single"/>
    </w:rPr>
  </w:style>
  <w:style w:type="character" w:styleId="UnresolvedMention">
    <w:name w:val="Unresolved Mention"/>
    <w:basedOn w:val="DefaultParagraphFont"/>
    <w:uiPriority w:val="99"/>
    <w:semiHidden/>
    <w:unhideWhenUsed/>
    <w:rsid w:val="0055207D"/>
    <w:rPr>
      <w:color w:val="605E5C"/>
      <w:shd w:val="clear" w:color="auto" w:fill="E1DFDD"/>
    </w:rPr>
  </w:style>
  <w:style w:type="paragraph" w:styleId="NormalWeb">
    <w:name w:val="Normal (Web)"/>
    <w:basedOn w:val="Normal"/>
    <w:uiPriority w:val="99"/>
    <w:semiHidden/>
    <w:unhideWhenUsed/>
    <w:rsid w:val="001B105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501823"/>
  </w:style>
  <w:style w:type="paragraph" w:styleId="IntenseQuote">
    <w:name w:val="Intense Quote"/>
    <w:basedOn w:val="Normal"/>
    <w:next w:val="Normal"/>
    <w:link w:val="IntenseQuoteChar"/>
    <w:uiPriority w:val="30"/>
    <w:qFormat/>
    <w:rsid w:val="005018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01823"/>
    <w:rPr>
      <w:i/>
      <w:iCs/>
      <w:color w:val="4472C4" w:themeColor="accent1"/>
    </w:rPr>
  </w:style>
  <w:style w:type="paragraph" w:styleId="Quote">
    <w:name w:val="Quote"/>
    <w:basedOn w:val="Normal"/>
    <w:next w:val="Normal"/>
    <w:link w:val="QuoteChar"/>
    <w:uiPriority w:val="29"/>
    <w:qFormat/>
    <w:rsid w:val="005018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01823"/>
    <w:rPr>
      <w:i/>
      <w:iCs/>
      <w:color w:val="404040" w:themeColor="text1" w:themeTint="BF"/>
    </w:rPr>
  </w:style>
  <w:style w:type="character" w:styleId="Emphasis">
    <w:name w:val="Emphasis"/>
    <w:basedOn w:val="DefaultParagraphFont"/>
    <w:uiPriority w:val="20"/>
    <w:qFormat/>
    <w:rsid w:val="00501823"/>
    <w:rPr>
      <w:i/>
      <w:iCs/>
    </w:rPr>
  </w:style>
  <w:style w:type="character" w:customStyle="1" w:styleId="apple-converted-space">
    <w:name w:val="apple-converted-space"/>
    <w:basedOn w:val="DefaultParagraphFont"/>
    <w:rsid w:val="00501823"/>
  </w:style>
  <w:style w:type="paragraph" w:styleId="Caption">
    <w:name w:val="caption"/>
    <w:basedOn w:val="Normal"/>
    <w:next w:val="Normal"/>
    <w:uiPriority w:val="35"/>
    <w:unhideWhenUsed/>
    <w:qFormat/>
    <w:rsid w:val="00D76916"/>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353E"/>
    <w:rPr>
      <w:sz w:val="20"/>
      <w:szCs w:val="20"/>
    </w:rPr>
  </w:style>
  <w:style w:type="character" w:customStyle="1" w:styleId="FootnoteTextChar">
    <w:name w:val="Footnote Text Char"/>
    <w:basedOn w:val="DefaultParagraphFont"/>
    <w:link w:val="FootnoteText"/>
    <w:uiPriority w:val="99"/>
    <w:semiHidden/>
    <w:rsid w:val="00DC353E"/>
    <w:rPr>
      <w:sz w:val="20"/>
      <w:szCs w:val="20"/>
    </w:rPr>
  </w:style>
  <w:style w:type="character" w:styleId="FootnoteReference">
    <w:name w:val="footnote reference"/>
    <w:basedOn w:val="DefaultParagraphFont"/>
    <w:uiPriority w:val="99"/>
    <w:semiHidden/>
    <w:unhideWhenUsed/>
    <w:rsid w:val="00DC353E"/>
    <w:rPr>
      <w:vertAlign w:val="superscript"/>
    </w:rPr>
  </w:style>
  <w:style w:type="paragraph" w:styleId="ListParagraph">
    <w:name w:val="List Paragraph"/>
    <w:basedOn w:val="Normal"/>
    <w:uiPriority w:val="34"/>
    <w:qFormat/>
    <w:rsid w:val="00C32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54009">
      <w:bodyDiv w:val="1"/>
      <w:marLeft w:val="0"/>
      <w:marRight w:val="0"/>
      <w:marTop w:val="0"/>
      <w:marBottom w:val="0"/>
      <w:divBdr>
        <w:top w:val="none" w:sz="0" w:space="0" w:color="auto"/>
        <w:left w:val="none" w:sz="0" w:space="0" w:color="auto"/>
        <w:bottom w:val="none" w:sz="0" w:space="0" w:color="auto"/>
        <w:right w:val="none" w:sz="0" w:space="0" w:color="auto"/>
      </w:divBdr>
    </w:div>
    <w:div w:id="113714989">
      <w:bodyDiv w:val="1"/>
      <w:marLeft w:val="0"/>
      <w:marRight w:val="0"/>
      <w:marTop w:val="0"/>
      <w:marBottom w:val="0"/>
      <w:divBdr>
        <w:top w:val="none" w:sz="0" w:space="0" w:color="auto"/>
        <w:left w:val="none" w:sz="0" w:space="0" w:color="auto"/>
        <w:bottom w:val="none" w:sz="0" w:space="0" w:color="auto"/>
        <w:right w:val="none" w:sz="0" w:space="0" w:color="auto"/>
      </w:divBdr>
    </w:div>
    <w:div w:id="379591307">
      <w:bodyDiv w:val="1"/>
      <w:marLeft w:val="0"/>
      <w:marRight w:val="0"/>
      <w:marTop w:val="0"/>
      <w:marBottom w:val="0"/>
      <w:divBdr>
        <w:top w:val="none" w:sz="0" w:space="0" w:color="auto"/>
        <w:left w:val="none" w:sz="0" w:space="0" w:color="auto"/>
        <w:bottom w:val="none" w:sz="0" w:space="0" w:color="auto"/>
        <w:right w:val="none" w:sz="0" w:space="0" w:color="auto"/>
      </w:divBdr>
    </w:div>
    <w:div w:id="913054780">
      <w:bodyDiv w:val="1"/>
      <w:marLeft w:val="0"/>
      <w:marRight w:val="0"/>
      <w:marTop w:val="0"/>
      <w:marBottom w:val="0"/>
      <w:divBdr>
        <w:top w:val="none" w:sz="0" w:space="0" w:color="auto"/>
        <w:left w:val="none" w:sz="0" w:space="0" w:color="auto"/>
        <w:bottom w:val="none" w:sz="0" w:space="0" w:color="auto"/>
        <w:right w:val="none" w:sz="0" w:space="0" w:color="auto"/>
      </w:divBdr>
    </w:div>
    <w:div w:id="1109661432">
      <w:bodyDiv w:val="1"/>
      <w:marLeft w:val="0"/>
      <w:marRight w:val="0"/>
      <w:marTop w:val="0"/>
      <w:marBottom w:val="0"/>
      <w:divBdr>
        <w:top w:val="none" w:sz="0" w:space="0" w:color="auto"/>
        <w:left w:val="none" w:sz="0" w:space="0" w:color="auto"/>
        <w:bottom w:val="none" w:sz="0" w:space="0" w:color="auto"/>
        <w:right w:val="none" w:sz="0" w:space="0" w:color="auto"/>
      </w:divBdr>
    </w:div>
    <w:div w:id="1237395874">
      <w:bodyDiv w:val="1"/>
      <w:marLeft w:val="0"/>
      <w:marRight w:val="0"/>
      <w:marTop w:val="0"/>
      <w:marBottom w:val="0"/>
      <w:divBdr>
        <w:top w:val="none" w:sz="0" w:space="0" w:color="auto"/>
        <w:left w:val="none" w:sz="0" w:space="0" w:color="auto"/>
        <w:bottom w:val="none" w:sz="0" w:space="0" w:color="auto"/>
        <w:right w:val="none" w:sz="0" w:space="0" w:color="auto"/>
      </w:divBdr>
      <w:divsChild>
        <w:div w:id="1155075018">
          <w:marLeft w:val="0"/>
          <w:marRight w:val="0"/>
          <w:marTop w:val="0"/>
          <w:marBottom w:val="0"/>
          <w:divBdr>
            <w:top w:val="none" w:sz="0" w:space="0" w:color="auto"/>
            <w:left w:val="none" w:sz="0" w:space="0" w:color="auto"/>
            <w:bottom w:val="none" w:sz="0" w:space="0" w:color="auto"/>
            <w:right w:val="none" w:sz="0" w:space="0" w:color="auto"/>
          </w:divBdr>
          <w:divsChild>
            <w:div w:id="1891260664">
              <w:marLeft w:val="0"/>
              <w:marRight w:val="0"/>
              <w:marTop w:val="0"/>
              <w:marBottom w:val="0"/>
              <w:divBdr>
                <w:top w:val="none" w:sz="0" w:space="0" w:color="auto"/>
                <w:left w:val="none" w:sz="0" w:space="0" w:color="auto"/>
                <w:bottom w:val="none" w:sz="0" w:space="0" w:color="auto"/>
                <w:right w:val="none" w:sz="0" w:space="0" w:color="auto"/>
              </w:divBdr>
              <w:divsChild>
                <w:div w:id="13465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40697">
      <w:bodyDiv w:val="1"/>
      <w:marLeft w:val="0"/>
      <w:marRight w:val="0"/>
      <w:marTop w:val="0"/>
      <w:marBottom w:val="0"/>
      <w:divBdr>
        <w:top w:val="none" w:sz="0" w:space="0" w:color="auto"/>
        <w:left w:val="none" w:sz="0" w:space="0" w:color="auto"/>
        <w:bottom w:val="none" w:sz="0" w:space="0" w:color="auto"/>
        <w:right w:val="none" w:sz="0" w:space="0" w:color="auto"/>
      </w:divBdr>
    </w:div>
    <w:div w:id="1413432167">
      <w:bodyDiv w:val="1"/>
      <w:marLeft w:val="0"/>
      <w:marRight w:val="0"/>
      <w:marTop w:val="0"/>
      <w:marBottom w:val="0"/>
      <w:divBdr>
        <w:top w:val="none" w:sz="0" w:space="0" w:color="auto"/>
        <w:left w:val="none" w:sz="0" w:space="0" w:color="auto"/>
        <w:bottom w:val="none" w:sz="0" w:space="0" w:color="auto"/>
        <w:right w:val="none" w:sz="0" w:space="0" w:color="auto"/>
      </w:divBdr>
    </w:div>
    <w:div w:id="1440830767">
      <w:bodyDiv w:val="1"/>
      <w:marLeft w:val="0"/>
      <w:marRight w:val="0"/>
      <w:marTop w:val="0"/>
      <w:marBottom w:val="0"/>
      <w:divBdr>
        <w:top w:val="none" w:sz="0" w:space="0" w:color="auto"/>
        <w:left w:val="none" w:sz="0" w:space="0" w:color="auto"/>
        <w:bottom w:val="none" w:sz="0" w:space="0" w:color="auto"/>
        <w:right w:val="none" w:sz="0" w:space="0" w:color="auto"/>
      </w:divBdr>
    </w:div>
    <w:div w:id="1484856884">
      <w:bodyDiv w:val="1"/>
      <w:marLeft w:val="0"/>
      <w:marRight w:val="0"/>
      <w:marTop w:val="0"/>
      <w:marBottom w:val="0"/>
      <w:divBdr>
        <w:top w:val="none" w:sz="0" w:space="0" w:color="auto"/>
        <w:left w:val="none" w:sz="0" w:space="0" w:color="auto"/>
        <w:bottom w:val="none" w:sz="0" w:space="0" w:color="auto"/>
        <w:right w:val="none" w:sz="0" w:space="0" w:color="auto"/>
      </w:divBdr>
      <w:divsChild>
        <w:div w:id="1231577974">
          <w:marLeft w:val="0"/>
          <w:marRight w:val="0"/>
          <w:marTop w:val="0"/>
          <w:marBottom w:val="0"/>
          <w:divBdr>
            <w:top w:val="none" w:sz="0" w:space="0" w:color="auto"/>
            <w:left w:val="none" w:sz="0" w:space="0" w:color="auto"/>
            <w:bottom w:val="none" w:sz="0" w:space="0" w:color="auto"/>
            <w:right w:val="none" w:sz="0" w:space="0" w:color="auto"/>
          </w:divBdr>
          <w:divsChild>
            <w:div w:id="1878196653">
              <w:marLeft w:val="0"/>
              <w:marRight w:val="0"/>
              <w:marTop w:val="0"/>
              <w:marBottom w:val="0"/>
              <w:divBdr>
                <w:top w:val="none" w:sz="0" w:space="0" w:color="auto"/>
                <w:left w:val="none" w:sz="0" w:space="0" w:color="auto"/>
                <w:bottom w:val="none" w:sz="0" w:space="0" w:color="auto"/>
                <w:right w:val="none" w:sz="0" w:space="0" w:color="auto"/>
              </w:divBdr>
              <w:divsChild>
                <w:div w:id="5747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74540">
      <w:bodyDiv w:val="1"/>
      <w:marLeft w:val="0"/>
      <w:marRight w:val="0"/>
      <w:marTop w:val="0"/>
      <w:marBottom w:val="0"/>
      <w:divBdr>
        <w:top w:val="none" w:sz="0" w:space="0" w:color="auto"/>
        <w:left w:val="none" w:sz="0" w:space="0" w:color="auto"/>
        <w:bottom w:val="none" w:sz="0" w:space="0" w:color="auto"/>
        <w:right w:val="none" w:sz="0" w:space="0" w:color="auto"/>
      </w:divBdr>
    </w:div>
    <w:div w:id="1644657947">
      <w:bodyDiv w:val="1"/>
      <w:marLeft w:val="0"/>
      <w:marRight w:val="0"/>
      <w:marTop w:val="0"/>
      <w:marBottom w:val="0"/>
      <w:divBdr>
        <w:top w:val="none" w:sz="0" w:space="0" w:color="auto"/>
        <w:left w:val="none" w:sz="0" w:space="0" w:color="auto"/>
        <w:bottom w:val="none" w:sz="0" w:space="0" w:color="auto"/>
        <w:right w:val="none" w:sz="0" w:space="0" w:color="auto"/>
      </w:divBdr>
    </w:div>
    <w:div w:id="1664164096">
      <w:bodyDiv w:val="1"/>
      <w:marLeft w:val="0"/>
      <w:marRight w:val="0"/>
      <w:marTop w:val="0"/>
      <w:marBottom w:val="0"/>
      <w:divBdr>
        <w:top w:val="none" w:sz="0" w:space="0" w:color="auto"/>
        <w:left w:val="none" w:sz="0" w:space="0" w:color="auto"/>
        <w:bottom w:val="none" w:sz="0" w:space="0" w:color="auto"/>
        <w:right w:val="none" w:sz="0" w:space="0" w:color="auto"/>
      </w:divBdr>
    </w:div>
    <w:div w:id="187696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thin.jinjarak@vuw.ac.n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mailto:daehler@usc.edu" TargetMode="External"/><Relationship Id="rId4" Type="http://schemas.openxmlformats.org/officeDocument/2006/relationships/settings" Target="settings.xml"/><Relationship Id="rId9" Type="http://schemas.openxmlformats.org/officeDocument/2006/relationships/hyperlink" Target="mailto:aizenman@us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61ACC-26BF-BA47-A4BE-85A3766D2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8</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Dahler</dc:creator>
  <cp:keywords/>
  <dc:description/>
  <cp:lastModifiedBy>Timo Dahler</cp:lastModifiedBy>
  <cp:revision>5</cp:revision>
  <dcterms:created xsi:type="dcterms:W3CDTF">2020-09-10T13:01:00Z</dcterms:created>
  <dcterms:modified xsi:type="dcterms:W3CDTF">2020-09-11T13:26:00Z</dcterms:modified>
</cp:coreProperties>
</file>