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F38543" w14:textId="77777777" w:rsidR="00A257EC" w:rsidRPr="008D194A" w:rsidRDefault="00A257EC" w:rsidP="00A257EC">
      <w:pPr>
        <w:jc w:val="center"/>
        <w:rPr>
          <w:b/>
          <w:bCs/>
        </w:rPr>
      </w:pPr>
      <w:bookmarkStart w:id="0" w:name="_Ref50983848"/>
      <w:bookmarkStart w:id="1" w:name="_Toc52018921"/>
      <w:r w:rsidRPr="008D194A">
        <w:rPr>
          <w:b/>
          <w:bCs/>
        </w:rPr>
        <w:t xml:space="preserve">EMERGING MARKETS SOVEREIGN SPREADS AND COUNTRY-SPECIFIC FUNDAMENTALS DURING COVID-19 </w:t>
      </w:r>
    </w:p>
    <w:p w14:paraId="53266815" w14:textId="77777777" w:rsidR="007154FC" w:rsidRPr="009D0FDD" w:rsidRDefault="007154FC" w:rsidP="007154FC"/>
    <w:p w14:paraId="7F47E4FF" w14:textId="2842590C" w:rsidR="007154FC" w:rsidRPr="009D0FDD" w:rsidRDefault="007154FC" w:rsidP="007154FC">
      <w:pPr>
        <w:jc w:val="center"/>
      </w:pPr>
      <w:r w:rsidRPr="009D0FDD">
        <w:t>Timo B. Daehler</w:t>
      </w:r>
      <w:r>
        <w:t xml:space="preserve">, </w:t>
      </w:r>
      <w:r w:rsidRPr="009D0FDD">
        <w:t xml:space="preserve">Joshua </w:t>
      </w:r>
      <w:proofErr w:type="spellStart"/>
      <w:r w:rsidRPr="009D0FDD">
        <w:t>Aizenman</w:t>
      </w:r>
      <w:proofErr w:type="spellEnd"/>
      <w:r>
        <w:t xml:space="preserve">, </w:t>
      </w:r>
      <w:proofErr w:type="spellStart"/>
      <w:r w:rsidRPr="009D0FDD">
        <w:t>Yothin</w:t>
      </w:r>
      <w:proofErr w:type="spellEnd"/>
      <w:r w:rsidRPr="009D0FDD">
        <w:t xml:space="preserve"> </w:t>
      </w:r>
      <w:proofErr w:type="spellStart"/>
      <w:r w:rsidRPr="009D0FDD">
        <w:t>Jinjarak</w:t>
      </w:r>
      <w:proofErr w:type="spellEnd"/>
    </w:p>
    <w:p w14:paraId="45A559D3" w14:textId="3872CC8E" w:rsidR="00BE75E4" w:rsidRPr="009D0FDD" w:rsidRDefault="007154FC" w:rsidP="00BE75E4">
      <w:pPr>
        <w:pStyle w:val="Heading1"/>
        <w:numPr>
          <w:ilvl w:val="0"/>
          <w:numId w:val="0"/>
        </w:numPr>
        <w:ind w:left="432"/>
      </w:pPr>
      <w:r>
        <w:t xml:space="preserve">                                                   </w:t>
      </w:r>
      <w:r w:rsidR="00BE75E4" w:rsidRPr="009D0FDD">
        <w:t>Abstract</w:t>
      </w:r>
      <w:bookmarkEnd w:id="0"/>
      <w:bookmarkEnd w:id="1"/>
    </w:p>
    <w:p w14:paraId="00531DCE" w14:textId="065FC890" w:rsidR="009D6AB1" w:rsidRDefault="00BE75E4" w:rsidP="00BE75E4">
      <w:r w:rsidRPr="009D0FDD">
        <w:t>This case study compares the importance of prevailing market factors against COVID-19 dynamics</w:t>
      </w:r>
      <w:r w:rsidR="00556687">
        <w:t xml:space="preserve"> and</w:t>
      </w:r>
      <w:r w:rsidRPr="009D0FDD">
        <w:t xml:space="preserve"> policy responses in explain</w:t>
      </w:r>
      <w:r w:rsidR="00556687">
        <w:t>ing</w:t>
      </w:r>
      <w:r w:rsidRPr="009D0FDD">
        <w:t xml:space="preserve"> the</w:t>
      </w:r>
      <w:r w:rsidR="00556687">
        <w:t xml:space="preserve"> daily</w:t>
      </w:r>
      <w:r w:rsidRPr="009D0FDD">
        <w:t xml:space="preserve"> evolution of emerging market</w:t>
      </w:r>
      <w:r w:rsidR="00556687">
        <w:t xml:space="preserve"> (EM)</w:t>
      </w:r>
      <w:r w:rsidRPr="009D0FDD">
        <w:t xml:space="preserve"> sovereign CDS spreads during the first half of 202</w:t>
      </w:r>
      <w:r w:rsidR="00AF20CE" w:rsidRPr="009D0FDD">
        <w:t xml:space="preserve">0. </w:t>
      </w:r>
      <w:r w:rsidR="00556687">
        <w:t xml:space="preserve">We adopt a two-stage econometric approach. In the first stage, we estimate a multi-factor </w:t>
      </w:r>
      <w:r w:rsidR="00185507">
        <w:t xml:space="preserve">model </w:t>
      </w:r>
      <w:r w:rsidR="00556687">
        <w:t>for changes in EM CDS spreads over the pre-COVID-19 period of January 2014 through June 2019.</w:t>
      </w:r>
      <w:r w:rsidR="00600C94">
        <w:t xml:space="preserve"> Among the factors are a regional and a global one with the former capturing the </w:t>
      </w:r>
      <w:r w:rsidR="007B20C3">
        <w:t xml:space="preserve">CDS </w:t>
      </w:r>
      <w:r w:rsidR="00600C94">
        <w:t xml:space="preserve">dynamic of a country’s regional EM peers and the latter capturing the </w:t>
      </w:r>
      <w:r w:rsidR="007B20C3">
        <w:t xml:space="preserve">CDS </w:t>
      </w:r>
      <w:r w:rsidR="00600C94">
        <w:t>dynamic of advanced economies (the</w:t>
      </w:r>
      <w:r w:rsidR="00AE3FB3">
        <w:t xml:space="preserve"> </w:t>
      </w:r>
      <w:r w:rsidR="00600C94">
        <w:t>US, Eurozone</w:t>
      </w:r>
      <w:r w:rsidR="00E74D82">
        <w:t>,</w:t>
      </w:r>
      <w:r w:rsidR="00600C94">
        <w:t xml:space="preserve"> and Japan).</w:t>
      </w:r>
      <w:r w:rsidR="00556687">
        <w:t xml:space="preserve"> </w:t>
      </w:r>
      <w:r w:rsidR="00E06886">
        <w:t>Next,</w:t>
      </w:r>
      <w:r w:rsidR="00556687">
        <w:t xml:space="preserve"> </w:t>
      </w:r>
      <w:r w:rsidR="00E06886">
        <w:t>we</w:t>
      </w:r>
      <w:r w:rsidR="00600C94">
        <w:t xml:space="preserve"> </w:t>
      </w:r>
      <w:r w:rsidR="00773CC8">
        <w:t xml:space="preserve">extrapolate model-implied changes in CDS spreads from July 2019 to June 2020. The </w:t>
      </w:r>
      <w:r w:rsidR="00185507">
        <w:t>model</w:t>
      </w:r>
      <w:r w:rsidR="00773CC8">
        <w:t xml:space="preserve"> traces the realized sovereign spreads well over the rest of 2019, breaks down in 2020, and sees the biggest deviations from model-implied values during peak COVID in March</w:t>
      </w:r>
      <w:r w:rsidR="00CA179D">
        <w:t xml:space="preserve">. </w:t>
      </w:r>
      <w:r w:rsidR="00E06886">
        <w:t>In the second stage, w</w:t>
      </w:r>
      <w:r w:rsidR="00185507">
        <w:t>e</w:t>
      </w:r>
      <w:r w:rsidR="00773CC8">
        <w:t xml:space="preserve"> find that the March 2020 </w:t>
      </w:r>
      <w:r w:rsidR="00CA179D">
        <w:t xml:space="preserve">divergence is partly accounted for by traditional determinants </w:t>
      </w:r>
      <w:r w:rsidR="009D6AB1">
        <w:t>such as</w:t>
      </w:r>
      <w:r w:rsidR="00CA179D">
        <w:t xml:space="preserve"> fiscal space, </w:t>
      </w:r>
      <w:r w:rsidR="009D6AB1">
        <w:t xml:space="preserve">oil </w:t>
      </w:r>
      <w:r w:rsidR="00F57364">
        <w:t>shocks</w:t>
      </w:r>
      <w:r w:rsidR="00E74D82">
        <w:t>,</w:t>
      </w:r>
      <w:r w:rsidR="009D6AB1">
        <w:t xml:space="preserve"> and monetary policies by the FED and the ECB rather than by COVID-specific risks and associated policies. In particular, COVID </w:t>
      </w:r>
      <w:r w:rsidR="005E11EC">
        <w:t>cases</w:t>
      </w:r>
      <w:r w:rsidR="009D6AB1">
        <w:t xml:space="preserve">, </w:t>
      </w:r>
      <w:r w:rsidR="005E11EC">
        <w:t>mortalities</w:t>
      </w:r>
      <w:r w:rsidR="009D6AB1">
        <w:t xml:space="preserve">, and virus containment policies were no significant drivers of CDS spread adjustments over this period. </w:t>
      </w:r>
      <w:r w:rsidR="00E74D82">
        <w:t>Overall</w:t>
      </w:r>
      <w:r w:rsidR="009D6AB1">
        <w:t xml:space="preserve">, the study points to two results: On the one hand, the residuals during COVID suggest a time-varying relationship between sovereign CDS spreads and explanatory variables. On the other hand, the residuals were not driven by COVID-specific risks but rather by traditional drivers of sovereign </w:t>
      </w:r>
      <w:r w:rsidR="00185507">
        <w:t>debt</w:t>
      </w:r>
      <w:r w:rsidR="009D6AB1">
        <w:t xml:space="preserve"> pricing. </w:t>
      </w:r>
    </w:p>
    <w:p w14:paraId="0DAB3CCD" w14:textId="403CECDA" w:rsidR="007154FC" w:rsidRDefault="007154FC" w:rsidP="00BE75E4"/>
    <w:p w14:paraId="14177D71" w14:textId="77777777" w:rsidR="007154FC" w:rsidRPr="00B10849" w:rsidRDefault="007154FC" w:rsidP="007154FC">
      <w:pPr>
        <w:rPr>
          <w:rFonts w:ascii="Times" w:hAnsi="Times"/>
          <w:sz w:val="20"/>
        </w:rPr>
      </w:pPr>
      <w:r w:rsidRPr="00B10849">
        <w:rPr>
          <w:rFonts w:ascii="Times" w:hAnsi="Times"/>
          <w:sz w:val="20"/>
        </w:rPr>
        <w:t>Timo Daehler</w:t>
      </w:r>
    </w:p>
    <w:p w14:paraId="64341916" w14:textId="77777777" w:rsidR="007154FC" w:rsidRPr="00B10849" w:rsidRDefault="007154FC" w:rsidP="007154FC">
      <w:pPr>
        <w:rPr>
          <w:rFonts w:ascii="Times" w:hAnsi="Times"/>
          <w:sz w:val="20"/>
        </w:rPr>
      </w:pPr>
      <w:r w:rsidRPr="00B10849">
        <w:rPr>
          <w:rFonts w:ascii="Times" w:hAnsi="Times"/>
          <w:sz w:val="20"/>
        </w:rPr>
        <w:t xml:space="preserve">University of Southern California </w:t>
      </w:r>
    </w:p>
    <w:p w14:paraId="3DB3544F" w14:textId="77777777" w:rsidR="007154FC" w:rsidRPr="00B10849" w:rsidRDefault="007154FC" w:rsidP="007154FC">
      <w:pPr>
        <w:rPr>
          <w:rFonts w:ascii="Times" w:hAnsi="Times"/>
          <w:sz w:val="20"/>
        </w:rPr>
      </w:pPr>
      <w:r w:rsidRPr="00B10849">
        <w:rPr>
          <w:rFonts w:ascii="Times" w:hAnsi="Times"/>
          <w:sz w:val="20"/>
        </w:rPr>
        <w:t>3518 Trousdale Pkwy.</w:t>
      </w:r>
    </w:p>
    <w:p w14:paraId="23B62315" w14:textId="77777777" w:rsidR="007154FC" w:rsidRPr="00B10849" w:rsidRDefault="007154FC" w:rsidP="007154FC">
      <w:pPr>
        <w:rPr>
          <w:rFonts w:ascii="Times" w:hAnsi="Times"/>
          <w:sz w:val="20"/>
        </w:rPr>
      </w:pPr>
      <w:r w:rsidRPr="00B10849">
        <w:rPr>
          <w:rFonts w:ascii="Times" w:hAnsi="Times"/>
          <w:sz w:val="20"/>
        </w:rPr>
        <w:t xml:space="preserve">Los Angeles, CA 90089 </w:t>
      </w:r>
    </w:p>
    <w:p w14:paraId="1D6CA1F1" w14:textId="77777777" w:rsidR="007154FC" w:rsidRPr="00B10849" w:rsidRDefault="00A257EC" w:rsidP="007154FC">
      <w:pPr>
        <w:rPr>
          <w:rFonts w:ascii="Times" w:hAnsi="Times"/>
          <w:sz w:val="20"/>
        </w:rPr>
      </w:pPr>
      <w:hyperlink r:id="rId8" w:history="1">
        <w:r w:rsidR="007154FC" w:rsidRPr="00B10849">
          <w:rPr>
            <w:rStyle w:val="Hyperlink"/>
            <w:rFonts w:ascii="Times" w:hAnsi="Times"/>
            <w:sz w:val="20"/>
          </w:rPr>
          <w:t>daehler@usc.edu</w:t>
        </w:r>
      </w:hyperlink>
    </w:p>
    <w:p w14:paraId="54CFA81B" w14:textId="77777777" w:rsidR="007154FC" w:rsidRPr="00B10849" w:rsidRDefault="007154FC" w:rsidP="00BE75E4">
      <w:pPr>
        <w:rPr>
          <w:sz w:val="20"/>
        </w:rPr>
      </w:pPr>
    </w:p>
    <w:p w14:paraId="1034B7B3" w14:textId="77777777" w:rsidR="007154FC" w:rsidRPr="00B10849" w:rsidRDefault="007154FC" w:rsidP="007154FC">
      <w:pPr>
        <w:rPr>
          <w:rFonts w:ascii="Times" w:hAnsi="Times"/>
          <w:sz w:val="20"/>
        </w:rPr>
      </w:pPr>
      <w:r w:rsidRPr="00B10849">
        <w:rPr>
          <w:rFonts w:ascii="Times" w:hAnsi="Times"/>
          <w:sz w:val="20"/>
        </w:rPr>
        <w:t xml:space="preserve">Joshua </w:t>
      </w:r>
      <w:proofErr w:type="spellStart"/>
      <w:r w:rsidRPr="00B10849">
        <w:rPr>
          <w:rFonts w:ascii="Times" w:hAnsi="Times"/>
          <w:sz w:val="20"/>
        </w:rPr>
        <w:t>Aizenman</w:t>
      </w:r>
      <w:proofErr w:type="spellEnd"/>
    </w:p>
    <w:p w14:paraId="5177FDFB" w14:textId="77777777" w:rsidR="007154FC" w:rsidRPr="00B10849" w:rsidRDefault="007154FC" w:rsidP="007154FC">
      <w:pPr>
        <w:rPr>
          <w:rFonts w:ascii="Times" w:hAnsi="Times"/>
          <w:sz w:val="20"/>
        </w:rPr>
      </w:pPr>
      <w:r w:rsidRPr="00B10849">
        <w:rPr>
          <w:rFonts w:ascii="Times" w:hAnsi="Times"/>
          <w:sz w:val="20"/>
        </w:rPr>
        <w:t>Economics and SIR</w:t>
      </w:r>
    </w:p>
    <w:p w14:paraId="0357699E" w14:textId="77777777" w:rsidR="007154FC" w:rsidRPr="00B10849" w:rsidRDefault="007154FC" w:rsidP="007154FC">
      <w:pPr>
        <w:rPr>
          <w:rFonts w:ascii="TimesNewRomanPSMT" w:hAnsi="TimesNewRomanPSMT"/>
          <w:sz w:val="20"/>
        </w:rPr>
      </w:pPr>
      <w:r w:rsidRPr="00B10849">
        <w:rPr>
          <w:rFonts w:ascii="TimesNewRomanPSMT" w:hAnsi="TimesNewRomanPSMT"/>
          <w:sz w:val="20"/>
        </w:rPr>
        <w:t xml:space="preserve">University of Southern California </w:t>
      </w:r>
    </w:p>
    <w:p w14:paraId="5D025197" w14:textId="77777777" w:rsidR="007154FC" w:rsidRPr="00B10849" w:rsidRDefault="007154FC" w:rsidP="007154FC">
      <w:pPr>
        <w:rPr>
          <w:rFonts w:ascii="Times" w:hAnsi="Times"/>
          <w:sz w:val="20"/>
        </w:rPr>
      </w:pPr>
      <w:r w:rsidRPr="00B10849">
        <w:rPr>
          <w:rFonts w:ascii="Times" w:hAnsi="Times"/>
          <w:sz w:val="20"/>
        </w:rPr>
        <w:t xml:space="preserve">Los Angeles, CA 90089-0043 </w:t>
      </w:r>
    </w:p>
    <w:p w14:paraId="3D00E5AC" w14:textId="77777777" w:rsidR="007154FC" w:rsidRPr="00B10849" w:rsidRDefault="007154FC" w:rsidP="007154FC">
      <w:pPr>
        <w:rPr>
          <w:rFonts w:ascii="Times" w:hAnsi="Times"/>
          <w:sz w:val="20"/>
        </w:rPr>
      </w:pPr>
      <w:r w:rsidRPr="00B10849">
        <w:rPr>
          <w:rFonts w:ascii="Times" w:hAnsi="Times"/>
          <w:sz w:val="20"/>
        </w:rPr>
        <w:t>and NBER</w:t>
      </w:r>
    </w:p>
    <w:p w14:paraId="0DDE1B5E" w14:textId="6677CCD3" w:rsidR="00BE75E4" w:rsidRPr="00B10849" w:rsidRDefault="00A257EC" w:rsidP="007154FC">
      <w:pPr>
        <w:rPr>
          <w:sz w:val="20"/>
        </w:rPr>
      </w:pPr>
      <w:hyperlink r:id="rId9" w:history="1">
        <w:r w:rsidR="007154FC" w:rsidRPr="00B10849">
          <w:rPr>
            <w:rStyle w:val="Hyperlink"/>
            <w:rFonts w:ascii="Times" w:hAnsi="Times"/>
            <w:sz w:val="20"/>
          </w:rPr>
          <w:t>aizenman@usc.edu</w:t>
        </w:r>
      </w:hyperlink>
    </w:p>
    <w:p w14:paraId="16CF3EBC" w14:textId="713BAE41" w:rsidR="0055207D" w:rsidRPr="00B10849" w:rsidRDefault="0055207D" w:rsidP="00BE75E4">
      <w:pPr>
        <w:rPr>
          <w:rFonts w:ascii="Times" w:hAnsi="Times"/>
          <w:sz w:val="20"/>
        </w:rPr>
      </w:pPr>
    </w:p>
    <w:p w14:paraId="6EEBA139" w14:textId="77777777" w:rsidR="00CE09CC" w:rsidRPr="00B10849" w:rsidRDefault="00CE09CC" w:rsidP="00CE09CC">
      <w:pPr>
        <w:rPr>
          <w:rFonts w:ascii="Times" w:hAnsi="Times"/>
          <w:sz w:val="20"/>
        </w:rPr>
      </w:pPr>
      <w:proofErr w:type="spellStart"/>
      <w:r w:rsidRPr="00B10849">
        <w:rPr>
          <w:rFonts w:ascii="Times" w:hAnsi="Times"/>
          <w:sz w:val="20"/>
        </w:rPr>
        <w:t>Yothin</w:t>
      </w:r>
      <w:proofErr w:type="spellEnd"/>
      <w:r w:rsidRPr="00B10849">
        <w:rPr>
          <w:rFonts w:ascii="Times" w:hAnsi="Times"/>
          <w:sz w:val="20"/>
        </w:rPr>
        <w:t xml:space="preserve"> </w:t>
      </w:r>
      <w:proofErr w:type="spellStart"/>
      <w:r w:rsidRPr="00B10849">
        <w:rPr>
          <w:rFonts w:ascii="Times" w:hAnsi="Times"/>
          <w:sz w:val="20"/>
        </w:rPr>
        <w:t>Jinjarak</w:t>
      </w:r>
      <w:proofErr w:type="spellEnd"/>
    </w:p>
    <w:p w14:paraId="60950223" w14:textId="77777777" w:rsidR="00CE09CC" w:rsidRPr="00B10849" w:rsidRDefault="00CE09CC" w:rsidP="00CE09CC">
      <w:pPr>
        <w:rPr>
          <w:rFonts w:ascii="Times" w:hAnsi="Times"/>
          <w:sz w:val="20"/>
        </w:rPr>
      </w:pPr>
      <w:r w:rsidRPr="00B10849">
        <w:rPr>
          <w:rFonts w:ascii="Times" w:hAnsi="Times"/>
          <w:sz w:val="20"/>
        </w:rPr>
        <w:t xml:space="preserve">School of Economics and Finance </w:t>
      </w:r>
    </w:p>
    <w:p w14:paraId="4F7FF16C" w14:textId="77777777" w:rsidR="00CE09CC" w:rsidRPr="00B10849" w:rsidRDefault="00CE09CC" w:rsidP="00CE09CC">
      <w:pPr>
        <w:rPr>
          <w:rFonts w:ascii="Times" w:hAnsi="Times"/>
          <w:sz w:val="20"/>
        </w:rPr>
      </w:pPr>
      <w:r w:rsidRPr="00B10849">
        <w:rPr>
          <w:rFonts w:ascii="Times" w:hAnsi="Times"/>
          <w:sz w:val="20"/>
        </w:rPr>
        <w:t xml:space="preserve">Victoria University of Wellington </w:t>
      </w:r>
    </w:p>
    <w:p w14:paraId="7A5DADF9" w14:textId="77777777" w:rsidR="00CE09CC" w:rsidRPr="00B10849" w:rsidRDefault="00CE09CC" w:rsidP="00CE09CC">
      <w:pPr>
        <w:rPr>
          <w:rFonts w:ascii="Times" w:hAnsi="Times"/>
          <w:sz w:val="20"/>
        </w:rPr>
      </w:pPr>
      <w:r w:rsidRPr="00B10849">
        <w:rPr>
          <w:rFonts w:ascii="Times" w:hAnsi="Times"/>
          <w:sz w:val="20"/>
        </w:rPr>
        <w:t xml:space="preserve">PO Box 60023 Lambton Quay, Wellington </w:t>
      </w:r>
    </w:p>
    <w:p w14:paraId="76E81F51" w14:textId="77777777" w:rsidR="00CE09CC" w:rsidRPr="00B10849" w:rsidRDefault="00CE09CC" w:rsidP="00CE09CC">
      <w:pPr>
        <w:rPr>
          <w:rFonts w:ascii="Times" w:hAnsi="Times"/>
          <w:sz w:val="20"/>
        </w:rPr>
      </w:pPr>
      <w:r w:rsidRPr="00B10849">
        <w:rPr>
          <w:rFonts w:ascii="Times" w:hAnsi="Times"/>
          <w:sz w:val="20"/>
        </w:rPr>
        <w:t xml:space="preserve">New Zealand </w:t>
      </w:r>
    </w:p>
    <w:p w14:paraId="42065BFD" w14:textId="573FA134" w:rsidR="00CE09CC" w:rsidRPr="00B10849" w:rsidRDefault="00A257EC" w:rsidP="00CE09CC">
      <w:pPr>
        <w:rPr>
          <w:rFonts w:ascii="Times" w:hAnsi="Times"/>
          <w:sz w:val="20"/>
        </w:rPr>
      </w:pPr>
      <w:hyperlink r:id="rId10" w:history="1">
        <w:r w:rsidR="00CE09CC" w:rsidRPr="00B10849">
          <w:rPr>
            <w:rStyle w:val="Hyperlink"/>
            <w:rFonts w:ascii="Times" w:hAnsi="Times"/>
            <w:sz w:val="20"/>
          </w:rPr>
          <w:t>yothin.jinjarak@vuw.ac.nz</w:t>
        </w:r>
      </w:hyperlink>
      <w:r w:rsidR="00CE09CC" w:rsidRPr="00B10849">
        <w:rPr>
          <w:rFonts w:ascii="Times" w:hAnsi="Times"/>
          <w:sz w:val="20"/>
        </w:rPr>
        <w:t xml:space="preserve"> </w:t>
      </w:r>
    </w:p>
    <w:p w14:paraId="7F079D72" w14:textId="77777777" w:rsidR="00B10849" w:rsidRDefault="00B10849" w:rsidP="00BE75E4"/>
    <w:p w14:paraId="7EF2454D" w14:textId="77777777" w:rsidR="00EE1B5E" w:rsidRDefault="00EE1B5E" w:rsidP="00EE1B5E">
      <w:r>
        <w:t>JEL No. F30, F34, F41, H12, H50, H51</w:t>
      </w:r>
    </w:p>
    <w:p w14:paraId="2E82E941" w14:textId="77777777" w:rsidR="00B10849" w:rsidRDefault="00B10849" w:rsidP="00BE75E4"/>
    <w:p w14:paraId="2DE8A0EC" w14:textId="607CCAF4" w:rsidR="00B57D52" w:rsidRDefault="00B10849" w:rsidP="00BE75E4">
      <w:r>
        <w:t xml:space="preserve">We gratefully acknowledge the financial support by the </w:t>
      </w:r>
      <w:proofErr w:type="spellStart"/>
      <w:r>
        <w:t>Dockson</w:t>
      </w:r>
      <w:proofErr w:type="spellEnd"/>
      <w:r>
        <w:t xml:space="preserve"> Chair and the Center of International Studies at USC. </w:t>
      </w:r>
      <w:r w:rsidR="00BE75E4" w:rsidRPr="009D0FDD">
        <w:br w:type="page"/>
      </w:r>
    </w:p>
    <w:p w14:paraId="29EB2901" w14:textId="205A454D" w:rsidR="00D24894" w:rsidRPr="00C16E80" w:rsidRDefault="00BE75E4" w:rsidP="00C16E80">
      <w:pPr>
        <w:pStyle w:val="Heading1"/>
      </w:pPr>
      <w:bookmarkStart w:id="2" w:name="_Toc52018922"/>
      <w:r w:rsidRPr="009D0FDD">
        <w:lastRenderedPageBreak/>
        <w:t>Introduction</w:t>
      </w:r>
      <w:bookmarkEnd w:id="2"/>
    </w:p>
    <w:p w14:paraId="6ACEA715" w14:textId="7B921ABC" w:rsidR="00D03749" w:rsidRDefault="005E305D" w:rsidP="00A0316C">
      <w:r>
        <w:t xml:space="preserve">How much were the sovereign debt markets exposed to international shocks? </w:t>
      </w:r>
      <w:r w:rsidR="0044331E" w:rsidRPr="0015638B">
        <w:t xml:space="preserve">The 2007-2008 global financial crisis (GFC) was a </w:t>
      </w:r>
      <w:r w:rsidR="00CE09CC" w:rsidRPr="0015638B">
        <w:t xml:space="preserve">worldwide </w:t>
      </w:r>
      <w:r w:rsidR="0044331E" w:rsidRPr="0015638B">
        <w:t>shock of unusual severity</w:t>
      </w:r>
      <w:r w:rsidR="00CE09CC" w:rsidRPr="0015638B">
        <w:t>. C</w:t>
      </w:r>
      <w:r w:rsidR="0044331E" w:rsidRPr="0015638B">
        <w:t>ountries around the world suffered massive falls in economic output and employment. Nevertheless, the GFC did not affect all countries to the same extent</w:t>
      </w:r>
      <w:r w:rsidR="00AF20CE" w:rsidRPr="0015638B">
        <w:t>:</w:t>
      </w:r>
      <w:r w:rsidR="0044331E" w:rsidRPr="0015638B">
        <w:t xml:space="preserve"> The large emerging markets—Brazil, Argentina, India, Thailand, and Malaysia—did relatively well. More importantly, China was comparatively invulnerable and escaped the GFC relatively unscathed</w:t>
      </w:r>
      <w:r w:rsidR="005B6509">
        <w:t>. In fact, China</w:t>
      </w:r>
      <w:r w:rsidR="00CE09CC" w:rsidRPr="0015638B">
        <w:t xml:space="preserve"> </w:t>
      </w:r>
      <w:r w:rsidR="005B6509">
        <w:t xml:space="preserve">was able to </w:t>
      </w:r>
      <w:r w:rsidR="001B105E" w:rsidRPr="0015638B">
        <w:t xml:space="preserve">put in place big economic stimuli for its domestic economy. Because of China’s </w:t>
      </w:r>
      <w:r w:rsidR="00CE09CC" w:rsidRPr="0015638B">
        <w:t>significance</w:t>
      </w:r>
      <w:r w:rsidR="001B105E" w:rsidRPr="0015638B">
        <w:t xml:space="preserve"> not only as an exporter but also as a buyer on global markets, these stimuli helped the global economy back on its feet. Despite the severity and breadth of the GFC,</w:t>
      </w:r>
      <w:r w:rsidR="0044331E" w:rsidRPr="0015638B">
        <w:t xml:space="preserve"> </w:t>
      </w:r>
      <w:r w:rsidR="005B6509">
        <w:t>it took</w:t>
      </w:r>
      <w:r w:rsidR="0044331E" w:rsidRPr="0015638B">
        <w:t xml:space="preserve"> more than </w:t>
      </w:r>
      <w:r w:rsidR="00AF20CE" w:rsidRPr="0015638B">
        <w:t>twelve</w:t>
      </w:r>
      <w:r w:rsidR="0044331E" w:rsidRPr="0015638B">
        <w:t xml:space="preserve"> months to spread from the overbuilt suburbs of </w:t>
      </w:r>
      <w:r w:rsidR="001B105E" w:rsidRPr="0015638B">
        <w:t>the US</w:t>
      </w:r>
      <w:r w:rsidR="0044331E" w:rsidRPr="0015638B">
        <w:t xml:space="preserve"> and </w:t>
      </w:r>
      <w:r w:rsidR="001B105E" w:rsidRPr="0015638B">
        <w:t xml:space="preserve">the </w:t>
      </w:r>
      <w:r w:rsidR="00D919EA" w:rsidRPr="0015638B">
        <w:t>Iberian Peninsula</w:t>
      </w:r>
      <w:r w:rsidR="0044331E" w:rsidRPr="0015638B">
        <w:t xml:space="preserve"> to the financial centers of the world. </w:t>
      </w:r>
      <w:r w:rsidR="001B105E" w:rsidRPr="0015638B">
        <w:t>In contrast, t</w:t>
      </w:r>
      <w:r w:rsidR="0044331E" w:rsidRPr="0015638B">
        <w:t>he coronavirus pandemic has taken just three months to engulf first China</w:t>
      </w:r>
      <w:r w:rsidR="00A66A54">
        <w:t xml:space="preserve"> and </w:t>
      </w:r>
      <w:r w:rsidR="001B105E" w:rsidRPr="0015638B">
        <w:t xml:space="preserve">then </w:t>
      </w:r>
      <w:r w:rsidR="0044331E" w:rsidRPr="0015638B">
        <w:t>Europe and North America.</w:t>
      </w:r>
      <w:r w:rsidR="00FE62AF">
        <w:t xml:space="preserve"> </w:t>
      </w:r>
      <w:r w:rsidR="00A66A54">
        <w:t xml:space="preserve">Unsurprisingly, </w:t>
      </w:r>
      <w:r w:rsidR="00E91463">
        <w:t>EMs</w:t>
      </w:r>
      <w:r w:rsidR="00291ABA">
        <w:t xml:space="preserve"> </w:t>
      </w:r>
      <w:r w:rsidR="00A66A54">
        <w:t xml:space="preserve">were </w:t>
      </w:r>
      <w:r w:rsidR="005653D6">
        <w:t>neither</w:t>
      </w:r>
      <w:r w:rsidR="00A66A54">
        <w:t xml:space="preserve"> immune against the virus </w:t>
      </w:r>
      <w:r w:rsidR="005653D6">
        <w:t xml:space="preserve">nor </w:t>
      </w:r>
      <w:r w:rsidR="00266DA8">
        <w:t>its</w:t>
      </w:r>
      <w:r w:rsidR="005653D6">
        <w:t xml:space="preserve"> economic repercussion</w:t>
      </w:r>
      <w:r w:rsidR="00291ABA">
        <w:t>s</w:t>
      </w:r>
      <w:r w:rsidR="00A66A54">
        <w:t xml:space="preserve">. With </w:t>
      </w:r>
      <w:r>
        <w:t>the risk-</w:t>
      </w:r>
      <w:r w:rsidR="00A66A54">
        <w:t>off</w:t>
      </w:r>
      <w:r>
        <w:t xml:space="preserve"> market environment</w:t>
      </w:r>
      <w:r w:rsidR="00A66A54">
        <w:t xml:space="preserve">, money invested in </w:t>
      </w:r>
      <w:r w:rsidR="00712848">
        <w:t>EMs</w:t>
      </w:r>
      <w:r w:rsidR="00A66A54">
        <w:t xml:space="preserve"> ran for the exits, </w:t>
      </w:r>
      <w:r w:rsidR="005653D6">
        <w:t>CDS spreads</w:t>
      </w:r>
      <w:r w:rsidR="00A66A54">
        <w:t xml:space="preserve"> widened</w:t>
      </w:r>
      <w:r w:rsidR="00266DA8">
        <w:t xml:space="preserve"> </w:t>
      </w:r>
      <w:r w:rsidR="00E06886">
        <w:t>(</w:t>
      </w:r>
      <w:r w:rsidR="00E91463">
        <w:fldChar w:fldCharType="begin"/>
      </w:r>
      <w:r w:rsidR="00E91463">
        <w:instrText xml:space="preserve"> REF _Ref50976166 \h </w:instrText>
      </w:r>
      <w:r w:rsidR="00E91463">
        <w:fldChar w:fldCharType="separate"/>
      </w:r>
      <w:r w:rsidR="00F03B5A" w:rsidRPr="009D0FDD">
        <w:t xml:space="preserve">Figure </w:t>
      </w:r>
      <w:r w:rsidR="00F03B5A">
        <w:rPr>
          <w:noProof/>
        </w:rPr>
        <w:t>1</w:t>
      </w:r>
      <w:r w:rsidR="00E91463">
        <w:fldChar w:fldCharType="end"/>
      </w:r>
      <w:r w:rsidR="00E06886">
        <w:t>)</w:t>
      </w:r>
      <w:r w:rsidR="00A66A54">
        <w:t>, and exchange rates dropped</w:t>
      </w:r>
      <w:r w:rsidR="002E5AA8">
        <w:t xml:space="preserve"> </w:t>
      </w:r>
      <w:r w:rsidR="00D03749">
        <w:t>(</w:t>
      </w:r>
      <w:r w:rsidR="00D03749">
        <w:fldChar w:fldCharType="begin"/>
      </w:r>
      <w:r w:rsidR="00D03749">
        <w:instrText xml:space="preserve"> REF _Ref51332782 \h </w:instrText>
      </w:r>
      <w:r w:rsidR="00D03749">
        <w:fldChar w:fldCharType="separate"/>
      </w:r>
      <w:r w:rsidR="00F03B5A">
        <w:t xml:space="preserve">Figure </w:t>
      </w:r>
      <w:r w:rsidR="00F03B5A">
        <w:rPr>
          <w:noProof/>
        </w:rPr>
        <w:t>2</w:t>
      </w:r>
      <w:r w:rsidR="00D03749">
        <w:fldChar w:fldCharType="end"/>
      </w:r>
      <w:r w:rsidR="00D03749">
        <w:t>).</w:t>
      </w:r>
    </w:p>
    <w:p w14:paraId="7DE96749" w14:textId="77777777" w:rsidR="00E06886" w:rsidRDefault="00E06886" w:rsidP="00A0316C">
      <w:pPr>
        <w:rPr>
          <w:color w:val="C00000"/>
        </w:rPr>
      </w:pPr>
    </w:p>
    <w:p w14:paraId="44064115" w14:textId="19447D6D" w:rsidR="00E91463" w:rsidRDefault="0044331E" w:rsidP="00507CED">
      <w:r w:rsidRPr="0015638B">
        <w:t xml:space="preserve">As it has swept </w:t>
      </w:r>
      <w:r w:rsidR="001B105E" w:rsidRPr="0015638B">
        <w:t>away from China’s shores,</w:t>
      </w:r>
      <w:r w:rsidRPr="0015638B">
        <w:t xml:space="preserve"> </w:t>
      </w:r>
      <w:r w:rsidR="00D03749">
        <w:t xml:space="preserve">the COVID-pandemic </w:t>
      </w:r>
      <w:r w:rsidRPr="0015638B">
        <w:t xml:space="preserve">triggered an economic crisis </w:t>
      </w:r>
      <w:r w:rsidR="00A439C9" w:rsidRPr="0015638B">
        <w:t>with vicious</w:t>
      </w:r>
      <w:r w:rsidRPr="0015638B">
        <w:t xml:space="preserve"> </w:t>
      </w:r>
      <w:r w:rsidR="00A439C9" w:rsidRPr="0015638B">
        <w:t>violence</w:t>
      </w:r>
      <w:r w:rsidR="00513671">
        <w:t>.</w:t>
      </w:r>
      <w:r w:rsidR="00D919EA" w:rsidRPr="0015638B">
        <w:t xml:space="preserve"> </w:t>
      </w:r>
      <w:r w:rsidR="00513671">
        <w:t>R</w:t>
      </w:r>
      <w:r w:rsidR="00D919EA" w:rsidRPr="0015638B">
        <w:t>egional and country-wide</w:t>
      </w:r>
      <w:r w:rsidR="00564D4D" w:rsidRPr="0015638B">
        <w:t xml:space="preserve"> shutdowns led to interruptions of global value chains</w:t>
      </w:r>
      <w:r w:rsidR="00D919EA" w:rsidRPr="0015638B">
        <w:t>,</w:t>
      </w:r>
      <w:r w:rsidR="00564D4D" w:rsidRPr="0015638B">
        <w:t xml:space="preserve"> stay-at-home orders compressed consumer demand and thereby </w:t>
      </w:r>
      <w:r w:rsidR="00CF7DD0" w:rsidRPr="0015638B">
        <w:t xml:space="preserve">corporate </w:t>
      </w:r>
      <w:r w:rsidR="00564D4D" w:rsidRPr="0015638B">
        <w:t>and personal incomes</w:t>
      </w:r>
      <w:r w:rsidR="00513671">
        <w:t>,</w:t>
      </w:r>
      <w:r w:rsidR="00D03749">
        <w:t xml:space="preserve"> and the oil price dropped precipitously</w:t>
      </w:r>
      <w:r w:rsidR="00564D4D" w:rsidRPr="0015638B">
        <w:t>.</w:t>
      </w:r>
      <w:r w:rsidR="00D919EA" w:rsidRPr="0015638B">
        <w:t xml:space="preserve"> In fact, this price drop took place as the US and Europe experienced their first waves of COVID while many emerging countries were in the earlier stages of their infection curves.</w:t>
      </w:r>
      <w:r w:rsidR="00564D4D" w:rsidRPr="0015638B">
        <w:t xml:space="preserve"> </w:t>
      </w:r>
      <w:r w:rsidR="00D919EA" w:rsidRPr="0015638B">
        <w:t xml:space="preserve">Hence, for some of the emerging and developing world, the effects of COVID manifested themselves </w:t>
      </w:r>
      <w:r w:rsidR="00FB3214" w:rsidRPr="0015638B">
        <w:t xml:space="preserve">in external trade </w:t>
      </w:r>
      <w:r w:rsidR="00A66A54">
        <w:t xml:space="preserve">first </w:t>
      </w:r>
      <w:r w:rsidR="00FB3214" w:rsidRPr="0015638B">
        <w:t xml:space="preserve">and only </w:t>
      </w:r>
      <w:r w:rsidR="00A66A54">
        <w:t>then in</w:t>
      </w:r>
      <w:r w:rsidR="00FB3214" w:rsidRPr="0015638B">
        <w:t xml:space="preserve"> domestic health issues. </w:t>
      </w:r>
      <w:r w:rsidR="00945AF6">
        <w:t>Particularly</w:t>
      </w:r>
      <w:r w:rsidR="00FB3214" w:rsidRPr="0015638B">
        <w:t xml:space="preserve"> </w:t>
      </w:r>
      <w:r w:rsidR="006615C3" w:rsidRPr="0015638B">
        <w:t>the commodity-dependent emerging markets</w:t>
      </w:r>
      <w:r w:rsidR="00E66ADD" w:rsidRPr="0015638B">
        <w:t xml:space="preserve"> </w:t>
      </w:r>
      <w:r w:rsidR="006615C3" w:rsidRPr="0015638B">
        <w:t xml:space="preserve">are going </w:t>
      </w:r>
      <w:r w:rsidR="006615C3" w:rsidRPr="00291ABA">
        <w:t>through a</w:t>
      </w:r>
      <w:r w:rsidR="00FB3214" w:rsidRPr="00291ABA">
        <w:t>n</w:t>
      </w:r>
      <w:r w:rsidR="006615C3" w:rsidRPr="00291ABA">
        <w:t xml:space="preserve"> </w:t>
      </w:r>
      <w:r w:rsidR="00FB3214" w:rsidRPr="00291ABA">
        <w:t>especially</w:t>
      </w:r>
      <w:r w:rsidR="006615C3" w:rsidRPr="00291ABA">
        <w:t xml:space="preserve"> challenging first half of 2020</w:t>
      </w:r>
      <w:r w:rsidR="00213329">
        <w:t>. T</w:t>
      </w:r>
      <w:r w:rsidR="00FB3214" w:rsidRPr="00291ABA">
        <w:t xml:space="preserve">hey were first hit with a “wave” of low oil </w:t>
      </w:r>
      <w:r w:rsidR="00C2608C" w:rsidRPr="00291ABA">
        <w:t>and other commodities</w:t>
      </w:r>
      <w:r w:rsidR="00C2608C">
        <w:t xml:space="preserve"> </w:t>
      </w:r>
      <w:r w:rsidR="00FB3214" w:rsidRPr="0015638B">
        <w:t xml:space="preserve">incomes and then with the </w:t>
      </w:r>
      <w:r w:rsidR="004562CA" w:rsidRPr="0015638B">
        <w:t xml:space="preserve">wave of </w:t>
      </w:r>
      <w:r w:rsidR="00FB3214" w:rsidRPr="0015638B">
        <w:t>COVID infection</w:t>
      </w:r>
      <w:r w:rsidR="004562CA" w:rsidRPr="0015638B">
        <w:t>s</w:t>
      </w:r>
      <w:r w:rsidR="00FB3214" w:rsidRPr="0015638B">
        <w:t xml:space="preserve">. </w:t>
      </w:r>
      <w:r w:rsidR="007B63D9" w:rsidRPr="0015638B">
        <w:t xml:space="preserve">As such, this double-wave reduced revenues for the heavily commodity-dependent </w:t>
      </w:r>
      <w:r w:rsidR="00E91463">
        <w:t>EMs</w:t>
      </w:r>
      <w:r w:rsidR="007B63D9" w:rsidRPr="0015638B">
        <w:t xml:space="preserve"> just at the time when shutdowns </w:t>
      </w:r>
      <w:r w:rsidR="004562CA" w:rsidRPr="0015638B">
        <w:t xml:space="preserve">required </w:t>
      </w:r>
      <w:r w:rsidR="00D03749">
        <w:t>governments</w:t>
      </w:r>
      <w:r w:rsidR="004562CA" w:rsidRPr="0015638B">
        <w:t xml:space="preserve"> to step </w:t>
      </w:r>
      <w:r w:rsidR="00D03749">
        <w:t>in</w:t>
      </w:r>
      <w:r w:rsidR="004562CA" w:rsidRPr="0015638B">
        <w:t xml:space="preserve"> and support the economy</w:t>
      </w:r>
      <w:r w:rsidR="00677884">
        <w:t>, exacerbating fiscal challenges. T</w:t>
      </w:r>
      <w:r w:rsidR="00A0316C">
        <w:t xml:space="preserve">he economic outfall caused by the pandemic and the oil price </w:t>
      </w:r>
      <w:r w:rsidR="00FE6A85">
        <w:t>collapse</w:t>
      </w:r>
      <w:r w:rsidR="009747CD" w:rsidRPr="0015638B">
        <w:t xml:space="preserve"> </w:t>
      </w:r>
      <w:r w:rsidR="00213329">
        <w:t>is</w:t>
      </w:r>
      <w:r w:rsidR="00213329" w:rsidRPr="0015638B">
        <w:t xml:space="preserve"> </w:t>
      </w:r>
      <w:r w:rsidR="009747CD" w:rsidRPr="0015638B">
        <w:t xml:space="preserve">not the first shock that </w:t>
      </w:r>
      <w:r w:rsidR="00FE6A85">
        <w:t>EMs</w:t>
      </w:r>
      <w:r w:rsidR="009747CD" w:rsidRPr="0015638B">
        <w:t xml:space="preserve"> </w:t>
      </w:r>
      <w:r w:rsidR="00A0316C">
        <w:t>face</w:t>
      </w:r>
      <w:r w:rsidR="00E91463">
        <w:t>, however</w:t>
      </w:r>
      <w:r w:rsidR="009747CD" w:rsidRPr="0015638B">
        <w:t xml:space="preserve">. </w:t>
      </w:r>
      <w:r w:rsidR="004D7ED2" w:rsidRPr="0015638B">
        <w:t xml:space="preserve">In fact, </w:t>
      </w:r>
      <w:r w:rsidR="00A0316C">
        <w:t xml:space="preserve">besides the COVID oil price collapse, </w:t>
      </w:r>
      <w:r w:rsidR="004D7ED2" w:rsidRPr="0015638B">
        <w:t xml:space="preserve">there have been six previous </w:t>
      </w:r>
      <w:r w:rsidR="00FE62AF">
        <w:t>such collapses since</w:t>
      </w:r>
      <w:r w:rsidR="004D7ED2" w:rsidRPr="0015638B">
        <w:t xml:space="preserve"> </w:t>
      </w:r>
      <w:r w:rsidR="00A0316C">
        <w:t>1970</w:t>
      </w:r>
      <w:r w:rsidR="004D7ED2" w:rsidRPr="0015638B">
        <w:t>. Additionally, i</w:t>
      </w:r>
      <w:r w:rsidR="009747CD" w:rsidRPr="0015638B">
        <w:t>n recent decades, the increased flow of cross-border investment and trade in a more and more intertwined world economy has been subject to repeated interruption. For example, in 2015</w:t>
      </w:r>
      <w:r w:rsidR="00213329">
        <w:t>,</w:t>
      </w:r>
      <w:r w:rsidR="009747CD" w:rsidRPr="0015638B">
        <w:t xml:space="preserve"> there was a relatively contained crisis in China when the stock market tumbled, the Yuan slid, and a lot of foreign investment quickly left the country</w:t>
      </w:r>
      <w:r w:rsidR="00213329">
        <w:t>. A</w:t>
      </w:r>
      <w:r w:rsidR="009747CD" w:rsidRPr="0015638B">
        <w:t xml:space="preserve"> year before that, dropping prices of oil and other commodities sent a shock wave through </w:t>
      </w:r>
      <w:r w:rsidR="00213329">
        <w:t>several</w:t>
      </w:r>
      <w:r w:rsidR="009747CD" w:rsidRPr="0015638B">
        <w:t xml:space="preserve"> commodity-</w:t>
      </w:r>
      <w:r w:rsidR="00222B74" w:rsidRPr="0015638B">
        <w:t xml:space="preserve">exporting </w:t>
      </w:r>
      <w:r w:rsidR="00E91463">
        <w:t>EMs</w:t>
      </w:r>
      <w:r w:rsidR="00222B74" w:rsidRPr="0015638B">
        <w:t xml:space="preserve">. </w:t>
      </w:r>
      <w:r w:rsidR="00A0316C">
        <w:t>Furthermore</w:t>
      </w:r>
      <w:r w:rsidR="00222B74" w:rsidRPr="0015638B">
        <w:t xml:space="preserve">, a general slowdown in EM growth began in 2013 with the Federal Reserve’s (FED) taper tantrum: indications of </w:t>
      </w:r>
      <w:r w:rsidR="00213329">
        <w:t xml:space="preserve">the </w:t>
      </w:r>
      <w:r w:rsidR="00222B74" w:rsidRPr="0015638B">
        <w:t xml:space="preserve">less </w:t>
      </w:r>
      <w:r w:rsidR="00213329" w:rsidRPr="0015638B">
        <w:t>accommodati</w:t>
      </w:r>
      <w:r w:rsidR="00213329">
        <w:t>ve</w:t>
      </w:r>
      <w:r w:rsidR="00213329" w:rsidRPr="0015638B">
        <w:t xml:space="preserve"> </w:t>
      </w:r>
      <w:r w:rsidR="00222B74" w:rsidRPr="0015638B">
        <w:t xml:space="preserve">monetary policy caused instability in EMs since investors tried to funnel money back into </w:t>
      </w:r>
      <w:r w:rsidR="004562CA" w:rsidRPr="0015638B">
        <w:t xml:space="preserve">safer </w:t>
      </w:r>
      <w:r w:rsidR="00222B74" w:rsidRPr="0015638B">
        <w:t>US assets</w:t>
      </w:r>
      <w:r w:rsidR="004562CA" w:rsidRPr="0015638B">
        <w:t xml:space="preserve"> with rising yields</w:t>
      </w:r>
      <w:r w:rsidR="00222B74" w:rsidRPr="0015638B">
        <w:t xml:space="preserve">. </w:t>
      </w:r>
    </w:p>
    <w:p w14:paraId="578E83AB" w14:textId="77777777" w:rsidR="00E91463" w:rsidRDefault="00E91463" w:rsidP="00507CED"/>
    <w:p w14:paraId="4506F03A" w14:textId="118A39EB" w:rsidR="00507CED" w:rsidRPr="00507CED" w:rsidRDefault="00677884" w:rsidP="00507CED">
      <w:r>
        <w:t>In</w:t>
      </w:r>
      <w:r w:rsidR="0015638B" w:rsidRPr="0015638B">
        <w:t xml:space="preserve"> light of </w:t>
      </w:r>
      <w:r w:rsidR="00C41057">
        <w:t xml:space="preserve">the current and previous </w:t>
      </w:r>
      <w:r>
        <w:t xml:space="preserve">challenges for </w:t>
      </w:r>
      <w:r w:rsidR="00FE6A85">
        <w:t>EMs</w:t>
      </w:r>
      <w:r w:rsidR="0015638B" w:rsidRPr="0015638B">
        <w:t xml:space="preserve">, it is interesting to </w:t>
      </w:r>
      <w:r w:rsidR="00A4772A">
        <w:t xml:space="preserve">investigate to what extent the pricing of </w:t>
      </w:r>
      <w:r w:rsidR="00FE6A85">
        <w:t>EM</w:t>
      </w:r>
      <w:r w:rsidR="00A4772A">
        <w:t xml:space="preserve"> sovereign risk</w:t>
      </w:r>
      <w:r w:rsidR="008A1E68">
        <w:t xml:space="preserve"> during the COVID-pandemic was</w:t>
      </w:r>
      <w:r w:rsidR="00A4772A">
        <w:t xml:space="preserve"> based on country-specific factors and on </w:t>
      </w:r>
      <w:r w:rsidR="00213329">
        <w:t xml:space="preserve">the </w:t>
      </w:r>
      <w:r w:rsidR="008A1E68">
        <w:t xml:space="preserve">global factors. </w:t>
      </w:r>
      <w:r w:rsidR="00FE6A85">
        <w:t>However</w:t>
      </w:r>
      <w:r w:rsidR="00507CED" w:rsidRPr="00507CED">
        <w:t xml:space="preserve">, </w:t>
      </w:r>
      <w:r w:rsidR="00213329">
        <w:t xml:space="preserve">studies </w:t>
      </w:r>
      <w:r w:rsidR="00507CED">
        <w:t xml:space="preserve">on </w:t>
      </w:r>
      <w:r w:rsidR="00507CED" w:rsidRPr="00507CED">
        <w:t>s</w:t>
      </w:r>
      <w:r w:rsidR="00507CED" w:rsidRPr="00A27197">
        <w:t xml:space="preserve">overeign CDS spreads </w:t>
      </w:r>
      <w:r w:rsidR="00507CED">
        <w:t xml:space="preserve">and </w:t>
      </w:r>
      <w:r w:rsidR="00507CED" w:rsidRPr="00A27197">
        <w:t xml:space="preserve">their determinants </w:t>
      </w:r>
      <w:r w:rsidR="00213329">
        <w:t>are</w:t>
      </w:r>
      <w:r w:rsidR="00213329" w:rsidRPr="00507CED">
        <w:t xml:space="preserve"> </w:t>
      </w:r>
      <w:r w:rsidR="00507CED" w:rsidRPr="00507CED">
        <w:t xml:space="preserve">not </w:t>
      </w:r>
      <w:r w:rsidR="00507CED">
        <w:t>new.</w:t>
      </w:r>
      <w:r w:rsidR="00507CED" w:rsidRPr="00A27197">
        <w:t xml:space="preserve"> This</w:t>
      </w:r>
      <w:r w:rsidR="00213329">
        <w:t xml:space="preserve"> interest</w:t>
      </w:r>
      <w:r w:rsidR="00507CED" w:rsidRPr="00A27197">
        <w:t xml:space="preserve"> is </w:t>
      </w:r>
      <w:r w:rsidR="00213329">
        <w:t>partly</w:t>
      </w:r>
      <w:r w:rsidR="00507CED" w:rsidRPr="00A27197">
        <w:t xml:space="preserve"> due to the subject’s importance for policymaking because </w:t>
      </w:r>
      <w:r w:rsidR="00213329">
        <w:t xml:space="preserve">sovereign </w:t>
      </w:r>
      <w:r w:rsidR="00507CED" w:rsidRPr="00A27197">
        <w:t>spreads affect the cost of borrowing</w:t>
      </w:r>
      <w:r w:rsidR="00213329">
        <w:t>,</w:t>
      </w:r>
      <w:r w:rsidR="00507CED" w:rsidRPr="00A27197">
        <w:t xml:space="preserve"> and it is </w:t>
      </w:r>
      <w:r w:rsidR="00945AF6">
        <w:t>crucial</w:t>
      </w:r>
      <w:r w:rsidR="00507CED" w:rsidRPr="00A27197">
        <w:t xml:space="preserve"> to </w:t>
      </w:r>
      <w:r w:rsidR="00507CED" w:rsidRPr="00A27197">
        <w:lastRenderedPageBreak/>
        <w:t xml:space="preserve">understand which factors govern these spreads. The plethora of potential determinants that could influence sovereign spreads can be divided into two </w:t>
      </w:r>
      <w:r w:rsidR="00213329">
        <w:t>groups</w:t>
      </w:r>
      <w:r w:rsidR="00507CED" w:rsidRPr="00A27197">
        <w:t xml:space="preserve">. On the one hand, country-specific characteristics such as fiscal space, growth dynamics, and the political system could affect the perception of lenders of the riskiness of a potential borrower and thus the borrowing cost. On the other hand, </w:t>
      </w:r>
      <w:r w:rsidR="00213329">
        <w:t>a “global factor” may determine</w:t>
      </w:r>
      <w:r w:rsidR="00507CED" w:rsidRPr="00A27197">
        <w:t xml:space="preserve"> the borrowing cost of a specific sovereign borrower. The idea behind this is that there could be a global financial cycle driven by </w:t>
      </w:r>
      <w:r w:rsidR="00507CED" w:rsidRPr="00FE6A85">
        <w:t>the monetary policy in the center countr</w:t>
      </w:r>
      <w:r w:rsidR="00C2608C" w:rsidRPr="00FE6A85">
        <w:t>ies</w:t>
      </w:r>
      <w:r w:rsidR="00213329">
        <w:t>,</w:t>
      </w:r>
      <w:r w:rsidR="00507CED" w:rsidRPr="00FE6A85">
        <w:t xml:space="preserve"> a</w:t>
      </w:r>
      <w:r w:rsidR="00213329">
        <w:t>ffecting</w:t>
      </w:r>
      <w:r w:rsidR="00507CED" w:rsidRPr="00FE6A85">
        <w:t xml:space="preserve"> </w:t>
      </w:r>
      <w:r w:rsidR="00213329">
        <w:t xml:space="preserve">the </w:t>
      </w:r>
      <w:r w:rsidR="00507CED" w:rsidRPr="00FE6A85">
        <w:t>leverage of global banks, cap</w:t>
      </w:r>
      <w:r w:rsidR="00C2608C" w:rsidRPr="00FE6A85">
        <w:t>ital flows</w:t>
      </w:r>
      <w:r w:rsidR="00213329">
        <w:t>,</w:t>
      </w:r>
      <w:r w:rsidR="00C2608C" w:rsidRPr="00FE6A85">
        <w:t xml:space="preserve"> and credit growth in</w:t>
      </w:r>
      <w:r w:rsidR="00507CED" w:rsidRPr="00FE6A85">
        <w:t xml:space="preserve"> the international financial system and thus the borrowing costs of countries.</w:t>
      </w:r>
      <w:r w:rsidR="00507CED" w:rsidRPr="00A27197">
        <w:t xml:space="preserve"> </w:t>
      </w:r>
    </w:p>
    <w:p w14:paraId="1FD29FEA" w14:textId="77777777" w:rsidR="00FE6A85" w:rsidRDefault="00FE6A85" w:rsidP="00507CED">
      <w:pPr>
        <w:rPr>
          <w:color w:val="FF0000"/>
        </w:rPr>
      </w:pPr>
    </w:p>
    <w:p w14:paraId="6655E75A" w14:textId="34FFA46F" w:rsidR="00507CED" w:rsidRDefault="00507CED" w:rsidP="00507CED">
      <w:r>
        <w:rPr>
          <w:color w:val="000000"/>
        </w:rPr>
        <w:t xml:space="preserve">In this paper, we contribute to the discussion on the relative importance of country-specific and global factors. </w:t>
      </w:r>
      <w:r w:rsidRPr="0015638B">
        <w:t xml:space="preserve">Specifically, we compare the importance of prevailing market factors against COVID-19 dynamics and policy responses in explaining the evolution of emerging market sovereign CDS spreads during the first half of 2020. In doing so, we disentangle the effects of global economic and financial turmoil from the effects of </w:t>
      </w:r>
      <w:r>
        <w:t>oil</w:t>
      </w:r>
      <w:r w:rsidRPr="0015638B">
        <w:t xml:space="preserve"> price decays and </w:t>
      </w:r>
      <w:r>
        <w:t xml:space="preserve">country-specific </w:t>
      </w:r>
      <w:r w:rsidR="005E0EDE">
        <w:t>epid</w:t>
      </w:r>
      <w:r w:rsidR="004C7538">
        <w:t>e</w:t>
      </w:r>
      <w:r w:rsidR="005E0EDE">
        <w:t>mic</w:t>
      </w:r>
      <w:r>
        <w:t xml:space="preserve"> </w:t>
      </w:r>
      <w:r w:rsidRPr="0015638B">
        <w:t xml:space="preserve">dynamics for emerging markets. </w:t>
      </w:r>
      <w:r w:rsidR="00F63B45">
        <w:t>The analysis</w:t>
      </w:r>
      <w:r w:rsidRPr="0015638B">
        <w:t xml:space="preserve"> focuses on daily EM sovereign CDS spreads, comparing the impact of prevailing market factors against COVID-19 dynamics, ECB’s</w:t>
      </w:r>
      <w:r w:rsidR="000F6402">
        <w:t xml:space="preserve"> &amp;</w:t>
      </w:r>
      <w:r w:rsidRPr="0015638B">
        <w:t xml:space="preserve"> FED’s </w:t>
      </w:r>
      <w:r w:rsidR="002F4842" w:rsidRPr="000F6402">
        <w:rPr>
          <w:bCs/>
        </w:rPr>
        <w:t>policies</w:t>
      </w:r>
      <w:r w:rsidR="002F4842">
        <w:rPr>
          <w:b/>
        </w:rPr>
        <w:t>,</w:t>
      </w:r>
      <w:r w:rsidR="002F4842">
        <w:t xml:space="preserve"> </w:t>
      </w:r>
      <w:r w:rsidRPr="0015638B">
        <w:t>and countries’ fiscal policies on sovereign spread</w:t>
      </w:r>
      <w:r w:rsidR="005E0EDE">
        <w:t>s</w:t>
      </w:r>
      <w:r w:rsidRPr="0015638B">
        <w:t xml:space="preserve"> and the overall financial and fiscal adjustments to the collapsing demand. We adopt a multi-stage econometric approach, leveraging a</w:t>
      </w:r>
      <w:r>
        <w:t>n</w:t>
      </w:r>
      <w:r w:rsidRPr="0015638B">
        <w:t xml:space="preserve"> </w:t>
      </w:r>
      <w:r>
        <w:t>EM</w:t>
      </w:r>
      <w:r w:rsidRPr="0015638B">
        <w:t xml:space="preserve"> cross-country panel dataset. In the first stage</w:t>
      </w:r>
      <w:r w:rsidR="00F63B45">
        <w:t>,</w:t>
      </w:r>
      <w:r w:rsidRPr="0015638B">
        <w:t xml:space="preserve"> we estimate a heterogenous </w:t>
      </w:r>
      <w:r w:rsidR="00F63B45" w:rsidRPr="0015638B">
        <w:t>multi</w:t>
      </w:r>
      <w:r w:rsidR="00F63B45">
        <w:t>-</w:t>
      </w:r>
      <w:r w:rsidRPr="0015638B">
        <w:t xml:space="preserve">factor model for changes in CDS spreads over several years </w:t>
      </w:r>
      <w:r w:rsidR="00F63B45">
        <w:t>before</w:t>
      </w:r>
      <w:r w:rsidRPr="0015638B">
        <w:t xml:space="preserve"> </w:t>
      </w:r>
      <w:r w:rsidR="005E0EDE">
        <w:t xml:space="preserve">the </w:t>
      </w:r>
      <w:r w:rsidRPr="0015638B">
        <w:t xml:space="preserve">outbreak of COVID-19. Specifically, we </w:t>
      </w:r>
      <w:r w:rsidR="00F63B45">
        <w:t>run</w:t>
      </w:r>
      <w:r w:rsidRPr="0015638B">
        <w:t xml:space="preserve"> the model </w:t>
      </w:r>
      <w:r w:rsidR="00F63B45">
        <w:t>for</w:t>
      </w:r>
      <w:r w:rsidRPr="0015638B">
        <w:t xml:space="preserve"> January 2014 through June 2019, the “pre-COVID” period. In the second s</w:t>
      </w:r>
      <w:r w:rsidR="00F63B45">
        <w:t>t</w:t>
      </w:r>
      <w:r w:rsidRPr="0015638B">
        <w:t>age</w:t>
      </w:r>
      <w:r w:rsidR="00F63B45">
        <w:t>,</w:t>
      </w:r>
      <w:r w:rsidRPr="0015638B">
        <w:t xml:space="preserve"> we use the estimated coefficients from th</w:t>
      </w:r>
      <w:r w:rsidR="00F63B45">
        <w:t>e first stage</w:t>
      </w:r>
      <w:r w:rsidRPr="0015638B">
        <w:t xml:space="preserve"> to extrapolate model-implied changes in the CDS spreads from July 2019 through June 2020. This</w:t>
      </w:r>
      <w:r w:rsidR="00F63B45">
        <w:t xml:space="preserve"> approach</w:t>
      </w:r>
      <w:r w:rsidRPr="0015638B">
        <w:t xml:space="preserve"> facilitates the statistical derivation of the “COVID residual</w:t>
      </w:r>
      <w:r w:rsidR="00F63B45">
        <w:t>,”</w:t>
      </w:r>
      <w:r w:rsidR="00F63B45" w:rsidRPr="0015638B">
        <w:t xml:space="preserve"> </w:t>
      </w:r>
      <w:r w:rsidRPr="0015638B">
        <w:t>i.e. the difference between the actual CDS adjustment and the change implied by the model. In the second stage</w:t>
      </w:r>
      <w:r w:rsidR="00F63B45">
        <w:t>,</w:t>
      </w:r>
      <w:r w:rsidRPr="0015638B">
        <w:t xml:space="preserve"> we also explain the model implied and the actual CDS changes through COVID-related factors. That is, we examine the residuals and explain them through a panel analysis that uses COVID-related factors from three different areas: epidemiological, economic, and political</w:t>
      </w:r>
      <w:r w:rsidR="00F63B45">
        <w:t xml:space="preserve"> factors</w:t>
      </w:r>
      <w:r w:rsidRPr="009D0FDD">
        <w:t xml:space="preserve">. </w:t>
      </w:r>
    </w:p>
    <w:p w14:paraId="5023BF40" w14:textId="066CD00C" w:rsidR="00BA66FC" w:rsidRDefault="00BA66FC" w:rsidP="00507CED"/>
    <w:p w14:paraId="63B3B5F6" w14:textId="53047C08" w:rsidR="009D6AB1" w:rsidRDefault="00DD6AA9" w:rsidP="009D6AB1">
      <w:r>
        <w:t>We</w:t>
      </w:r>
      <w:r w:rsidR="009D6AB1">
        <w:t xml:space="preserve"> find that</w:t>
      </w:r>
      <w:r>
        <w:t>, firstly,</w:t>
      </w:r>
      <w:r w:rsidR="009D6AB1">
        <w:t xml:space="preserve"> the </w:t>
      </w:r>
      <w:r>
        <w:t>multi-</w:t>
      </w:r>
      <w:r w:rsidR="009D6AB1">
        <w:t xml:space="preserve">factor model traces the realized sovereign spreads well over the rest of 2019, breaks down in 2020, and experiences the biggest deviations from model-implied values during peak COVID in March. Secondly, we find that the March 2020 divergence is partly accounted for by traditional determinants such as fiscal space, oil </w:t>
      </w:r>
      <w:r w:rsidR="005E0EDE">
        <w:rPr>
          <w:bCs/>
        </w:rPr>
        <w:t>income</w:t>
      </w:r>
      <w:r w:rsidR="009D6AB1">
        <w:t xml:space="preserve"> effects</w:t>
      </w:r>
      <w:r>
        <w:t>,</w:t>
      </w:r>
      <w:r w:rsidR="009D6AB1">
        <w:t xml:space="preserve"> and monetary policies by the FED and the ECB rather than COVID-specific risks and associated policies. In particular, COVID </w:t>
      </w:r>
      <w:r w:rsidR="005E0EDE">
        <w:t>infections</w:t>
      </w:r>
      <w:r w:rsidR="009D6AB1">
        <w:t xml:space="preserve">, </w:t>
      </w:r>
      <w:r w:rsidR="005E0EDE">
        <w:t>mortalities</w:t>
      </w:r>
      <w:r w:rsidR="009D6AB1">
        <w:t xml:space="preserve">, and virus containment policies were no significant drivers of CDS spread adjustments over this period. </w:t>
      </w:r>
      <w:r>
        <w:t>Overall</w:t>
      </w:r>
      <w:r w:rsidR="009D6AB1">
        <w:t xml:space="preserve">, the study points to two results: On the one hand, the </w:t>
      </w:r>
      <w:r w:rsidR="005E0EDE">
        <w:t xml:space="preserve">emerging </w:t>
      </w:r>
      <w:r w:rsidR="009D6AB1">
        <w:t xml:space="preserve">residuals during COVID suggest a time-varying relationship between sovereign CDS spreads and explanatory variables. On the other hand, the residuals were not driven by COVID-specific risks but rather by traditional drivers of sovereign risk pricing. </w:t>
      </w:r>
    </w:p>
    <w:p w14:paraId="11FE4BEE" w14:textId="77777777" w:rsidR="009D6AB1" w:rsidRDefault="009D6AB1"/>
    <w:p w14:paraId="1E7D4C13" w14:textId="64EA83AE" w:rsidR="00727DEF" w:rsidRPr="007272CF" w:rsidRDefault="005C2DEC">
      <w:pPr>
        <w:rPr>
          <w:rFonts w:cstheme="minorHAnsi"/>
        </w:rPr>
      </w:pPr>
      <w:r>
        <w:rPr>
          <w:rFonts w:cstheme="minorHAnsi"/>
        </w:rPr>
        <w:t>We provide some synthesis of the related studies in Section 2. S</w:t>
      </w:r>
      <w:r w:rsidR="00BA66FC" w:rsidRPr="00BA66FC">
        <w:rPr>
          <w:rFonts w:cstheme="minorHAnsi"/>
        </w:rPr>
        <w:t>ection</w:t>
      </w:r>
      <w:r w:rsidR="00586264">
        <w:rPr>
          <w:rFonts w:cstheme="minorHAnsi"/>
        </w:rPr>
        <w:t xml:space="preserve"> 3</w:t>
      </w:r>
      <w:r w:rsidR="00BA66FC" w:rsidRPr="00BA66FC">
        <w:rPr>
          <w:rFonts w:cstheme="minorHAnsi"/>
        </w:rPr>
        <w:t xml:space="preserve"> looks at mortality patterns and fiscal policies in emerging markets. Section </w:t>
      </w:r>
      <w:r w:rsidR="00586264">
        <w:rPr>
          <w:rFonts w:cstheme="minorHAnsi"/>
        </w:rPr>
        <w:t xml:space="preserve">4 </w:t>
      </w:r>
      <w:r w:rsidR="00BA66FC" w:rsidRPr="00BA66FC">
        <w:rPr>
          <w:rFonts w:cstheme="minorHAnsi"/>
        </w:rPr>
        <w:t xml:space="preserve">discusses the data, methodology, and results. Section </w:t>
      </w:r>
      <w:r w:rsidR="00586264">
        <w:rPr>
          <w:rFonts w:cstheme="minorHAnsi"/>
        </w:rPr>
        <w:t>5</w:t>
      </w:r>
      <w:r w:rsidR="00BA66FC" w:rsidRPr="00BA66FC">
        <w:rPr>
          <w:rFonts w:cstheme="minorHAnsi"/>
        </w:rPr>
        <w:t xml:space="preserve"> concludes. </w:t>
      </w:r>
    </w:p>
    <w:p w14:paraId="4A7C7978" w14:textId="406BB076" w:rsidR="00727DEF" w:rsidRDefault="00727DEF" w:rsidP="00727DEF">
      <w:pPr>
        <w:pStyle w:val="Heading1"/>
      </w:pPr>
      <w:bookmarkStart w:id="3" w:name="_Ref51340369"/>
      <w:bookmarkStart w:id="4" w:name="_Toc52018923"/>
      <w:r>
        <w:lastRenderedPageBreak/>
        <w:t>Recent literature</w:t>
      </w:r>
      <w:bookmarkEnd w:id="3"/>
      <w:bookmarkEnd w:id="4"/>
    </w:p>
    <w:p w14:paraId="1F1DEBF5" w14:textId="676905C2" w:rsidR="007272CF" w:rsidRDefault="005C2DEC" w:rsidP="007272CF">
      <w:r w:rsidRPr="00BA66FC">
        <w:rPr>
          <w:rFonts w:cstheme="minorHAnsi"/>
          <w:color w:val="2E2E2E"/>
        </w:rPr>
        <w:t xml:space="preserve">Our paper </w:t>
      </w:r>
      <w:r>
        <w:rPr>
          <w:rFonts w:cstheme="minorHAnsi"/>
          <w:color w:val="2E2E2E"/>
        </w:rPr>
        <w:t>contributes to the</w:t>
      </w:r>
      <w:r>
        <w:t xml:space="preserve"> literature that tries to understand the relative importance of global factors and country-specific factors. We do not try to give a general review of the previous scholarship and instead refer readers to Augustin (2014) for a recent enumeration of related studies. </w:t>
      </w:r>
      <w:r w:rsidR="007272CF">
        <w:t>Intuitively, one would expect sovereign risk pricing to be driven by country-specific factors</w:t>
      </w:r>
      <w:r w:rsidR="0090634F">
        <w:t xml:space="preserve"> but </w:t>
      </w:r>
      <w:r w:rsidR="00F16680">
        <w:t xml:space="preserve">there is evidence that shows that </w:t>
      </w:r>
      <w:r w:rsidR="00EE68E6">
        <w:t>some of</w:t>
      </w:r>
      <w:r w:rsidR="00F16680">
        <w:t xml:space="preserve"> the variation in sovereign CDS spreads is determined by global variables and unrelated to</w:t>
      </w:r>
      <w:r w:rsidR="0043121A">
        <w:t xml:space="preserve"> the</w:t>
      </w:r>
      <w:r w:rsidR="00F16680">
        <w:t xml:space="preserve"> country-specific </w:t>
      </w:r>
      <w:r w:rsidR="0043121A">
        <w:t>setting</w:t>
      </w:r>
      <w:r w:rsidR="00F16680">
        <w:t>. This is particularly true at higher trading frequencies</w:t>
      </w:r>
      <w:r w:rsidR="0090634F">
        <w:t xml:space="preserve">, albeit </w:t>
      </w:r>
      <w:r w:rsidR="0043121A">
        <w:t xml:space="preserve">as we will see </w:t>
      </w:r>
      <w:r w:rsidR="0090634F">
        <w:t>not during all periods</w:t>
      </w:r>
      <w:r w:rsidR="00F16680">
        <w:t xml:space="preserve">. </w:t>
      </w:r>
      <w:r w:rsidR="0090634F">
        <w:t>U</w:t>
      </w:r>
      <w:r w:rsidR="00F16680">
        <w:t xml:space="preserve">ltimately </w:t>
      </w:r>
      <w:r w:rsidR="0090634F">
        <w:t>it is a</w:t>
      </w:r>
      <w:r w:rsidR="00F16680">
        <w:t xml:space="preserve">n empirical question whether global factors, country-specific factors, or both </w:t>
      </w:r>
      <w:r w:rsidR="0043121A">
        <w:t>together</w:t>
      </w:r>
      <w:r w:rsidR="00F16680">
        <w:t xml:space="preserve"> are responsible for CDS spread</w:t>
      </w:r>
      <w:r w:rsidR="0043121A">
        <w:t xml:space="preserve"> dynamics</w:t>
      </w:r>
      <w:r w:rsidR="0090634F">
        <w:t>. To get an overview o</w:t>
      </w:r>
      <w:r w:rsidR="00EE68E6">
        <w:t>f</w:t>
      </w:r>
      <w:r w:rsidR="0090634F">
        <w:t xml:space="preserve"> previous </w:t>
      </w:r>
      <w:r w:rsidR="0043121A">
        <w:t>empirical findings</w:t>
      </w:r>
      <w:r w:rsidR="0090634F">
        <w:t>,</w:t>
      </w:r>
      <w:r w:rsidR="00F16680">
        <w:t xml:space="preserve"> </w:t>
      </w:r>
      <w:r w:rsidR="0090634F">
        <w:t>we review the main academic results from three different camps: the “pro-global”, the “pro-local”, and the agnostic camp</w:t>
      </w:r>
      <w:r w:rsidR="0043121A">
        <w:t xml:space="preserve"> and focus</w:t>
      </w:r>
      <w:r w:rsidR="00EE68E6">
        <w:t xml:space="preserve"> specifically on scholarship dealing with emerging markets</w:t>
      </w:r>
      <w:r w:rsidR="0043121A">
        <w:t xml:space="preserve"> CDS spreads</w:t>
      </w:r>
      <w:r w:rsidR="00EE68E6">
        <w:t>. This puts our results in perspective and</w:t>
      </w:r>
      <w:r w:rsidR="0090634F">
        <w:t xml:space="preserve"> demonstrate</w:t>
      </w:r>
      <w:r w:rsidR="00EE68E6">
        <w:t>s</w:t>
      </w:r>
      <w:r w:rsidR="0090634F">
        <w:t xml:space="preserve"> the practical use of our </w:t>
      </w:r>
      <w:r w:rsidR="00EE68E6">
        <w:t>method</w:t>
      </w:r>
      <w:r w:rsidR="0090634F">
        <w:t xml:space="preserve">. </w:t>
      </w:r>
    </w:p>
    <w:p w14:paraId="3B5B413B" w14:textId="4994A1E0" w:rsidR="00FD7049" w:rsidRPr="0043121A" w:rsidRDefault="00EE68E6" w:rsidP="00FD7049">
      <w:pPr>
        <w:pStyle w:val="Heading2"/>
      </w:pPr>
      <w:bookmarkStart w:id="5" w:name="_Toc52018924"/>
      <w:r>
        <w:t>Local risk factors</w:t>
      </w:r>
      <w:bookmarkEnd w:id="5"/>
    </w:p>
    <w:p w14:paraId="5F0B3F74" w14:textId="5AAE7344" w:rsidR="00FD7049" w:rsidRPr="00FD7049" w:rsidRDefault="0082424C" w:rsidP="0043121A">
      <w:r>
        <w:rPr>
          <w:rFonts w:cstheme="minorHAnsi"/>
        </w:rPr>
        <w:t xml:space="preserve">Using data for 2003 to 2012, </w:t>
      </w:r>
      <w:proofErr w:type="spellStart"/>
      <w:r>
        <w:rPr>
          <w:rFonts w:cstheme="minorHAnsi"/>
        </w:rPr>
        <w:t>E</w:t>
      </w:r>
      <w:r w:rsidR="00FD7049" w:rsidRPr="00FD7049">
        <w:rPr>
          <w:rFonts w:cstheme="minorHAnsi"/>
        </w:rPr>
        <w:t>r</w:t>
      </w:r>
      <w:r w:rsidR="00FD7049">
        <w:rPr>
          <w:rFonts w:cstheme="minorHAnsi"/>
        </w:rPr>
        <w:t>tugrul</w:t>
      </w:r>
      <w:proofErr w:type="spellEnd"/>
      <w:r w:rsidR="00FD7049">
        <w:rPr>
          <w:rFonts w:cstheme="minorHAnsi"/>
        </w:rPr>
        <w:t xml:space="preserve"> &amp; Ozturk (2014)</w:t>
      </w:r>
      <w:r w:rsidR="00FD7049" w:rsidRPr="00FD7049">
        <w:t xml:space="preserve"> investigate the relationship between CD</w:t>
      </w:r>
      <w:r w:rsidR="00FD7049">
        <w:t xml:space="preserve">S </w:t>
      </w:r>
      <w:r w:rsidR="00FD7049" w:rsidRPr="00FD7049">
        <w:t>spreads and financial market indicators belonging to bond, equity, and foreign exchange markets for selected</w:t>
      </w:r>
      <w:r w:rsidR="00376D53">
        <w:t xml:space="preserve"> EM </w:t>
      </w:r>
      <w:r w:rsidR="00FD7049" w:rsidRPr="00FD7049">
        <w:t xml:space="preserve">countries. Their results suggest that the CDS spreads have a cointegrating relationship with the remaining financial market indicators for the whole sample. Another finding that deserves particular attention is that in the long run, the CDS spread is negatively related with the CDS market uncertainties. They argue that this negative relationship indicates low liquidity in elevated uncertainty, which decreases CDS prices. The time-varying effects of each variable on the CDS spread are in line with the results obtained from the cointegration analyses. </w:t>
      </w:r>
    </w:p>
    <w:p w14:paraId="21AB3312" w14:textId="327E59BC" w:rsidR="00FD7049" w:rsidRDefault="00FD7049" w:rsidP="00FD7049">
      <w:pPr>
        <w:rPr>
          <w:rFonts w:ascii="inherit" w:hAnsi="inherit"/>
        </w:rPr>
      </w:pPr>
    </w:p>
    <w:p w14:paraId="06F0E343" w14:textId="68E3CBE2" w:rsidR="0082424C" w:rsidRPr="000A3EFC" w:rsidRDefault="0082424C" w:rsidP="00F670D6">
      <w:r w:rsidRPr="0082424C">
        <w:t>C</w:t>
      </w:r>
      <w:r>
        <w:t>overing the so-called taper-tantrum episode of 2013 and seven other episodes of severe EM</w:t>
      </w:r>
      <w:r w:rsidR="00376D53">
        <w:t xml:space="preserve"> </w:t>
      </w:r>
      <w:r>
        <w:t>wide financial stress since the mid-1990s</w:t>
      </w:r>
      <w:r w:rsidRPr="0082424C">
        <w:t xml:space="preserve">, Ahmed et </w:t>
      </w:r>
      <w:r>
        <w:t>al. (2017) assess the importance of economic fundamentals in the transmission of international shocks to financial markets</w:t>
      </w:r>
      <w:r w:rsidRPr="0082424C">
        <w:t xml:space="preserve"> in gener</w:t>
      </w:r>
      <w:r>
        <w:t xml:space="preserve">al </w:t>
      </w:r>
      <w:r w:rsidR="00376D53">
        <w:t>across</w:t>
      </w:r>
      <w:r>
        <w:t xml:space="preserve"> various </w:t>
      </w:r>
      <w:r w:rsidR="00376D53">
        <w:t>EM</w:t>
      </w:r>
      <w:r>
        <w:t xml:space="preserve"> economies</w:t>
      </w:r>
      <w:r w:rsidRPr="0082424C">
        <w:t xml:space="preserve">. </w:t>
      </w:r>
      <w:r>
        <w:t xml:space="preserve">Cross-country regressions lead </w:t>
      </w:r>
      <w:r w:rsidRPr="0082424C">
        <w:t>them</w:t>
      </w:r>
      <w:r>
        <w:t xml:space="preserve"> to the following results: 1) </w:t>
      </w:r>
      <w:r w:rsidRPr="0082424C">
        <w:t>EMs</w:t>
      </w:r>
      <w:r>
        <w:t xml:space="preserve"> with relatively better economic fundamentals suffered less deterioration in financial markets during the 2013 taper-tantrum episode. 2) Differentiation among </w:t>
      </w:r>
      <w:r w:rsidRPr="0082424C">
        <w:t>emerging markets</w:t>
      </w:r>
      <w:r>
        <w:t xml:space="preserve"> set in relatively early and persisted through this episode. 3) During the taper tantrum, while controlling for the </w:t>
      </w:r>
      <w:r w:rsidRPr="0082424C">
        <w:t>emerging markets’</w:t>
      </w:r>
      <w:r>
        <w:t xml:space="preserve"> economic fundamentals, financial conditions also deteriorated more in those </w:t>
      </w:r>
      <w:r w:rsidRPr="0082424C">
        <w:t>countries</w:t>
      </w:r>
      <w:r>
        <w:t xml:space="preserve"> that had earlier experienced larger private</w:t>
      </w:r>
      <w:r w:rsidRPr="0082424C">
        <w:rPr>
          <w:rStyle w:val="apple-converted-space"/>
          <w:rFonts w:ascii="Georgia" w:hAnsi="Georgia"/>
          <w:color w:val="2E2E2E"/>
          <w:sz w:val="27"/>
          <w:szCs w:val="27"/>
        </w:rPr>
        <w:t xml:space="preserve"> </w:t>
      </w:r>
      <w:r w:rsidRPr="0082424C">
        <w:rPr>
          <w:rFonts w:eastAsiaTheme="majorEastAsia"/>
        </w:rPr>
        <w:t>capital inflows</w:t>
      </w:r>
      <w:r w:rsidRPr="0082424C">
        <w:rPr>
          <w:rStyle w:val="apple-converted-space"/>
          <w:rFonts w:ascii="Georgia" w:hAnsi="Georgia"/>
          <w:color w:val="2E2E2E"/>
          <w:sz w:val="27"/>
          <w:szCs w:val="27"/>
        </w:rPr>
        <w:t xml:space="preserve"> </w:t>
      </w:r>
      <w:r>
        <w:t xml:space="preserve">and greater exchange rate appreciation. 4) During </w:t>
      </w:r>
      <w:r w:rsidRPr="0082424C">
        <w:t>emerging markets</w:t>
      </w:r>
      <w:r>
        <w:t xml:space="preserve"> crises of the 1990s and early 2000s, </w:t>
      </w:r>
      <w:r w:rsidRPr="0082424C">
        <w:t>they</w:t>
      </w:r>
      <w:r>
        <w:t xml:space="preserve"> find little evidence of investor differentiation across </w:t>
      </w:r>
      <w:r w:rsidRPr="0082424C">
        <w:t>emerging mar</w:t>
      </w:r>
      <w:r>
        <w:t xml:space="preserve">kets being explained by differences in their relative vulnerabilities. 5) However, differentiation across </w:t>
      </w:r>
      <w:r w:rsidR="00376D53">
        <w:t>EMs</w:t>
      </w:r>
      <w:r>
        <w:t xml:space="preserve"> based on fundamentals does not appear to be unique to the 2013 episode; it also occurred during the global financial crisis of 2008 and, subsequently, during financial stress episodes related to the European sovereign crisis in 2011 and China’s financial market stresses in 2015.</w:t>
      </w:r>
      <w:r w:rsidR="000A3EFC" w:rsidRPr="000A3EFC">
        <w:t xml:space="preserve"> </w:t>
      </w:r>
      <w:r w:rsidR="000A3EFC">
        <w:t xml:space="preserve">In summary, this paints the picture that global and regional factors play a different role at different times and may indeed be affecting individual countries differently. </w:t>
      </w:r>
    </w:p>
    <w:p w14:paraId="620C896B" w14:textId="77777777" w:rsidR="0082424C" w:rsidRDefault="0082424C" w:rsidP="0082424C"/>
    <w:p w14:paraId="240D6517" w14:textId="09CD0DD7" w:rsidR="00A21671" w:rsidRDefault="0082424C" w:rsidP="007272CF">
      <w:pPr>
        <w:rPr>
          <w:rFonts w:ascii="Times New Roman" w:hAnsi="Times New Roman"/>
        </w:rPr>
      </w:pPr>
      <w:r w:rsidRPr="0008399B">
        <w:rPr>
          <w:rFonts w:cstheme="minorHAnsi"/>
        </w:rPr>
        <w:lastRenderedPageBreak/>
        <w:t xml:space="preserve">Kocsis &amp; </w:t>
      </w:r>
      <w:proofErr w:type="spellStart"/>
      <w:r w:rsidRPr="0008399B">
        <w:rPr>
          <w:rFonts w:cstheme="minorHAnsi"/>
        </w:rPr>
        <w:t>Monostori</w:t>
      </w:r>
      <w:proofErr w:type="spellEnd"/>
      <w:r w:rsidRPr="0008399B">
        <w:rPr>
          <w:rFonts w:cstheme="minorHAnsi"/>
        </w:rPr>
        <w:t xml:space="preserve"> (2016)</w:t>
      </w:r>
      <w:r w:rsidRPr="0082424C">
        <w:rPr>
          <w:rFonts w:ascii="inherit" w:hAnsi="inherit"/>
        </w:rPr>
        <w:t xml:space="preserve"> </w:t>
      </w:r>
      <w:r w:rsidRPr="0082424C">
        <w:t xml:space="preserve">investigate the determinants of sovereign CDS spreads on a </w:t>
      </w:r>
      <w:r w:rsidR="00780E7C" w:rsidRPr="00780E7C">
        <w:t xml:space="preserve">sample of Poland, </w:t>
      </w:r>
      <w:r w:rsidR="00780E7C">
        <w:t>Russia and Turkey</w:t>
      </w:r>
      <w:r w:rsidRPr="0082424C">
        <w:t xml:space="preserve">. </w:t>
      </w:r>
      <w:r w:rsidR="00780E7C" w:rsidRPr="00780E7C">
        <w:t xml:space="preserve">They use a </w:t>
      </w:r>
      <w:r w:rsidRPr="0082424C">
        <w:t xml:space="preserve">dynamic hierarchical factor model to aggregate information in indicators of economic fundamentals. CDS spreads are </w:t>
      </w:r>
      <w:r w:rsidR="00780E7C" w:rsidRPr="00780E7C">
        <w:t xml:space="preserve">then </w:t>
      </w:r>
      <w:r w:rsidRPr="0082424C">
        <w:t xml:space="preserve">regressed on forecasts of factors. </w:t>
      </w:r>
      <w:r w:rsidR="00780E7C" w:rsidRPr="00780E7C">
        <w:t>They</w:t>
      </w:r>
      <w:r w:rsidRPr="0082424C">
        <w:t xml:space="preserve"> find that domestic fundamentals explain more of CDS spread variance than global factors, largely due to their ability to explain differences in sovereign risk across countries. The effects on CDS spreads are </w:t>
      </w:r>
      <w:r w:rsidR="000A3EFC" w:rsidRPr="000A3EFC">
        <w:t>aga</w:t>
      </w:r>
      <w:r w:rsidR="000A3EFC">
        <w:t xml:space="preserve">in </w:t>
      </w:r>
      <w:r w:rsidRPr="0082424C">
        <w:t xml:space="preserve">found to be </w:t>
      </w:r>
      <w:proofErr w:type="gramStart"/>
      <w:r w:rsidRPr="0082424C">
        <w:t>time-varying</w:t>
      </w:r>
      <w:proofErr w:type="gramEnd"/>
      <w:r w:rsidRPr="0082424C">
        <w:t>. In terms of economic significance, the factor of institutional-political strength stands out</w:t>
      </w:r>
      <w:r w:rsidR="00780E7C">
        <w:rPr>
          <w:rFonts w:ascii="Times New Roman" w:hAnsi="Times New Roman"/>
        </w:rPr>
        <w:t>.</w:t>
      </w:r>
    </w:p>
    <w:p w14:paraId="1A98AD80" w14:textId="77777777" w:rsidR="00AB115B" w:rsidRPr="00AB115B" w:rsidRDefault="00AB115B" w:rsidP="007272CF">
      <w:pPr>
        <w:rPr>
          <w:rFonts w:ascii="Times New Roman" w:hAnsi="Times New Roman"/>
        </w:rPr>
      </w:pPr>
    </w:p>
    <w:p w14:paraId="1B1C159A" w14:textId="504AE803" w:rsidR="00A21671" w:rsidRPr="00E24397" w:rsidRDefault="00A21671" w:rsidP="007272CF">
      <w:r>
        <w:t xml:space="preserve">On the theory side, </w:t>
      </w:r>
      <w:r w:rsidRPr="00E24397">
        <w:t>Bi (2012</w:t>
      </w:r>
      <w:r>
        <w:t>)</w:t>
      </w:r>
      <w:r w:rsidRPr="00E24397">
        <w:t xml:space="preserve"> develops a closed economy model to study the interactions among sovereign risk premia, fiscal limits, and fiscal policy. </w:t>
      </w:r>
      <w:r w:rsidRPr="00E24397">
        <w:t>The</w:t>
      </w:r>
      <w:r w:rsidRPr="00E24397">
        <w:t xml:space="preserve"> country-specific</w:t>
      </w:r>
      <w:r w:rsidRPr="00E24397">
        <w:t xml:space="preserve"> fiscal limits, which measure the government's ability to service its debt, arise endogenously from dynamic Laffer curves</w:t>
      </w:r>
      <w:r w:rsidRPr="00E24397">
        <w:t xml:space="preserve"> and</w:t>
      </w:r>
      <w:r w:rsidRPr="00E24397">
        <w:t xml:space="preserve"> imply that the market perceives the riskiness of sovereign debt issued by different countries to be different, which is consistent with the observation that developed countries are downgraded at different levels of debt. A nonlinear relationship between sovereign risk premia and the level of government debt emerges in equilibrium, which is in line with the empirical evidence that once risk premia begin to rise, they do so rapidly. Nonlinear simulations show that fiscal austerity measures that aim to balance the government budget in the short run fail to contain the default risk premium, even with sizeable cuts in government purchases</w:t>
      </w:r>
      <w:r w:rsidR="00762A5B">
        <w:t>. However,</w:t>
      </w:r>
      <w:r w:rsidRPr="00E24397">
        <w:t xml:space="preserve"> a long-term plan for fiscal reform, if it credibly changes the market's expectation about future fiscal policies, can alleviate the rising risk premium.</w:t>
      </w:r>
      <w:r>
        <w:t xml:space="preserve"> </w:t>
      </w:r>
    </w:p>
    <w:p w14:paraId="3EE6487B" w14:textId="042205CD" w:rsidR="0090634F" w:rsidRDefault="0090634F" w:rsidP="0090634F">
      <w:pPr>
        <w:pStyle w:val="Heading2"/>
      </w:pPr>
      <w:bookmarkStart w:id="6" w:name="_Toc52018925"/>
      <w:r>
        <w:t>Global risk factors</w:t>
      </w:r>
      <w:bookmarkEnd w:id="6"/>
    </w:p>
    <w:p w14:paraId="7916F1A8" w14:textId="7C0EDFFE" w:rsidR="0043121A" w:rsidRDefault="0090634F" w:rsidP="000A3EFC">
      <w:r w:rsidRPr="000A3EFC">
        <w:t xml:space="preserve">The importance of global risk factors in explaining sovereign CDS spreads is usually motivated by the observation that spreads from different countries tend to move in close lockstep over </w:t>
      </w:r>
      <w:r w:rsidR="00780E7C" w:rsidRPr="000A3EFC">
        <w:t>longer periods of time. While there are a number of papers pointing out exactly this observation, none of them have gained as much attention as the recent contribution by Hélène Rey with her notion of a “global financial cycle.” Rey argues that “</w:t>
      </w:r>
      <w:r w:rsidR="00780E7C" w:rsidRPr="000A3EFC">
        <w:rPr>
          <w:rStyle w:val="Emphasis"/>
          <w:i w:val="0"/>
          <w:iCs w:val="0"/>
        </w:rPr>
        <w:t xml:space="preserve">Risky asset prices around the globe, from stocks to corporate bonds, have a strong common component. So do capital flows … Global financial cycles are associated with surges and retrenchments in capital flows, booms and busts in asset prices and crises. The picture emerging is that of a world with powerful global financial cycles </w:t>
      </w:r>
      <w:r w:rsidR="00AE1A67" w:rsidRPr="000A3EFC">
        <w:rPr>
          <w:rStyle w:val="Emphasis"/>
          <w:i w:val="0"/>
          <w:iCs w:val="0"/>
        </w:rPr>
        <w:t>characterized</w:t>
      </w:r>
      <w:r w:rsidR="00780E7C" w:rsidRPr="000A3EFC">
        <w:rPr>
          <w:rStyle w:val="Emphasis"/>
          <w:i w:val="0"/>
          <w:iCs w:val="0"/>
        </w:rPr>
        <w:t xml:space="preserve"> by large common movements in asset prices, gross flows, and leverage … The global financial cycle can be related to monetary conditions in the center country and to changes in risk aversion and uncertainty … capital flows, especially credit flows, are largely driven by a global factor</w:t>
      </w:r>
      <w:proofErr w:type="gramStart"/>
      <w:r w:rsidR="00780E7C" w:rsidRPr="000A3EFC">
        <w:t>…“ (</w:t>
      </w:r>
      <w:proofErr w:type="gramEnd"/>
      <w:r w:rsidR="00780E7C" w:rsidRPr="000A3EFC">
        <w:t xml:space="preserve">Rey, 2013). There was a big hype around this </w:t>
      </w:r>
      <w:proofErr w:type="gramStart"/>
      <w:r w:rsidR="00780E7C" w:rsidRPr="000A3EFC">
        <w:t>theory</w:t>
      </w:r>
      <w:proofErr w:type="gramEnd"/>
      <w:r w:rsidR="00780E7C" w:rsidRPr="000A3EFC">
        <w:t xml:space="preserve"> but follow-up questions emerged soon</w:t>
      </w:r>
      <w:r w:rsidR="000A3EFC" w:rsidRPr="000A3EFC">
        <w:t xml:space="preserve">, especially in the context of </w:t>
      </w:r>
      <w:r w:rsidR="00780E7C" w:rsidRPr="000A3EFC">
        <w:t xml:space="preserve">the European sovereign debt crisis. </w:t>
      </w:r>
      <w:r w:rsidR="00AE1A67" w:rsidRPr="000A3EFC">
        <w:t>Were CDS spreads driven by a global factor during the Euro crisis or were country</w:t>
      </w:r>
      <w:r w:rsidR="00AE1A67">
        <w:t xml:space="preserve"> </w:t>
      </w:r>
      <w:r w:rsidR="00AE1A67" w:rsidRPr="000A3EFC">
        <w:t xml:space="preserve">specifics relevant? </w:t>
      </w:r>
      <w:r w:rsidR="00780E7C" w:rsidRPr="000A3EFC">
        <w:t>What is the center country?</w:t>
      </w:r>
      <w:r w:rsidR="00805495">
        <w:rPr>
          <w:rStyle w:val="FootnoteReference"/>
          <w:rFonts w:cstheme="minorHAnsi"/>
        </w:rPr>
        <w:footnoteReference w:id="1"/>
      </w:r>
      <w:r w:rsidR="00780E7C" w:rsidRPr="000A3EFC">
        <w:t xml:space="preserve"> What influences global aversion to risk and uncertainty? What about during the COVID-pandemic; Are different countries heterogeneously affected by global factors? </w:t>
      </w:r>
    </w:p>
    <w:p w14:paraId="629CB3EE" w14:textId="30AF932B" w:rsidR="00354FC8" w:rsidRDefault="00354FC8" w:rsidP="000A3EFC"/>
    <w:p w14:paraId="0CFD5F7E" w14:textId="61B4046A" w:rsidR="0008399B" w:rsidRDefault="00354FC8" w:rsidP="00DD46EE">
      <w:pPr>
        <w:rPr>
          <w:rFonts w:cstheme="minorHAnsi"/>
        </w:rPr>
      </w:pPr>
      <w:r w:rsidRPr="00354FC8">
        <w:rPr>
          <w:rFonts w:cstheme="minorHAnsi"/>
        </w:rPr>
        <w:t>The interest in the global financial cycle is not confined to Rey, however. For instance, Forbes &amp; Warnock (2012) analyz</w:t>
      </w:r>
      <w:r w:rsidR="00805495">
        <w:rPr>
          <w:rFonts w:cstheme="minorHAnsi"/>
        </w:rPr>
        <w:t>e</w:t>
      </w:r>
      <w:r w:rsidRPr="00354FC8">
        <w:rPr>
          <w:rFonts w:cstheme="minorHAnsi"/>
        </w:rPr>
        <w:t xml:space="preserve"> waves in international capital flows and develop a new methodology </w:t>
      </w:r>
      <w:r w:rsidRPr="00354FC8">
        <w:rPr>
          <w:rFonts w:cstheme="minorHAnsi"/>
        </w:rPr>
        <w:lastRenderedPageBreak/>
        <w:t xml:space="preserve">for identifying episodes of extreme capital flow movements using data that differentiates activity by foreigners and domestics. They identify episodes of </w:t>
      </w:r>
      <w:r>
        <w:rPr>
          <w:rFonts w:cstheme="minorHAnsi"/>
        </w:rPr>
        <w:t>“</w:t>
      </w:r>
      <w:r w:rsidRPr="00354FC8">
        <w:rPr>
          <w:rFonts w:cstheme="minorHAnsi"/>
        </w:rPr>
        <w:t>surges</w:t>
      </w:r>
      <w:r>
        <w:rPr>
          <w:rFonts w:cstheme="minorHAnsi"/>
        </w:rPr>
        <w:t>”</w:t>
      </w:r>
      <w:r w:rsidRPr="00354FC8">
        <w:rPr>
          <w:rFonts w:cstheme="minorHAnsi"/>
        </w:rPr>
        <w:t xml:space="preserve"> and </w:t>
      </w:r>
      <w:r>
        <w:rPr>
          <w:rFonts w:cstheme="minorHAnsi"/>
        </w:rPr>
        <w:t xml:space="preserve">“stops” </w:t>
      </w:r>
      <w:r w:rsidRPr="00354FC8">
        <w:rPr>
          <w:rFonts w:cstheme="minorHAnsi"/>
        </w:rPr>
        <w:t xml:space="preserve">(sharp increases and decreases, respectively, of gross inflows) and </w:t>
      </w:r>
      <w:r>
        <w:rPr>
          <w:rFonts w:cstheme="minorHAnsi"/>
        </w:rPr>
        <w:t>“</w:t>
      </w:r>
      <w:r w:rsidRPr="00354FC8">
        <w:rPr>
          <w:rFonts w:cstheme="minorHAnsi"/>
        </w:rPr>
        <w:t>flight</w:t>
      </w:r>
      <w:r>
        <w:rPr>
          <w:rFonts w:cstheme="minorHAnsi"/>
        </w:rPr>
        <w:t>”</w:t>
      </w:r>
      <w:r w:rsidRPr="00354FC8">
        <w:rPr>
          <w:rFonts w:cstheme="minorHAnsi"/>
        </w:rPr>
        <w:t xml:space="preserve"> and </w:t>
      </w:r>
      <w:r>
        <w:rPr>
          <w:rFonts w:cstheme="minorHAnsi"/>
        </w:rPr>
        <w:t>“</w:t>
      </w:r>
      <w:r w:rsidRPr="00354FC8">
        <w:rPr>
          <w:rFonts w:cstheme="minorHAnsi"/>
        </w:rPr>
        <w:t>retrenchment</w:t>
      </w:r>
      <w:r>
        <w:rPr>
          <w:rFonts w:cstheme="minorHAnsi"/>
        </w:rPr>
        <w:t>”</w:t>
      </w:r>
      <w:r w:rsidRPr="00354FC8">
        <w:rPr>
          <w:rFonts w:cstheme="minorHAnsi"/>
        </w:rPr>
        <w:t xml:space="preserve"> (sharp increases and decreases, respectively, of gross outflows). The</w:t>
      </w:r>
      <w:r>
        <w:rPr>
          <w:rFonts w:cstheme="minorHAnsi"/>
        </w:rPr>
        <w:t>ir</w:t>
      </w:r>
      <w:r w:rsidRPr="00354FC8">
        <w:rPr>
          <w:rFonts w:cstheme="minorHAnsi"/>
        </w:rPr>
        <w:t xml:space="preserve"> approach yields different results than the previous literature that used measures of net flows. Global factors, especially global risk, are significantly associated with extreme capital flow episodes and hence movement in CDS spreads. Contagion, whether through trade, banking, or geography, is also associated with stop and retrenchment episodes. Domestic macroeconomic characteristics are generally less important, and they find little association between capital controls and the probability of having surges or stops driven by foreign capital flows</w:t>
      </w:r>
      <w:r w:rsidR="00805495">
        <w:rPr>
          <w:rFonts w:cstheme="minorHAnsi"/>
        </w:rPr>
        <w:t>.</w:t>
      </w:r>
    </w:p>
    <w:p w14:paraId="521A3B23" w14:textId="77777777" w:rsidR="00AE1A67" w:rsidRPr="00805495" w:rsidRDefault="00AE1A67" w:rsidP="00DD46EE">
      <w:pPr>
        <w:rPr>
          <w:rFonts w:cstheme="minorHAnsi"/>
        </w:rPr>
      </w:pPr>
    </w:p>
    <w:p w14:paraId="628BB04F" w14:textId="52D5D8EC" w:rsidR="00BA4999" w:rsidRDefault="00780E7C" w:rsidP="00DD46EE">
      <w:r>
        <w:t>Taking a slightly softer stance than Rey</w:t>
      </w:r>
      <w:r w:rsidR="00354FC8">
        <w:t xml:space="preserve"> and Forbes &amp; Warnock</w:t>
      </w:r>
      <w:r>
        <w:t xml:space="preserve">, </w:t>
      </w:r>
      <w:r w:rsidR="00BA4999" w:rsidRPr="00780E7C">
        <w:t xml:space="preserve">Fender et al. (2012) study the determinants of daily spreads for EM sovereign CDS over the period April </w:t>
      </w:r>
      <w:r w:rsidR="00BA4999" w:rsidRPr="00EE68E6">
        <w:t>2002</w:t>
      </w:r>
      <w:r w:rsidR="00805495">
        <w:t xml:space="preserve"> to </w:t>
      </w:r>
      <w:r w:rsidR="00BA4999" w:rsidRPr="00EE68E6">
        <w:t xml:space="preserve">December 2011. Using GARCH models, </w:t>
      </w:r>
      <w:r w:rsidR="00BA4999" w:rsidRPr="00780E7C">
        <w:t>they</w:t>
      </w:r>
      <w:r w:rsidR="00BA4999" w:rsidRPr="00EE68E6">
        <w:t xml:space="preserve"> find</w:t>
      </w:r>
      <w:r w:rsidR="00BA4999" w:rsidRPr="00780E7C">
        <w:t xml:space="preserve"> </w:t>
      </w:r>
      <w:r w:rsidR="00BA4999" w:rsidRPr="00EE68E6">
        <w:t xml:space="preserve">that daily CDS spreads for emerging market sovereigns are more related to global and regional risk premia than to country-specific risk factors. This result is particularly evident during the second subsample (August 2007–December 2011), where neither macroeconomic variables nor country ratings significantly explain CDS spread changes. Second, measures of US bond, equity, and CDX High Yield returns, as well as emerging market credit returns, are the most dominant drivers of CDS spread changes. Finally, </w:t>
      </w:r>
      <w:r w:rsidR="00BA4999" w:rsidRPr="00780E7C">
        <w:t>their</w:t>
      </w:r>
      <w:r w:rsidR="00BA4999" w:rsidRPr="00EE68E6">
        <w:t xml:space="preserve"> analysis suggests that CDS spreads are more strongly influenced by international spillover effects during periods of market stress than during normal times</w:t>
      </w:r>
      <w:r w:rsidR="000A3EFC">
        <w:t>, thus leaving some room for country-specific factors.</w:t>
      </w:r>
    </w:p>
    <w:p w14:paraId="3D64C6BA" w14:textId="72EC50F3" w:rsidR="007272CF" w:rsidRDefault="00C52D9E" w:rsidP="00C52D9E">
      <w:pPr>
        <w:pStyle w:val="Heading2"/>
      </w:pPr>
      <w:bookmarkStart w:id="7" w:name="_Toc52018926"/>
      <w:r>
        <w:t>Global and local risk factors</w:t>
      </w:r>
      <w:bookmarkEnd w:id="7"/>
    </w:p>
    <w:p w14:paraId="37197812" w14:textId="605E60C2" w:rsidR="005F37DC" w:rsidRDefault="00780E7C" w:rsidP="005F37DC">
      <w:r w:rsidRPr="009606D9">
        <w:t xml:space="preserve">While scholarship in the “pro-global” and “pro-local” camps </w:t>
      </w:r>
      <w:r w:rsidR="009606D9" w:rsidRPr="009606D9">
        <w:t xml:space="preserve">generally </w:t>
      </w:r>
      <w:r w:rsidRPr="009606D9">
        <w:t>acknowledge each other’s points</w:t>
      </w:r>
      <w:r w:rsidR="009606D9" w:rsidRPr="009606D9">
        <w:t>, it does so in a more</w:t>
      </w:r>
      <w:r w:rsidRPr="009606D9">
        <w:t xml:space="preserve"> or less </w:t>
      </w:r>
      <w:r w:rsidR="009606D9" w:rsidRPr="009606D9">
        <w:t xml:space="preserve">casual way. However, based on the intuition that financial asset prices are driven by both country-specific fundamentals as well as investor’s appetite for risk, </w:t>
      </w:r>
      <w:proofErr w:type="spellStart"/>
      <w:r w:rsidR="009606D9" w:rsidRPr="009606D9">
        <w:t>Remolona</w:t>
      </w:r>
      <w:proofErr w:type="spellEnd"/>
      <w:r w:rsidR="009606D9" w:rsidRPr="009606D9">
        <w:t xml:space="preserve"> et al. (2008) decompose monthly 5-year emerging market sovereign CDS spreads over the period 2002 to </w:t>
      </w:r>
      <w:r w:rsidR="00CB594F">
        <w:t>m</w:t>
      </w:r>
      <w:r w:rsidR="009606D9" w:rsidRPr="009606D9">
        <w:t xml:space="preserve">id 2006 into a market-based measure of expected loss and a risk premium. They analyze how each of these two elements is linked to measures of country-specific risk and measure of global risk aversion/risk appetite. Fundamental variables include inflation, industrial production, GDP growth consensus forecasts, and foreign exchange reserves. Proxies for global risk aversion are taken as the </w:t>
      </w:r>
      <w:proofErr w:type="spellStart"/>
      <w:r w:rsidR="009606D9" w:rsidRPr="009606D9">
        <w:t>Tsatsaronis</w:t>
      </w:r>
      <w:proofErr w:type="spellEnd"/>
      <w:r w:rsidR="007052DC">
        <w:t xml:space="preserve"> &amp;</w:t>
      </w:r>
      <w:r w:rsidR="009606D9" w:rsidRPr="009606D9">
        <w:t xml:space="preserve"> </w:t>
      </w:r>
      <w:proofErr w:type="spellStart"/>
      <w:r w:rsidR="009606D9" w:rsidRPr="009606D9">
        <w:t>Karamptatos</w:t>
      </w:r>
      <w:proofErr w:type="spellEnd"/>
      <w:r w:rsidR="009606D9" w:rsidRPr="009606D9">
        <w:t xml:space="preserve"> (2003) effective risk appetite indicator, the VIX and a Risk Tolerance Index by JP Morgan Chase. They find empirical evidence that global risk aversion is the dominant determinant of sovereign risk premium, while country-specific fundamentals and market liquidity matter more for sovereign risk. Both components thus behave differently. </w:t>
      </w:r>
    </w:p>
    <w:p w14:paraId="04404D02" w14:textId="77777777" w:rsidR="0008399B" w:rsidRPr="005F37DC" w:rsidRDefault="0008399B" w:rsidP="005F37DC"/>
    <w:p w14:paraId="1E3487CC" w14:textId="6ADD5D28" w:rsidR="0008399B" w:rsidRDefault="005F37DC" w:rsidP="007052DC">
      <w:proofErr w:type="spellStart"/>
      <w:r w:rsidRPr="005F37DC">
        <w:t>Ismailescu</w:t>
      </w:r>
      <w:proofErr w:type="spellEnd"/>
      <w:r w:rsidRPr="005F37DC">
        <w:t xml:space="preserve"> &amp; </w:t>
      </w:r>
      <w:proofErr w:type="spellStart"/>
      <w:r w:rsidRPr="005F37DC">
        <w:t>Kazemi</w:t>
      </w:r>
      <w:proofErr w:type="spellEnd"/>
      <w:r w:rsidRPr="005F37DC">
        <w:t xml:space="preserve"> (2010) examine the effect of sovereign credit rating change announcements—which have to do with country-specific factors more than with global factors—on the CDS spreads of the event countries, and their spillover effects on other emerging economies’ CDS premiums between 2001 and 2009. They find that positive events have a greater impact on CDS markets in the two-day period surrounding the </w:t>
      </w:r>
      <w:proofErr w:type="gramStart"/>
      <w:r w:rsidRPr="005F37DC">
        <w:t>event, and</w:t>
      </w:r>
      <w:proofErr w:type="gramEnd"/>
      <w:r w:rsidRPr="005F37DC">
        <w:t xml:space="preserve"> are more likely to spill over to other emerging countries. Alternatively, CDS markets anticipate negative events, and previous changes in CDS premiums can be used to estimate the probability </w:t>
      </w:r>
      <w:r w:rsidRPr="005F37DC">
        <w:lastRenderedPageBreak/>
        <w:t xml:space="preserve">of a negative credit event. The transmission mechanisms for positive events are the common creditor and competition in trade markets. </w:t>
      </w:r>
    </w:p>
    <w:p w14:paraId="0ABF1CF4" w14:textId="77777777" w:rsidR="00E4358B" w:rsidRDefault="00E4358B" w:rsidP="007052DC">
      <w:pPr>
        <w:rPr>
          <w:rFonts w:ascii="Georgia" w:hAnsi="Georgia"/>
          <w:color w:val="2E2E2E"/>
          <w:sz w:val="27"/>
          <w:szCs w:val="27"/>
        </w:rPr>
      </w:pPr>
    </w:p>
    <w:p w14:paraId="5E0A87EE" w14:textId="18D30FBB" w:rsidR="00A416B0" w:rsidRPr="00A416B0" w:rsidRDefault="00E4358B" w:rsidP="00A416B0">
      <w:r w:rsidRPr="00A416B0">
        <w:t xml:space="preserve">By examining the heterogeneity in the sensitivity of CDS spreads to changes in the global risk factor, </w:t>
      </w:r>
      <w:proofErr w:type="spellStart"/>
      <w:r w:rsidRPr="00A416B0">
        <w:t>Cepni</w:t>
      </w:r>
      <w:proofErr w:type="spellEnd"/>
      <w:r w:rsidRPr="00A416B0">
        <w:t xml:space="preserve"> et al. (2017) look at the global vs local debate through a different lens. </w:t>
      </w:r>
      <w:r w:rsidR="00A416B0">
        <w:t>Their</w:t>
      </w:r>
      <w:r w:rsidR="00A416B0" w:rsidRPr="00A416B0">
        <w:t xml:space="preserve"> fixed effects panel regressions identify</w:t>
      </w:r>
      <w:r w:rsidR="00A416B0" w:rsidRPr="00A416B0">
        <w:t xml:space="preserve"> that countries with lower government debt and higher reserves tend to be less subject to the variations in the global risk appetite. That is, they do not argue that only global or local factors matter but instead identify which local variables </w:t>
      </w:r>
      <w:r w:rsidR="00762A5B">
        <w:t>determine</w:t>
      </w:r>
      <w:r w:rsidR="00A416B0" w:rsidRPr="00A416B0">
        <w:t xml:space="preserve"> a country’s dependence on the global risk factor. </w:t>
      </w:r>
    </w:p>
    <w:p w14:paraId="6015FFD9" w14:textId="470522A4" w:rsidR="00AB115B" w:rsidRDefault="00AB115B" w:rsidP="007052DC"/>
    <w:p w14:paraId="2B0EBC41" w14:textId="12018CD3" w:rsidR="00AB115B" w:rsidRDefault="00AB115B" w:rsidP="007052DC">
      <w:proofErr w:type="spellStart"/>
      <w:r w:rsidRPr="00E24397">
        <w:t>Costatini</w:t>
      </w:r>
      <w:proofErr w:type="spellEnd"/>
      <w:r w:rsidRPr="00E24397">
        <w:t xml:space="preserve"> et al. (2014) </w:t>
      </w:r>
      <w:r>
        <w:t>take a</w:t>
      </w:r>
      <w:r w:rsidRPr="00E24397">
        <w:t xml:space="preserve"> panel cointegration approach that allows for structural breaks to the analysis of the determinants of sovereign bond spreads in </w:t>
      </w:r>
      <w:r>
        <w:t xml:space="preserve">countries </w:t>
      </w:r>
      <w:r w:rsidRPr="00E24397">
        <w:t xml:space="preserve">of the European Monetary Union. </w:t>
      </w:r>
      <w:r>
        <w:t>They</w:t>
      </w:r>
      <w:r w:rsidRPr="00E24397">
        <w:t xml:space="preserve"> </w:t>
      </w:r>
      <w:r w:rsidRPr="00E24397">
        <w:t xml:space="preserve">find evidence for a level break in the cointegrating relationship. Moreover, </w:t>
      </w:r>
      <w:r>
        <w:t xml:space="preserve">their </w:t>
      </w:r>
      <w:r w:rsidRPr="00E24397">
        <w:t xml:space="preserve">results show that </w:t>
      </w:r>
      <w:r>
        <w:t>1</w:t>
      </w:r>
      <w:r w:rsidRPr="00E24397">
        <w:t>) fiscal imbalances</w:t>
      </w:r>
      <w:r>
        <w:t xml:space="preserve">, specifically </w:t>
      </w:r>
      <w:r w:rsidRPr="00E24397">
        <w:t>expected government debt-to-GDP differentials</w:t>
      </w:r>
      <w:r>
        <w:t xml:space="preserve">, </w:t>
      </w:r>
      <w:r w:rsidRPr="00E24397">
        <w:t xml:space="preserve">are the main long-run drivers of sovereign spreads; </w:t>
      </w:r>
      <w:r>
        <w:t>2</w:t>
      </w:r>
      <w:r w:rsidRPr="00E24397">
        <w:t xml:space="preserve">) liquidity risks and cumulated inflation differentials have non-negligible weights; but </w:t>
      </w:r>
      <w:r>
        <w:t>3</w:t>
      </w:r>
      <w:r w:rsidRPr="00E24397">
        <w:t>) all conclusions are ultimately connected to whether or not the sample of countries is composed of members of an Optimal Currency Area</w:t>
      </w:r>
      <w:r>
        <w:t xml:space="preserve"> (OCA)</w:t>
      </w:r>
      <w:r w:rsidRPr="00E24397">
        <w:t xml:space="preserve">. In particular, </w:t>
      </w:r>
      <w:r w:rsidR="000176EC">
        <w:t>they</w:t>
      </w:r>
      <w:r w:rsidR="000176EC" w:rsidRPr="00E24397">
        <w:t xml:space="preserve"> </w:t>
      </w:r>
      <w:r w:rsidRPr="00E24397">
        <w:t>establish that results are overall driven by those countries not passing the OCA test</w:t>
      </w:r>
      <w:r>
        <w:t xml:space="preserve"> and</w:t>
      </w:r>
      <w:r w:rsidRPr="00E24397">
        <w:t xml:space="preserve"> that investors closely monitor and severely punish the deterioration of expected debt positions of those economies exhibiting significant gaps in competitiveness.</w:t>
      </w:r>
      <w:r>
        <w:t xml:space="preserve"> This indicates </w:t>
      </w:r>
      <w:r w:rsidR="00E4358B">
        <w:t>that</w:t>
      </w:r>
      <w:r>
        <w:t xml:space="preserve"> country-specific as well as </w:t>
      </w:r>
      <w:r w:rsidR="00E4358B">
        <w:t>currency-area-wide factors</w:t>
      </w:r>
      <w:r>
        <w:t xml:space="preserve"> </w:t>
      </w:r>
      <w:r w:rsidR="00E4358B">
        <w:t>determine</w:t>
      </w:r>
      <w:r>
        <w:t xml:space="preserve"> sovereign risk pricing</w:t>
      </w:r>
      <w:r w:rsidR="00E4358B">
        <w:t xml:space="preserve"> of individual countries.</w:t>
      </w:r>
    </w:p>
    <w:p w14:paraId="6173FB82" w14:textId="77777777" w:rsidR="004B7DE8" w:rsidRDefault="004B7DE8" w:rsidP="007052DC"/>
    <w:p w14:paraId="4BED65D2" w14:textId="604A53EB" w:rsidR="00ED0ED9" w:rsidRDefault="009606D9" w:rsidP="007052DC">
      <w:r w:rsidRPr="005F37DC">
        <w:t xml:space="preserve">Finally, </w:t>
      </w:r>
      <w:proofErr w:type="spellStart"/>
      <w:r w:rsidRPr="005F37DC">
        <w:t>Aizenman</w:t>
      </w:r>
      <w:proofErr w:type="spellEnd"/>
      <w:r w:rsidRPr="005F37DC">
        <w:t xml:space="preserve"> et al. (2013) study the relationship between 5-year sovereign CDS spreads and fiscal space using the deficit-to-tax and public debt-to-tax ratios for 60 countries over the period 2005 to 2010, but they focus their analysis on the GIIPS countries. They confirm the importance of fiscal space in explaining sovereign spreads. Quantitatively, their results indicate that a 1 percentage point rise in the debt-to-tax ratio increases 5-year spreads by between 15 and 81 basis points, while a 1 percentage point rise in the fiscal balance to tax ratio predicts a decrease in spreads by 194 to 829 basis points.</w:t>
      </w:r>
    </w:p>
    <w:p w14:paraId="67BAE13F" w14:textId="7A1ACE90" w:rsidR="00ED0ED9" w:rsidRDefault="00407C92" w:rsidP="00407C92">
      <w:pPr>
        <w:pStyle w:val="Heading2"/>
      </w:pPr>
      <w:bookmarkStart w:id="8" w:name="_Toc52018927"/>
      <w:r w:rsidRPr="00407C92">
        <w:t>How this paper fits in the literature</w:t>
      </w:r>
      <w:bookmarkEnd w:id="8"/>
    </w:p>
    <w:p w14:paraId="7E6F5C17" w14:textId="36E3CD32" w:rsidR="00727DEF" w:rsidRPr="002A2C95" w:rsidRDefault="00ED0ED9" w:rsidP="002A2C95">
      <w:r w:rsidRPr="00ED0ED9">
        <w:t>In summary, there is an active debate on whether the “global financial cycle” is a more important factor for (</w:t>
      </w:r>
      <w:r w:rsidR="007052DC">
        <w:t>EM</w:t>
      </w:r>
      <w:r w:rsidRPr="00ED0ED9">
        <w:t xml:space="preserve">) CDS spreads or whether country-specific factors such as fiscal space and financial integration are the main drivers behind CDS spread variation across countries. The truth probably lies somewhere between </w:t>
      </w:r>
      <w:r w:rsidR="0020563B">
        <w:t>the</w:t>
      </w:r>
      <w:r w:rsidRPr="00ED0ED9">
        <w:t xml:space="preserve"> two </w:t>
      </w:r>
      <w:r w:rsidR="000A3EFC">
        <w:t xml:space="preserve">extreme </w:t>
      </w:r>
      <w:r w:rsidRPr="00ED0ED9">
        <w:t>poles</w:t>
      </w:r>
      <w:r w:rsidR="0020563B">
        <w:t>, which is why we do not rule out either explanation from the get-go.</w:t>
      </w:r>
      <w:r w:rsidRPr="00ED0ED9">
        <w:t xml:space="preserve"> </w:t>
      </w:r>
      <w:r w:rsidR="0020563B">
        <w:t>Instead,</w:t>
      </w:r>
      <w:r w:rsidRPr="00ED0ED9">
        <w:t xml:space="preserve"> our paper addresses two main issues. On </w:t>
      </w:r>
      <w:r w:rsidR="007052DC">
        <w:t xml:space="preserve">the </w:t>
      </w:r>
      <w:r w:rsidRPr="00ED0ED9">
        <w:t xml:space="preserve">one hand, we intend to contribute to the ongoing discussion in the literature that assesses the relative importance of global and country-specific factors in explaining </w:t>
      </w:r>
      <w:r w:rsidR="003A0ECB" w:rsidRPr="00ED0ED9">
        <w:t>emerging</w:t>
      </w:r>
      <w:r w:rsidRPr="00ED0ED9">
        <w:t xml:space="preserve"> market sovereign </w:t>
      </w:r>
      <w:r w:rsidR="0020563B" w:rsidRPr="0020563B">
        <w:t xml:space="preserve">CDS </w:t>
      </w:r>
      <w:r w:rsidRPr="00ED0ED9">
        <w:t xml:space="preserve">spreads. On the other hand, </w:t>
      </w:r>
      <w:r w:rsidR="00407C92" w:rsidRPr="00407C92">
        <w:t>we make use of the previous finding that country-specific factors matter particularly in times of crisis. Thus</w:t>
      </w:r>
      <w:r w:rsidRPr="00407C92">
        <w:t xml:space="preserve">, we focus on the COVID period and try to differentiate between country-specific exposure to the oil price crash, </w:t>
      </w:r>
      <w:r w:rsidR="0020563B" w:rsidRPr="00407C92">
        <w:t xml:space="preserve">to the </w:t>
      </w:r>
      <w:r w:rsidRPr="00407C92">
        <w:t xml:space="preserve">severity of COVID eruption, and </w:t>
      </w:r>
      <w:r w:rsidR="0020563B" w:rsidRPr="00407C92">
        <w:t xml:space="preserve">to the </w:t>
      </w:r>
      <w:r w:rsidRPr="00407C92">
        <w:t xml:space="preserve">economic standing at the outset of the crisis. </w:t>
      </w:r>
      <w:r w:rsidR="00407C92" w:rsidRPr="00407C92">
        <w:t xml:space="preserve">Our key innovation is the use of a two-stage econometric approach in which we use a heterogenous factor model which aggregates the information in our wide set of noisy fundamental variables. The model assumes that country fundamental factors are determined partly by global factors common to </w:t>
      </w:r>
      <w:r w:rsidR="00407C92" w:rsidRPr="00407C92">
        <w:lastRenderedPageBreak/>
        <w:t xml:space="preserve">all emerging countries but also by regional factors common to regional clusters of emerging markets and partly by components particular to the given country. </w:t>
      </w:r>
      <w:r w:rsidR="004B7DE8">
        <w:t>Contrary to some recent scholarship in the field, we base the global factor not only on the US but on advanced economies more generally. That is, we model the global factor as being based on the US, the Eurozone and Japan. In the first stage, w</w:t>
      </w:r>
      <w:r w:rsidR="00407C92">
        <w:t xml:space="preserve">e regress </w:t>
      </w:r>
      <w:r w:rsidR="00407C92" w:rsidRPr="00407C92">
        <w:t xml:space="preserve">daily </w:t>
      </w:r>
      <w:r w:rsidR="00407C92">
        <w:t>CDS spreads</w:t>
      </w:r>
      <w:r w:rsidR="00407C92" w:rsidRPr="00407C92">
        <w:t xml:space="preserve"> changes on</w:t>
      </w:r>
      <w:r w:rsidR="00407C92">
        <w:t xml:space="preserve"> the changes of the previous day as well as changes in the regional CDS spreads and in the global CDS spreads instead of directly using fundamental variables in regressions, which is the typical mainstream approach. We argue that our technique helps circumvent </w:t>
      </w:r>
      <w:r w:rsidR="00407C92" w:rsidRPr="00407C92">
        <w:t>some of the</w:t>
      </w:r>
      <w:r w:rsidR="00407C92">
        <w:t xml:space="preserve"> problems that arise in the analysis </w:t>
      </w:r>
      <w:r w:rsidR="00407C92" w:rsidRPr="00407C92">
        <w:t>CDS spreads</w:t>
      </w:r>
      <w:r w:rsidR="00E40E33">
        <w:t xml:space="preserve"> and its regional or global determinant</w:t>
      </w:r>
      <w:r w:rsidR="00254381">
        <w:t>. For example, our factor model offers a solution to two common problems that arise when including all possible determinants of sovereign CDS spreads. One problem is that by including all possible variables, there may be collinearity problems so that regression results become unstable. Another problem is that reducing the number</w:t>
      </w:r>
      <w:r w:rsidR="004B7DE8">
        <w:t xml:space="preserve"> of</w:t>
      </w:r>
      <w:r w:rsidR="00254381">
        <w:t xml:space="preserve"> explanatory variables to avoid multicollinearity inherently asks for the researchers’ judgments on what variables to exclude and may lead to bias of omission. A factor model alleviates these difficulties by reducing the dimensionality of the data while still retaining much of the information content of the data. Secondly, by using a factor model in the first</w:t>
      </w:r>
      <w:r w:rsidR="00A26E23">
        <w:t xml:space="preserve"> </w:t>
      </w:r>
      <w:r w:rsidR="00254381">
        <w:t xml:space="preserve">stage of our econometric approach, we can partly side-step data-related problems such as mixed data periodicities, lags in data publication, and data unavailability, which </w:t>
      </w:r>
      <w:r w:rsidR="00A26E23">
        <w:t>are</w:t>
      </w:r>
      <w:r w:rsidR="00254381">
        <w:t xml:space="preserve"> particularly </w:t>
      </w:r>
      <w:r w:rsidR="004B7DE8">
        <w:t>pressing issues</w:t>
      </w:r>
      <w:r w:rsidR="00254381">
        <w:t xml:space="preserve"> when focusing on emerging markets. </w:t>
      </w:r>
      <w:r w:rsidR="001433EB">
        <w:t xml:space="preserve">While our second-stage regressions do make use of fundamental variables, we acknowledge that there are two difficulties attached to this procedure: First, Kocsis &amp; </w:t>
      </w:r>
      <w:proofErr w:type="spellStart"/>
      <w:r w:rsidR="001433EB">
        <w:t>Monostori</w:t>
      </w:r>
      <w:proofErr w:type="spellEnd"/>
      <w:r w:rsidR="001433EB">
        <w:t xml:space="preserve"> (2016) criticize that most</w:t>
      </w:r>
      <w:r w:rsidR="001433EB" w:rsidRPr="001433EB">
        <w:t xml:space="preserve"> </w:t>
      </w:r>
      <w:r w:rsidR="00254381" w:rsidRPr="00254381">
        <w:t xml:space="preserve">macroeconomic variables are reported with a publication lag and are thus not available at the time of CDS spread quotes. </w:t>
      </w:r>
      <w:r w:rsidR="001433EB" w:rsidRPr="001433EB">
        <w:t>Second</w:t>
      </w:r>
      <w:r w:rsidR="00254381" w:rsidRPr="00254381">
        <w:t xml:space="preserve">, it </w:t>
      </w:r>
      <w:r w:rsidR="001433EB" w:rsidRPr="001433EB">
        <w:t>should be</w:t>
      </w:r>
      <w:r w:rsidR="00254381" w:rsidRPr="00254381">
        <w:t xml:space="preserve"> the expectation of future fundamentals and not contemporary fundamentals that should affect CDS spreads, because CDS spreads price the future probability of sovereign default and are therefore forward-looking in nature. </w:t>
      </w:r>
      <w:r w:rsidR="001433EB" w:rsidRPr="001433EB">
        <w:t>Thus, ideally, we would us</w:t>
      </w:r>
      <w:r w:rsidR="001433EB">
        <w:t xml:space="preserve">e forecasted explanatory variables. While this may make sense for explanatory variables form the economic realm (GDP, debt levels, etc.) it is impossible to make predictions about our core explanatory variables which are supposed to capture the exposure of countries to COVID. </w:t>
      </w:r>
    </w:p>
    <w:p w14:paraId="24370869" w14:textId="01D71FCD" w:rsidR="00BE75E4" w:rsidRDefault="006E5860" w:rsidP="001433EB">
      <w:pPr>
        <w:pStyle w:val="Heading1"/>
      </w:pPr>
      <w:bookmarkStart w:id="9" w:name="_Toc52018928"/>
      <w:r>
        <w:t xml:space="preserve">Emerging markets </w:t>
      </w:r>
      <w:r w:rsidR="002A2C95">
        <w:t>and</w:t>
      </w:r>
      <w:r>
        <w:t xml:space="preserve"> COVID-19</w:t>
      </w:r>
      <w:bookmarkEnd w:id="9"/>
    </w:p>
    <w:p w14:paraId="6ED4F606" w14:textId="07CE57A5" w:rsidR="006E5860" w:rsidRPr="006E5860" w:rsidRDefault="006E5860" w:rsidP="006E5860">
      <w:pPr>
        <w:pStyle w:val="Heading2"/>
      </w:pPr>
      <w:bookmarkStart w:id="10" w:name="_Toc52018929"/>
      <w:r>
        <w:t>Mortality patterns across EM</w:t>
      </w:r>
      <w:bookmarkEnd w:id="10"/>
    </w:p>
    <w:p w14:paraId="77D85529" w14:textId="7807C05D" w:rsidR="00D44CC6" w:rsidRDefault="005F07E2" w:rsidP="00712F79">
      <w:r>
        <w:t xml:space="preserve">The </w:t>
      </w:r>
      <w:r w:rsidR="00504CFF" w:rsidRPr="009D0FDD">
        <w:t xml:space="preserve">COVID-19 </w:t>
      </w:r>
      <w:r>
        <w:t>pandemic</w:t>
      </w:r>
      <w:r w:rsidR="00860B19">
        <w:t xml:space="preserve"> hit </w:t>
      </w:r>
      <w:r w:rsidR="00D76916" w:rsidRPr="009D0FDD">
        <w:t xml:space="preserve">the entirety of the emerging and developing market countries. However, mortality dynamics </w:t>
      </w:r>
      <w:r w:rsidR="00D44CC6">
        <w:t>were heterogenous, both between developed and emerging markets and within emerging markets.</w:t>
      </w:r>
      <w:r w:rsidR="00D76916" w:rsidRPr="009D0FDD">
        <w:t xml:space="preserve"> </w:t>
      </w:r>
      <w:r w:rsidR="00D76916" w:rsidRPr="009D0FDD">
        <w:fldChar w:fldCharType="begin"/>
      </w:r>
      <w:r w:rsidR="00D76916" w:rsidRPr="009D0FDD">
        <w:instrText xml:space="preserve"> REF _Ref50706153 \h </w:instrText>
      </w:r>
      <w:r w:rsidR="00D76916" w:rsidRPr="009D0FDD">
        <w:fldChar w:fldCharType="separate"/>
      </w:r>
      <w:r w:rsidR="00F03B5A" w:rsidRPr="009D0FDD">
        <w:t xml:space="preserve">Figure </w:t>
      </w:r>
      <w:r w:rsidR="00F03B5A">
        <w:rPr>
          <w:noProof/>
        </w:rPr>
        <w:t>3</w:t>
      </w:r>
      <w:r w:rsidR="00D76916" w:rsidRPr="009D0FDD">
        <w:fldChar w:fldCharType="end"/>
      </w:r>
      <w:r w:rsidR="00D76916" w:rsidRPr="009D0FDD">
        <w:t xml:space="preserve"> and </w:t>
      </w:r>
      <w:r w:rsidR="00D76916" w:rsidRPr="009D0FDD">
        <w:fldChar w:fldCharType="begin"/>
      </w:r>
      <w:r w:rsidR="00D76916" w:rsidRPr="009D0FDD">
        <w:instrText xml:space="preserve"> REF _Ref50706167 \h </w:instrText>
      </w:r>
      <w:r w:rsidR="00D76916" w:rsidRPr="009D0FDD">
        <w:fldChar w:fldCharType="separate"/>
      </w:r>
      <w:r w:rsidR="00F03B5A" w:rsidRPr="009D0FDD">
        <w:t xml:space="preserve">Figure </w:t>
      </w:r>
      <w:r w:rsidR="00F03B5A">
        <w:rPr>
          <w:noProof/>
        </w:rPr>
        <w:t>4</w:t>
      </w:r>
      <w:r w:rsidR="00D76916" w:rsidRPr="009D0FDD">
        <w:fldChar w:fldCharType="end"/>
      </w:r>
      <w:r w:rsidR="00D76916" w:rsidRPr="009D0FDD">
        <w:t xml:space="preserve"> illustrate the discrepancies in mortality per capita and deaths per million residents across emerging markets. </w:t>
      </w:r>
    </w:p>
    <w:p w14:paraId="2E1E6603" w14:textId="7FE892E2" w:rsidR="00504CFF" w:rsidRDefault="00DC353E" w:rsidP="00504CFF">
      <w:r w:rsidRPr="009D0FDD">
        <w:t>As per the end of April 2020, Peru, Brazil, Panama, Romania and Turkey were among the emerging market</w:t>
      </w:r>
      <w:r w:rsidR="00134A40">
        <w:t xml:space="preserve"> countries</w:t>
      </w:r>
      <w:r w:rsidRPr="009D0FDD">
        <w:t xml:space="preserve"> with the highest mortality rates whereas Bahrain, Qatar, Sri Lanka, China, and Thailand were at the lower end</w:t>
      </w:r>
      <w:r w:rsidR="00134A40">
        <w:t>. A similar picture emerges for the total deaths per million inhabitants: as per the end of April 2020 Hungary, Panama, Peru, Turkey, Romania were the 5 emerging market countries with the highest death toll whereas Bahrain, China, Qatar, Sri Lanka, and Thailand had the lowest death tolls.</w:t>
      </w:r>
      <w:r w:rsidRPr="009D0FDD">
        <w:t xml:space="preserve"> Of course, some of this heterogeneity can be attributed to differing reporting standards across regimes. Nevertheless, </w:t>
      </w:r>
      <w:proofErr w:type="spellStart"/>
      <w:r w:rsidRPr="009D0FDD">
        <w:t>Jinjarak</w:t>
      </w:r>
      <w:proofErr w:type="spellEnd"/>
      <w:r w:rsidRPr="009D0FDD">
        <w:t xml:space="preserve"> et al. </w:t>
      </w:r>
      <w:r w:rsidR="00795637">
        <w:t>(</w:t>
      </w:r>
      <w:r w:rsidRPr="009D0FDD">
        <w:t>2020</w:t>
      </w:r>
      <w:r w:rsidR="00795637">
        <w:t>)</w:t>
      </w:r>
      <w:r w:rsidRPr="009D0FDD">
        <w:t xml:space="preserve"> provide evidence that the government pandemic policy interventions, i.e. their strictness, duration, etc., along with initial country characteristics such as demographics may have influenced both the mortality growth rates and the dynamic trajectory of its development. </w:t>
      </w:r>
      <w:r w:rsidR="00795637">
        <w:t>They</w:t>
      </w:r>
      <w:r w:rsidRPr="009D0FDD">
        <w:t xml:space="preserve"> </w:t>
      </w:r>
      <w:r w:rsidRPr="009D0FDD">
        <w:lastRenderedPageBreak/>
        <w:t xml:space="preserve">explore several demographic and structural features across a large sample of both advanced and emerging economies from 1/23/2020 to 4/28/2020 and find that with a lag more stringent pandemic policies were associated with lower mortality growth rates. Additionally, </w:t>
      </w:r>
      <w:r w:rsidR="00712F79" w:rsidRPr="009D0FDD">
        <w:t xml:space="preserve">the association between stricter pandemic policies and lower future mortality growth was more pronounced in countries with a greater proportion of the elderly population, greater democratic freedom, larger international travel flows, and further distance from the equator. In addition, they document that the extent to which the peak mortality rates were explained by government pandemic policies and country-specific structural features is heterogeneous. </w:t>
      </w:r>
    </w:p>
    <w:p w14:paraId="54A823B4" w14:textId="256A9902" w:rsidR="006E5860" w:rsidRPr="006E5860" w:rsidRDefault="006E5860" w:rsidP="006E5860">
      <w:r>
        <w:t xml:space="preserve">The different picture in the mortality rates and the deaths per million across countries provides us with variation that we can use to estimate the effect of country-specific factors on sovereign CDS spreads. </w:t>
      </w:r>
      <w:r w:rsidR="002B3232">
        <w:t xml:space="preserve">Before </w:t>
      </w:r>
      <w:r w:rsidR="002A2C95">
        <w:t>jumping</w:t>
      </w:r>
      <w:r w:rsidR="002B3232">
        <w:t xml:space="preserve"> into </w:t>
      </w:r>
      <w:r w:rsidR="002A2C95">
        <w:t>estimating</w:t>
      </w:r>
      <w:r w:rsidR="002B3232">
        <w:t xml:space="preserve"> these effects, </w:t>
      </w:r>
      <w:r w:rsidR="002A2C95">
        <w:t>let’s</w:t>
      </w:r>
      <w:r w:rsidR="002B3232">
        <w:t xml:space="preserve"> have a look at another source of variation: policy responses of emerging markets to COVID-19. </w:t>
      </w:r>
    </w:p>
    <w:p w14:paraId="24F2AADC" w14:textId="334FCE00" w:rsidR="00A1751A" w:rsidRDefault="002A2C95" w:rsidP="003E3AF6">
      <w:pPr>
        <w:pStyle w:val="Heading2"/>
      </w:pPr>
      <w:bookmarkStart w:id="11" w:name="_Toc52018930"/>
      <w:r>
        <w:t>EM responses to COVID-19</w:t>
      </w:r>
      <w:bookmarkEnd w:id="11"/>
    </w:p>
    <w:p w14:paraId="5B344EB8" w14:textId="15676CB8" w:rsidR="00C55A6B" w:rsidRDefault="003102A0" w:rsidP="003E3AF6">
      <w:r w:rsidRPr="003102A0">
        <w:t xml:space="preserve">Unlike </w:t>
      </w:r>
      <w:r w:rsidR="002A2C95" w:rsidRPr="002A2C95">
        <w:t xml:space="preserve">in </w:t>
      </w:r>
      <w:r w:rsidRPr="003102A0">
        <w:t xml:space="preserve">previous crises, the response </w:t>
      </w:r>
      <w:r w:rsidR="002B3232" w:rsidRPr="002B3232">
        <w:t xml:space="preserve">of </w:t>
      </w:r>
      <w:r w:rsidR="002B3232">
        <w:t xml:space="preserve">emerging markets </w:t>
      </w:r>
      <w:r w:rsidRPr="003102A0">
        <w:t>to the impact of COVID-19 has been decisiv</w:t>
      </w:r>
      <w:r w:rsidR="002A2C95" w:rsidRPr="002A2C95">
        <w:t>e</w:t>
      </w:r>
      <w:r w:rsidRPr="003102A0">
        <w:t xml:space="preserve">: </w:t>
      </w:r>
      <w:r w:rsidR="00656AFC">
        <w:t>Except for Saudi Arabia, all</w:t>
      </w:r>
      <w:r w:rsidRPr="003102A0">
        <w:t xml:space="preserve"> </w:t>
      </w:r>
      <w:r w:rsidR="002A2C95" w:rsidRPr="002A2C95">
        <w:t>EMs</w:t>
      </w:r>
      <w:r w:rsidRPr="003102A0">
        <w:t xml:space="preserve"> engaged in some sort of fiscal </w:t>
      </w:r>
      <w:r w:rsidR="00656AFC">
        <w:t xml:space="preserve">stimulus packages </w:t>
      </w:r>
      <w:r w:rsidR="002B3232" w:rsidRPr="002B3232">
        <w:t xml:space="preserve">as </w:t>
      </w:r>
      <w:r w:rsidR="002B3232">
        <w:t>illustrated</w:t>
      </w:r>
      <w:r w:rsidR="002B3232" w:rsidRPr="002B3232">
        <w:t xml:space="preserve"> by </w:t>
      </w:r>
      <w:r w:rsidR="002B3232">
        <w:fldChar w:fldCharType="begin"/>
      </w:r>
      <w:r w:rsidR="002B3232">
        <w:instrText xml:space="preserve"> REF _Ref51508845 \h </w:instrText>
      </w:r>
      <w:r w:rsidR="002B3232">
        <w:fldChar w:fldCharType="separate"/>
      </w:r>
      <w:r w:rsidR="00F03B5A">
        <w:t xml:space="preserve">Figure </w:t>
      </w:r>
      <w:r w:rsidR="00F03B5A">
        <w:rPr>
          <w:noProof/>
        </w:rPr>
        <w:t>5</w:t>
      </w:r>
      <w:r w:rsidR="002B3232">
        <w:fldChar w:fldCharType="end"/>
      </w:r>
      <w:r w:rsidR="002B3232">
        <w:t>.</w:t>
      </w:r>
      <w:r w:rsidRPr="003102A0">
        <w:t xml:space="preserve"> The packages include both budgetary and non-budgetary</w:t>
      </w:r>
      <w:r w:rsidR="002A2C95" w:rsidRPr="002A2C95">
        <w:t xml:space="preserve"> mea</w:t>
      </w:r>
      <w:r w:rsidR="002A2C95">
        <w:t>sures</w:t>
      </w:r>
      <w:r w:rsidRPr="003102A0">
        <w:t xml:space="preserve">. </w:t>
      </w:r>
      <w:r w:rsidR="002B3232" w:rsidRPr="002B3232">
        <w:t xml:space="preserve">While the </w:t>
      </w:r>
      <w:r w:rsidR="00656AFC">
        <w:t>stimuli</w:t>
      </w:r>
      <w:r w:rsidR="002B3232" w:rsidRPr="002B3232">
        <w:t xml:space="preserve"> </w:t>
      </w:r>
      <w:r w:rsidR="00D5048D">
        <w:t xml:space="preserve">of </w:t>
      </w:r>
      <w:r w:rsidR="002A2C95">
        <w:t>EM</w:t>
      </w:r>
      <w:r w:rsidR="00D5048D">
        <w:t xml:space="preserve"> economies </w:t>
      </w:r>
      <w:r w:rsidR="002B3232" w:rsidRPr="002B3232">
        <w:t>look impressive at fi</w:t>
      </w:r>
      <w:r w:rsidR="002B3232">
        <w:t>rst sight,</w:t>
      </w:r>
      <w:r w:rsidRPr="003102A0">
        <w:t xml:space="preserve"> </w:t>
      </w:r>
      <w:proofErr w:type="spellStart"/>
      <w:r w:rsidRPr="003102A0">
        <w:t>Alberola</w:t>
      </w:r>
      <w:proofErr w:type="spellEnd"/>
      <w:r w:rsidRPr="003102A0">
        <w:t xml:space="preserve"> et al. (2020) point out</w:t>
      </w:r>
      <w:r w:rsidR="002B3232" w:rsidRPr="002B3232">
        <w:t xml:space="preserve"> that they are not that big when compared to advanced </w:t>
      </w:r>
      <w:r w:rsidR="002B3232">
        <w:t>economies</w:t>
      </w:r>
      <w:r w:rsidR="002B3232" w:rsidRPr="002B3232">
        <w:t>. In fact,</w:t>
      </w:r>
      <w:r w:rsidRPr="003102A0">
        <w:t xml:space="preserve"> budgetary measures in advanced economies have reached 8.3% of GDP––6.6 percentage points (pp) higher than in the aftermath of the GFC––while for </w:t>
      </w:r>
      <w:r w:rsidR="002A2C95" w:rsidRPr="002A2C95">
        <w:t>EMs</w:t>
      </w:r>
      <w:r w:rsidRPr="003102A0">
        <w:t xml:space="preserve"> they represent just 2.0% of GDP, even less than in the GFC. </w:t>
      </w:r>
      <w:r w:rsidR="002B3232" w:rsidRPr="003102A0">
        <w:t xml:space="preserve">The contrast is starkest for credit guarantees: 6.6% of GDP in advanced economies and only 0.4% in emerging markets. </w:t>
      </w:r>
      <w:r w:rsidRPr="003102A0">
        <w:t xml:space="preserve">The gap for funding facilities is narrower: 4% of advanced economies’ GDP versus 1.3% in the case of </w:t>
      </w:r>
      <w:r w:rsidRPr="006706FD">
        <w:t xml:space="preserve">emerging markets. </w:t>
      </w:r>
      <w:r w:rsidR="0009679F" w:rsidRPr="006706FD">
        <w:t>The difference in fiscal stimulus packages between advanced and emerging markets may be an indication of a lack of fiscal space for the latter.</w:t>
      </w:r>
      <w:r w:rsidR="00C55A6B" w:rsidRPr="006706FD">
        <w:t xml:space="preserve"> Most likely, however, fiscal constraints only explain a part of the </w:t>
      </w:r>
      <w:r w:rsidR="00C16E80" w:rsidRPr="00C16E80">
        <w:t>differe</w:t>
      </w:r>
      <w:r w:rsidR="00C16E80">
        <w:t>nce;</w:t>
      </w:r>
      <w:r w:rsidR="00C55A6B" w:rsidRPr="006706FD">
        <w:t xml:space="preserve"> Another possible reason for the smaller fiscal packages may be </w:t>
      </w:r>
      <w:r w:rsidR="006706FD" w:rsidRPr="006706FD">
        <w:t xml:space="preserve">the difference in </w:t>
      </w:r>
      <w:r w:rsidR="004B1F9D">
        <w:t xml:space="preserve">the </w:t>
      </w:r>
      <w:r w:rsidR="006706FD" w:rsidRPr="006706FD">
        <w:t>prevalence of the pandemic</w:t>
      </w:r>
      <w:r w:rsidR="00656AFC">
        <w:t>: COVID-19 has affected advanced economies earlier and more strongly than emerging markets</w:t>
      </w:r>
      <w:r w:rsidR="006706FD" w:rsidRPr="006706FD">
        <w:t xml:space="preserve"> </w:t>
      </w:r>
      <w:r w:rsidR="00656AFC">
        <w:t xml:space="preserve">with the exception of a few Asian emerging markets. </w:t>
      </w:r>
    </w:p>
    <w:p w14:paraId="2D563420" w14:textId="77777777" w:rsidR="002A2C95" w:rsidRPr="002A2C95" w:rsidRDefault="002A2C95" w:rsidP="003E3AF6"/>
    <w:p w14:paraId="721A6F67" w14:textId="4D5AA6CB" w:rsidR="00A1751A" w:rsidRPr="00D5048D" w:rsidRDefault="002A2C95" w:rsidP="003E3AF6">
      <w:r>
        <w:t>In contrast to the fiscal constraints</w:t>
      </w:r>
      <w:r w:rsidR="0009679F">
        <w:t xml:space="preserve">, </w:t>
      </w:r>
      <w:r w:rsidR="004B1F9D">
        <w:t>EMs</w:t>
      </w:r>
      <w:r w:rsidR="0009679F" w:rsidRPr="00D5048D">
        <w:t xml:space="preserve"> seem to have had some leeway in terms of</w:t>
      </w:r>
      <w:r w:rsidR="00D5048D" w:rsidRPr="00D5048D">
        <w:t xml:space="preserve"> conventional</w:t>
      </w:r>
      <w:r w:rsidR="0009679F" w:rsidRPr="00D5048D">
        <w:t xml:space="preserve"> monetary policy</w:t>
      </w:r>
      <w:r w:rsidR="00D5048D" w:rsidRPr="00D5048D">
        <w:t xml:space="preserve"> over advanced economies. In fact, emerging markets have been able to take advantage of more room to cut policy rates than their advanced economy counterparts. At the start of 2020, policy rates in emerging markets were on average 4.9% (excluding Argentina) whereas the average policy rates in advanced economies were at 0.4%. Since then, </w:t>
      </w:r>
      <w:r w:rsidR="004B1F9D">
        <w:t>EMs</w:t>
      </w:r>
      <w:r w:rsidR="00D5048D" w:rsidRPr="00D5048D">
        <w:t xml:space="preserve"> have cut policy rates by around 114 basis points (excluding Argentina) compared with a 40 basis points cut for advanced economies. However, </w:t>
      </w:r>
      <w:r w:rsidR="00D5048D">
        <w:rPr>
          <w:lang w:val="de-CH"/>
        </w:rPr>
        <w:fldChar w:fldCharType="begin"/>
      </w:r>
      <w:r w:rsidR="00D5048D" w:rsidRPr="00D5048D">
        <w:instrText xml:space="preserve"> REF _Ref51512117 \h </w:instrText>
      </w:r>
      <w:r w:rsidR="00D5048D">
        <w:rPr>
          <w:lang w:val="de-CH"/>
        </w:rPr>
      </w:r>
      <w:r w:rsidR="00D5048D">
        <w:rPr>
          <w:lang w:val="de-CH"/>
        </w:rPr>
        <w:fldChar w:fldCharType="separate"/>
      </w:r>
      <w:r w:rsidR="00F03B5A">
        <w:t xml:space="preserve">Figure </w:t>
      </w:r>
      <w:r w:rsidR="00F03B5A">
        <w:rPr>
          <w:noProof/>
        </w:rPr>
        <w:t>6</w:t>
      </w:r>
      <w:r w:rsidR="00D5048D">
        <w:rPr>
          <w:lang w:val="de-CH"/>
        </w:rPr>
        <w:fldChar w:fldCharType="end"/>
      </w:r>
      <w:r w:rsidR="00D5048D" w:rsidRPr="00D5048D">
        <w:t xml:space="preserve"> makes it clear that rate cuts alone are no silver bullet for </w:t>
      </w:r>
      <w:r w:rsidR="004B1F9D">
        <w:t>EMs</w:t>
      </w:r>
      <w:r w:rsidR="00D5048D" w:rsidRPr="00D5048D">
        <w:t>. Particularly for the oil exporting countries</w:t>
      </w:r>
      <w:r w:rsidR="00612DDD" w:rsidRPr="00612DDD">
        <w:t xml:space="preserve"> </w:t>
      </w:r>
      <w:r w:rsidR="00612DDD">
        <w:t>(except for Mexico, which largely hedges oil revenues)</w:t>
      </w:r>
      <w:r w:rsidR="00D5048D" w:rsidRPr="00D5048D">
        <w:t>, rate cuts had to go hand</w:t>
      </w:r>
      <w:r w:rsidRPr="002A2C95">
        <w:t>-</w:t>
      </w:r>
      <w:r w:rsidR="00D5048D" w:rsidRPr="00D5048D">
        <w:t>in</w:t>
      </w:r>
      <w:r w:rsidRPr="002A2C95">
        <w:t>-</w:t>
      </w:r>
      <w:r w:rsidR="00D5048D" w:rsidRPr="00D5048D">
        <w:t>hand with interventions in foreign exchange markets</w:t>
      </w:r>
      <w:r w:rsidR="00612DDD">
        <w:rPr>
          <w:rFonts w:ascii="SegoeUI" w:hAnsi="SegoeUI"/>
          <w:sz w:val="20"/>
          <w:szCs w:val="20"/>
        </w:rPr>
        <w:t xml:space="preserve">. </w:t>
      </w:r>
    </w:p>
    <w:p w14:paraId="2F355098" w14:textId="675F3E84" w:rsidR="006E5860" w:rsidRDefault="006E5860" w:rsidP="006E5860">
      <w:pPr>
        <w:pStyle w:val="Heading2"/>
      </w:pPr>
      <w:bookmarkStart w:id="12" w:name="_Toc52018931"/>
      <w:r>
        <w:t>Sovereign CDS spreads across EM</w:t>
      </w:r>
      <w:bookmarkEnd w:id="12"/>
    </w:p>
    <w:p w14:paraId="4BEE2984" w14:textId="4083EFC0" w:rsidR="00612DDD" w:rsidRPr="00C16E80" w:rsidRDefault="00612DDD" w:rsidP="00612DDD">
      <w:r w:rsidRPr="00612DDD">
        <w:t xml:space="preserve">Similar to </w:t>
      </w:r>
      <w:r>
        <w:t xml:space="preserve">the variance in foreign reserve changes and fiscal stimulus size across </w:t>
      </w:r>
      <w:r w:rsidR="00BF6F36">
        <w:t>EMs</w:t>
      </w:r>
      <w:r>
        <w:t>, there was a divergence in sovereign CDS spreads</w:t>
      </w:r>
      <w:r w:rsidR="00C55A6B">
        <w:t xml:space="preserve"> as illustrated in</w:t>
      </w:r>
      <w:r w:rsidR="00BA24F5">
        <w:t xml:space="preserve"> </w:t>
      </w:r>
      <w:r w:rsidR="00BA24F5">
        <w:fldChar w:fldCharType="begin"/>
      </w:r>
      <w:r w:rsidR="00BA24F5">
        <w:instrText xml:space="preserve"> REF _Ref51525236 \h </w:instrText>
      </w:r>
      <w:r w:rsidR="00B91314">
        <w:instrText xml:space="preserve"> \* MERGEFORMAT </w:instrText>
      </w:r>
      <w:r w:rsidR="00BA24F5">
        <w:fldChar w:fldCharType="separate"/>
      </w:r>
      <w:r w:rsidR="00F03B5A">
        <w:t>Figure 7</w:t>
      </w:r>
      <w:r w:rsidR="00BA24F5">
        <w:fldChar w:fldCharType="end"/>
      </w:r>
      <w:r w:rsidR="00BA24F5">
        <w:t>.</w:t>
      </w:r>
      <w:r w:rsidR="00E245E9">
        <w:t xml:space="preserve"> </w:t>
      </w:r>
      <w:r w:rsidR="00C55A6B">
        <w:t>Interestingly, the time and cross-country variance in sovereign CDS spreads among emerging markets is more pronounced than for developed economies</w:t>
      </w:r>
      <w:r w:rsidR="00413542">
        <w:t xml:space="preserve"> (</w:t>
      </w:r>
      <w:r w:rsidR="006B4ED9">
        <w:fldChar w:fldCharType="begin"/>
      </w:r>
      <w:r w:rsidR="006B4ED9">
        <w:instrText xml:space="preserve"> REF _Ref52015926 \h </w:instrText>
      </w:r>
      <w:r w:rsidR="006B4ED9">
        <w:fldChar w:fldCharType="separate"/>
      </w:r>
      <w:r w:rsidR="00F03B5A">
        <w:t xml:space="preserve">Figure </w:t>
      </w:r>
      <w:r w:rsidR="00F03B5A">
        <w:rPr>
          <w:noProof/>
        </w:rPr>
        <w:t>8</w:t>
      </w:r>
      <w:r w:rsidR="006B4ED9">
        <w:fldChar w:fldCharType="end"/>
      </w:r>
      <w:r w:rsidR="00C55A6B">
        <w:t xml:space="preserve">). The larger amplitude for emerging markets </w:t>
      </w:r>
      <w:r w:rsidR="002A2C95">
        <w:t xml:space="preserve">may be </w:t>
      </w:r>
      <w:r w:rsidR="002A2C95">
        <w:lastRenderedPageBreak/>
        <w:t>the opposite side of the coin of smaller fiscal</w:t>
      </w:r>
      <w:r w:rsidR="00BA24F5">
        <w:t xml:space="preserve"> space</w:t>
      </w:r>
      <w:r w:rsidR="002A2C95">
        <w:t xml:space="preserve"> than those of </w:t>
      </w:r>
      <w:r w:rsidR="00C55A6B">
        <w:t xml:space="preserve">advanced economies: </w:t>
      </w:r>
      <w:r w:rsidR="00C16E80">
        <w:t>more narrow fiscal space may imply more rapidly increasing CDS spreads because countries are approaching a financing edge.</w:t>
      </w:r>
    </w:p>
    <w:p w14:paraId="2DE8A6AE" w14:textId="701FE99D" w:rsidR="00687F45" w:rsidRPr="009D0FDD" w:rsidRDefault="00687F45" w:rsidP="00687F45">
      <w:pPr>
        <w:pStyle w:val="Heading1"/>
      </w:pPr>
      <w:bookmarkStart w:id="13" w:name="_Ref51340420"/>
      <w:bookmarkStart w:id="14" w:name="_Toc52018932"/>
      <w:r w:rsidRPr="009D0FDD">
        <w:t>Analysis of COVID dominance</w:t>
      </w:r>
      <w:bookmarkEnd w:id="13"/>
      <w:bookmarkEnd w:id="14"/>
    </w:p>
    <w:p w14:paraId="5270E867" w14:textId="2CEBEE7C" w:rsidR="000B2A0A" w:rsidRDefault="003E3AF6" w:rsidP="00687F45">
      <w:r w:rsidRPr="009D0FDD">
        <w:t xml:space="preserve">In this section, our primary goal is to investigate whether and to what degree COVID-related developments and associated policy responses by countries, central banks, and the IMF influenced the pricing of sovereign </w:t>
      </w:r>
      <w:r w:rsidR="00413542">
        <w:t>risk</w:t>
      </w:r>
      <w:r w:rsidRPr="009D0FDD">
        <w:t xml:space="preserve"> across </w:t>
      </w:r>
      <w:r w:rsidR="001C091D">
        <w:t>EMs</w:t>
      </w:r>
      <w:r w:rsidRPr="009D0FDD">
        <w:t xml:space="preserve">. </w:t>
      </w:r>
      <w:r w:rsidR="000B2A0A">
        <w:t>In this context, w</w:t>
      </w:r>
      <w:r w:rsidR="00B808C7" w:rsidRPr="009D0FDD">
        <w:t xml:space="preserve">e ask whether and to what degree prevailing factors </w:t>
      </w:r>
      <w:r w:rsidR="00332A01">
        <w:t xml:space="preserve">and to what degree </w:t>
      </w:r>
      <w:r w:rsidR="00B808C7" w:rsidRPr="009D0FDD">
        <w:t xml:space="preserve">COVID-related dynamics influenced sovereign </w:t>
      </w:r>
      <w:r w:rsidR="00332A01">
        <w:t>risk</w:t>
      </w:r>
      <w:r w:rsidR="00B808C7" w:rsidRPr="009D0FDD">
        <w:t xml:space="preserve"> pricing through the pandemic. </w:t>
      </w:r>
      <w:r w:rsidR="00AC119D" w:rsidRPr="009D0FDD">
        <w:t>We propose a</w:t>
      </w:r>
      <w:r w:rsidR="000B2A0A">
        <w:t xml:space="preserve"> two</w:t>
      </w:r>
      <w:r w:rsidR="00AC119D" w:rsidRPr="009D0FDD">
        <w:t xml:space="preserve">-stage econometric analysis that takes advantage of </w:t>
      </w:r>
      <w:r w:rsidR="000B2A0A">
        <w:t xml:space="preserve">a </w:t>
      </w:r>
      <w:r w:rsidR="00AC119D" w:rsidRPr="009D0FDD">
        <w:t xml:space="preserve">daily cross-country panel dataset. </w:t>
      </w:r>
    </w:p>
    <w:p w14:paraId="7228E2B6" w14:textId="77777777" w:rsidR="00332A01" w:rsidRDefault="00332A01" w:rsidP="00687F45"/>
    <w:p w14:paraId="262B06D9" w14:textId="4CC12E20" w:rsidR="00604C67" w:rsidRDefault="000B2A0A" w:rsidP="00687F45">
      <w:r>
        <w:t>In</w:t>
      </w:r>
      <w:r w:rsidR="00AC119D" w:rsidRPr="009D0FDD">
        <w:t xml:space="preserve"> the first stage, we estimate a dynamic heterogeneous multi-factor model for changes in </w:t>
      </w:r>
      <w:r>
        <w:t>5-year</w:t>
      </w:r>
      <w:r w:rsidR="00AC119D" w:rsidRPr="009D0FDD">
        <w:t xml:space="preserve"> CDS spreads over the period January 1, 2014, through June 30, 2019</w:t>
      </w:r>
      <w:r>
        <w:t xml:space="preserve">. </w:t>
      </w:r>
      <w:r w:rsidR="00AC119D" w:rsidRPr="009D0FDD">
        <w:t>Then</w:t>
      </w:r>
      <w:r>
        <w:t>,</w:t>
      </w:r>
      <w:r w:rsidR="00AC119D" w:rsidRPr="009D0FDD">
        <w:t xml:space="preserve"> using the estimated model parameters, we apply a synthetic control-type procedure to extrapolate the model-implied change in the CDS</w:t>
      </w:r>
      <w:r w:rsidR="00413542">
        <w:t xml:space="preserve"> spreads</w:t>
      </w:r>
      <w:r>
        <w:t>—</w:t>
      </w:r>
      <w:r w:rsidR="00AC119D" w:rsidRPr="009D0FDD">
        <w:t>given realized values of the factors</w:t>
      </w:r>
      <w:r>
        <w:t>—</w:t>
      </w:r>
      <w:r w:rsidR="00AC119D" w:rsidRPr="009D0FDD">
        <w:t xml:space="preserve">from July 1, 2019, through June </w:t>
      </w:r>
      <w:r w:rsidR="00413542">
        <w:t>30</w:t>
      </w:r>
      <w:r w:rsidR="00AC119D" w:rsidRPr="009D0FDD">
        <w:t xml:space="preserve">, 2020. This approach allows us to calculate the </w:t>
      </w:r>
      <w:r>
        <w:t>“</w:t>
      </w:r>
      <w:r w:rsidR="00AC119D" w:rsidRPr="009D0FDD">
        <w:t>COVID residual,</w:t>
      </w:r>
      <w:r>
        <w:t>”</w:t>
      </w:r>
      <w:r w:rsidR="00AC119D" w:rsidRPr="009D0FDD">
        <w:t xml:space="preserve"> i.e. the difference between the realized CDS adjustment against the change implied by the model at both the individual country and aggregate E</w:t>
      </w:r>
      <w:r>
        <w:t>M</w:t>
      </w:r>
      <w:r w:rsidR="00AC119D" w:rsidRPr="009D0FDD">
        <w:t xml:space="preserve"> levels, over the COVID pandemic period. </w:t>
      </w:r>
    </w:p>
    <w:p w14:paraId="3B93D4AC" w14:textId="1A76F8DA" w:rsidR="003E3AF6" w:rsidRDefault="00AC119D" w:rsidP="00604C67">
      <w:r w:rsidRPr="009D0FDD">
        <w:t>In the second stage, focusing specifically on the 2020 pandemic period, we explore whether daily COVID mortalities</w:t>
      </w:r>
      <w:r w:rsidR="00007200">
        <w:t>,</w:t>
      </w:r>
      <w:r w:rsidRPr="009D0FDD">
        <w:t xml:space="preserve"> announced policy responses</w:t>
      </w:r>
      <w:r w:rsidR="00007200">
        <w:t>, or other country fundamentals,</w:t>
      </w:r>
      <w:r w:rsidRPr="009D0FDD">
        <w:t xml:space="preserve"> help to explain variation in the COVID residual. </w:t>
      </w:r>
    </w:p>
    <w:p w14:paraId="6F70B71F" w14:textId="77777777" w:rsidR="000B2A0A" w:rsidRPr="009D0FDD" w:rsidRDefault="000B2A0A" w:rsidP="00604C67"/>
    <w:p w14:paraId="3BCF40A1" w14:textId="46FCB6ED" w:rsidR="00712F79" w:rsidRPr="009D0FDD" w:rsidRDefault="00AC119D" w:rsidP="00604C67">
      <w:pPr>
        <w:rPr>
          <w:rFonts w:eastAsiaTheme="minorHAnsi"/>
          <w:lang w:eastAsia="en-US"/>
        </w:rPr>
      </w:pPr>
      <w:r w:rsidRPr="009D0FDD">
        <w:rPr>
          <w:rFonts w:eastAsiaTheme="minorHAnsi"/>
          <w:lang w:eastAsia="en-US"/>
        </w:rPr>
        <w:t>We take several steps to come as close as possible to a causal</w:t>
      </w:r>
      <w:r w:rsidR="003B7536" w:rsidRPr="009D0FDD">
        <w:rPr>
          <w:rFonts w:eastAsiaTheme="minorHAnsi"/>
          <w:lang w:eastAsia="en-US"/>
        </w:rPr>
        <w:t xml:space="preserve"> </w:t>
      </w:r>
      <w:r w:rsidRPr="009D0FDD">
        <w:rPr>
          <w:rFonts w:eastAsiaTheme="minorHAnsi"/>
          <w:lang w:eastAsia="en-US"/>
        </w:rPr>
        <w:t>interpretation of our results.</w:t>
      </w:r>
      <w:r w:rsidR="00007200">
        <w:rPr>
          <w:rFonts w:eastAsiaTheme="minorHAnsi"/>
          <w:lang w:eastAsia="en-US"/>
        </w:rPr>
        <w:t xml:space="preserve"> </w:t>
      </w:r>
      <w:r w:rsidRPr="009D0FDD">
        <w:rPr>
          <w:rFonts w:eastAsiaTheme="minorHAnsi"/>
          <w:lang w:eastAsia="en-US"/>
        </w:rPr>
        <w:t xml:space="preserve">First, </w:t>
      </w:r>
      <w:r w:rsidR="003B7536" w:rsidRPr="009D0FDD">
        <w:rPr>
          <w:rFonts w:eastAsiaTheme="minorHAnsi"/>
          <w:lang w:eastAsia="en-US"/>
        </w:rPr>
        <w:t xml:space="preserve">we control for a variety of alternative explanatory variables that could distort our results. Second, we use several specifications and our </w:t>
      </w:r>
      <w:r w:rsidRPr="009D0FDD">
        <w:rPr>
          <w:rFonts w:eastAsiaTheme="minorHAnsi"/>
          <w:lang w:eastAsia="en-US"/>
        </w:rPr>
        <w:t>findings remain robust to augmenting the specification with</w:t>
      </w:r>
      <w:r w:rsidR="003B7536" w:rsidRPr="009D0FDD">
        <w:rPr>
          <w:rFonts w:eastAsiaTheme="minorHAnsi"/>
          <w:lang w:eastAsia="en-US"/>
        </w:rPr>
        <w:t xml:space="preserve"> </w:t>
      </w:r>
      <w:r w:rsidRPr="009D0FDD">
        <w:rPr>
          <w:rFonts w:eastAsiaTheme="minorHAnsi"/>
          <w:lang w:eastAsia="en-US"/>
        </w:rPr>
        <w:t>fixed effects. This shows that these results are not driven by factors that are time-invariant in our</w:t>
      </w:r>
      <w:r w:rsidR="003B7536" w:rsidRPr="009D0FDD">
        <w:rPr>
          <w:rFonts w:eastAsiaTheme="minorHAnsi"/>
          <w:lang w:eastAsia="en-US"/>
        </w:rPr>
        <w:t xml:space="preserve"> </w:t>
      </w:r>
      <w:r w:rsidRPr="009D0FDD">
        <w:rPr>
          <w:rFonts w:eastAsiaTheme="minorHAnsi"/>
          <w:lang w:eastAsia="en-US"/>
        </w:rPr>
        <w:t>sample such as the advantage that</w:t>
      </w:r>
      <w:r w:rsidR="003B7536" w:rsidRPr="009D0FDD">
        <w:rPr>
          <w:rFonts w:eastAsiaTheme="minorHAnsi"/>
          <w:lang w:eastAsia="en-US"/>
        </w:rPr>
        <w:t xml:space="preserve"> some countries enjoy with being democratic/non-democratic, having a specific currency, etc</w:t>
      </w:r>
      <w:r w:rsidRPr="009D0FDD">
        <w:rPr>
          <w:rFonts w:eastAsiaTheme="minorHAnsi"/>
          <w:lang w:eastAsia="en-US"/>
        </w:rPr>
        <w:t xml:space="preserve">. </w:t>
      </w:r>
    </w:p>
    <w:p w14:paraId="01ADE780" w14:textId="768D6E87" w:rsidR="00BE75E4" w:rsidRPr="009D0FDD" w:rsidRDefault="00B57D52" w:rsidP="00687F45">
      <w:pPr>
        <w:pStyle w:val="Heading2"/>
      </w:pPr>
      <w:bookmarkStart w:id="15" w:name="_Toc52018933"/>
      <w:r w:rsidRPr="009D0FDD">
        <w:t xml:space="preserve">First stage estimation, January 2014 </w:t>
      </w:r>
      <w:r w:rsidR="003E3AF6" w:rsidRPr="009D0FDD">
        <w:t>–</w:t>
      </w:r>
      <w:r w:rsidRPr="009D0FDD">
        <w:t xml:space="preserve"> June 2019</w:t>
      </w:r>
      <w:bookmarkEnd w:id="15"/>
    </w:p>
    <w:p w14:paraId="32B40FEF" w14:textId="5179CEED" w:rsidR="00712F79" w:rsidRDefault="003B7536" w:rsidP="00712F79">
      <w:r w:rsidRPr="009D0FDD">
        <w:t xml:space="preserve">In </w:t>
      </w:r>
      <w:r w:rsidR="00B57D52" w:rsidRPr="009D0FDD">
        <w:t xml:space="preserve">the first stage, we estimate </w:t>
      </w:r>
      <w:r w:rsidR="0077299B">
        <w:t xml:space="preserve">and evaluate </w:t>
      </w:r>
      <w:r w:rsidR="00B57D52" w:rsidRPr="009D0FDD">
        <w:t xml:space="preserve">a heterogeneous </w:t>
      </w:r>
      <w:r w:rsidR="00604C67">
        <w:t>multi-</w:t>
      </w:r>
      <w:r w:rsidR="00B57D52" w:rsidRPr="009D0FDD">
        <w:t xml:space="preserve">factor model. </w:t>
      </w:r>
      <w:r w:rsidRPr="009D0FDD">
        <w:t xml:space="preserve">Our empirical analysis uses daily data for 30 emerging market sovereigns for a period of 6.5 years from January 1, 2014 to June 30, 2020. We chose 30 EMs based on their </w:t>
      </w:r>
      <w:proofErr w:type="spellStart"/>
      <w:r w:rsidRPr="009D0FDD">
        <w:t>investibility</w:t>
      </w:r>
      <w:proofErr w:type="spellEnd"/>
      <w:r w:rsidRPr="009D0FDD">
        <w:t xml:space="preserve"> and data availability of the dependent variable</w:t>
      </w:r>
      <w:r w:rsidR="0077299B">
        <w:t xml:space="preserve"> where </w:t>
      </w:r>
      <w:proofErr w:type="spellStart"/>
      <w:r w:rsidR="0077299B">
        <w:t>i</w:t>
      </w:r>
      <w:r w:rsidRPr="009D0FDD">
        <w:t>nvestibility</w:t>
      </w:r>
      <w:proofErr w:type="spellEnd"/>
      <w:r w:rsidRPr="009D0FDD">
        <w:t xml:space="preserve"> is defined by a country’s representation in the reference index for </w:t>
      </w:r>
      <w:r w:rsidR="00604C67">
        <w:t>EM</w:t>
      </w:r>
      <w:r w:rsidRPr="009D0FDD">
        <w:t xml:space="preserve"> sovereigns, the J.P. Morgan Emerging Markets Bond Index.</w:t>
      </w:r>
      <w:r w:rsidRPr="009D0FDD">
        <w:rPr>
          <w:rStyle w:val="FootnoteReference"/>
        </w:rPr>
        <w:footnoteReference w:id="2"/>
      </w:r>
      <w:r w:rsidRPr="009D0FDD">
        <w:t xml:space="preserve"> We chose this specific time period because it begins after the structural break of the taper tantrum and to have enough data to calibrate and test the model in both normal and COVID-times.</w:t>
      </w:r>
    </w:p>
    <w:p w14:paraId="4904331D" w14:textId="35D8A023" w:rsidR="0051263E" w:rsidRDefault="0051263E" w:rsidP="00712F79"/>
    <w:p w14:paraId="52843B7A" w14:textId="77777777" w:rsidR="0051263E" w:rsidRPr="009D0FDD" w:rsidRDefault="0051263E" w:rsidP="00712F79"/>
    <w:p w14:paraId="3CBE9687" w14:textId="135E76A7" w:rsidR="00B57D52" w:rsidRDefault="00B1406C" w:rsidP="00B1406C">
      <w:pPr>
        <w:pStyle w:val="Heading3"/>
      </w:pPr>
      <w:bookmarkStart w:id="16" w:name="_Toc52018934"/>
      <w:r w:rsidRPr="009D0FDD">
        <w:lastRenderedPageBreak/>
        <w:t>Data</w:t>
      </w:r>
      <w:bookmarkEnd w:id="16"/>
    </w:p>
    <w:p w14:paraId="29FAA987" w14:textId="4778EF1F" w:rsidR="00604C67" w:rsidRPr="00604C67" w:rsidRDefault="00604C67" w:rsidP="00604C67">
      <w:r>
        <w:t>We use the following data:</w:t>
      </w:r>
    </w:p>
    <w:p w14:paraId="0F81B699" w14:textId="31B4B801" w:rsidR="00C32EA2" w:rsidRPr="009D0FDD" w:rsidRDefault="00C32EA2" w:rsidP="00C32EA2">
      <w:pPr>
        <w:pStyle w:val="ListParagraph"/>
        <w:numPr>
          <w:ilvl w:val="0"/>
          <w:numId w:val="11"/>
        </w:numPr>
      </w:pPr>
      <w:r w:rsidRPr="009D0FDD">
        <w:rPr>
          <w:i/>
          <w:iCs/>
        </w:rPr>
        <w:t>Sovereign Credit Default Swap spread (CDS spread).</w:t>
      </w:r>
      <w:r w:rsidRPr="009D0FDD">
        <w:t xml:space="preserve"> We use the daily </w:t>
      </w:r>
      <w:r w:rsidR="007922B8" w:rsidRPr="009D0FDD">
        <w:t xml:space="preserve">5-year </w:t>
      </w:r>
      <w:r w:rsidRPr="009D0FDD">
        <w:t>CDS spreads reported by Eikon Refinitiv</w:t>
      </w:r>
      <w:r w:rsidR="00D3038C" w:rsidRPr="009D0FDD">
        <w:t xml:space="preserve"> and convert the levels into daily log</w:t>
      </w:r>
      <w:r w:rsidR="004E61D0" w:rsidRPr="009D0FDD">
        <w:t xml:space="preserve"> changes</w:t>
      </w:r>
      <w:r w:rsidR="00D3038C" w:rsidRPr="009D0FDD">
        <w:t>.</w:t>
      </w:r>
    </w:p>
    <w:p w14:paraId="2E450885" w14:textId="5A1EFD9A" w:rsidR="00B57D52" w:rsidRPr="009D0FDD" w:rsidRDefault="00B57D52" w:rsidP="00B57D52">
      <w:pPr>
        <w:pStyle w:val="ListParagraph"/>
        <w:numPr>
          <w:ilvl w:val="0"/>
          <w:numId w:val="11"/>
        </w:numPr>
      </w:pPr>
      <w:r w:rsidRPr="009D0FDD">
        <w:rPr>
          <w:i/>
          <w:iCs/>
        </w:rPr>
        <w:t>Gross domestic product (GDP)</w:t>
      </w:r>
      <w:r w:rsidRPr="009D0FDD">
        <w:t>. We use GDP data in current $ reported by the World Bank</w:t>
      </w:r>
      <w:r w:rsidR="008B79D5">
        <w:t>.</w:t>
      </w:r>
    </w:p>
    <w:p w14:paraId="2482FDF5" w14:textId="19DB74BF" w:rsidR="00B1406C" w:rsidRPr="009D0FDD" w:rsidRDefault="00C37B63" w:rsidP="00687F45">
      <w:pPr>
        <w:pStyle w:val="Heading3"/>
      </w:pPr>
      <w:bookmarkStart w:id="17" w:name="_Toc52018935"/>
      <w:r w:rsidRPr="009D0FDD">
        <w:t>Specification</w:t>
      </w:r>
      <w:bookmarkEnd w:id="17"/>
    </w:p>
    <w:p w14:paraId="1CB52F63" w14:textId="08AC6964" w:rsidR="00E771B5" w:rsidRDefault="00E771B5" w:rsidP="00E771B5">
      <w:r w:rsidRPr="009D0FDD">
        <w:t xml:space="preserve">In the first stage, we estimate a dynamic factor model on the pre-COVID period data of the following form: </w:t>
      </w:r>
    </w:p>
    <w:p w14:paraId="5953D999" w14:textId="77777777" w:rsidR="006702A7" w:rsidRPr="009D0FDD" w:rsidRDefault="006702A7" w:rsidP="00E771B5"/>
    <w:p w14:paraId="75248D05" w14:textId="4DB156D4" w:rsidR="00362A5F" w:rsidRPr="00E363B7" w:rsidRDefault="00C327D5" w:rsidP="00E363B7">
      <w:pPr>
        <w:pStyle w:val="Caption"/>
        <w:rPr>
          <w:rFonts w:eastAsiaTheme="minorEastAsia"/>
          <w:sz w:val="24"/>
        </w:rPr>
      </w:pPr>
      <w:bookmarkStart w:id="18" w:name="_Ref50919583"/>
      <w:r w:rsidRPr="00E363B7">
        <w:rPr>
          <w:sz w:val="24"/>
        </w:rPr>
        <w:t>(</w:t>
      </w:r>
      <w:r w:rsidR="005E11EC" w:rsidRPr="00E363B7">
        <w:rPr>
          <w:sz w:val="24"/>
        </w:rPr>
        <w:fldChar w:fldCharType="begin"/>
      </w:r>
      <w:r w:rsidR="005E11EC" w:rsidRPr="00E363B7">
        <w:rPr>
          <w:sz w:val="24"/>
        </w:rPr>
        <w:instrText xml:space="preserve"> SEQ Equation \* ARABIC </w:instrText>
      </w:r>
      <w:r w:rsidR="005E11EC" w:rsidRPr="00E363B7">
        <w:rPr>
          <w:sz w:val="24"/>
        </w:rPr>
        <w:fldChar w:fldCharType="separate"/>
      </w:r>
      <w:r w:rsidR="00F03B5A" w:rsidRPr="00E363B7">
        <w:rPr>
          <w:noProof/>
          <w:sz w:val="24"/>
        </w:rPr>
        <w:t>1</w:t>
      </w:r>
      <w:r w:rsidR="005E11EC" w:rsidRPr="00E363B7">
        <w:rPr>
          <w:noProof/>
          <w:sz w:val="24"/>
        </w:rPr>
        <w:fldChar w:fldCharType="end"/>
      </w:r>
      <w:bookmarkEnd w:id="18"/>
      <w:r w:rsidRPr="00E363B7">
        <w:rPr>
          <w:noProof/>
          <w:sz w:val="24"/>
        </w:rPr>
        <w:t>)</w:t>
      </w:r>
      <w:r w:rsidR="00E363B7" w:rsidRPr="00E363B7">
        <w:rPr>
          <w:noProof/>
          <w:sz w:val="24"/>
        </w:rPr>
        <w:t xml:space="preserve">                        </w:t>
      </w:r>
      <m:oMath>
        <m:sSub>
          <m:sSubPr>
            <m:ctrlPr>
              <w:rPr>
                <w:rFonts w:ascii="Cambria Math" w:hAnsi="Cambria Math"/>
                <w:sz w:val="24"/>
              </w:rPr>
            </m:ctrlPr>
          </m:sSubPr>
          <m:e>
            <m:r>
              <w:rPr>
                <w:rFonts w:ascii="Cambria Math" w:hAnsi="Cambria Math"/>
                <w:sz w:val="24"/>
              </w:rPr>
              <m:t>∆cds</m:t>
            </m:r>
          </m:e>
          <m:sub>
            <m:r>
              <w:rPr>
                <w:rFonts w:ascii="Cambria Math" w:hAnsi="Cambria Math"/>
                <w:sz w:val="24"/>
              </w:rPr>
              <m:t>i,t</m:t>
            </m:r>
          </m:sub>
        </m:sSub>
        <m:r>
          <w:rPr>
            <w:rFonts w:ascii="Cambria Math" w:hAnsi="Cambria Math"/>
            <w:sz w:val="24"/>
          </w:rPr>
          <m:t>=</m:t>
        </m:r>
        <m:sSub>
          <m:sSubPr>
            <m:ctrlPr>
              <w:rPr>
                <w:rFonts w:ascii="Cambria Math" w:hAnsi="Cambria Math"/>
                <w:sz w:val="24"/>
              </w:rPr>
            </m:ctrlPr>
          </m:sSubPr>
          <m:e>
            <m:r>
              <w:rPr>
                <w:rFonts w:ascii="Cambria Math" w:hAnsi="Cambria Math"/>
                <w:sz w:val="24"/>
              </w:rPr>
              <m:t>α</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ϕ</m:t>
            </m:r>
          </m:e>
          <m:sub>
            <m:r>
              <w:rPr>
                <w:rFonts w:ascii="Cambria Math" w:hAnsi="Cambria Math"/>
                <w:sz w:val="24"/>
              </w:rPr>
              <m:t>i</m:t>
            </m:r>
          </m:sub>
        </m:sSub>
        <m:sSub>
          <m:sSubPr>
            <m:ctrlPr>
              <w:rPr>
                <w:rFonts w:ascii="Cambria Math" w:hAnsi="Cambria Math"/>
                <w:sz w:val="24"/>
              </w:rPr>
            </m:ctrlPr>
          </m:sSubPr>
          <m:e>
            <m:r>
              <w:rPr>
                <w:rFonts w:ascii="Cambria Math" w:hAnsi="Cambria Math"/>
                <w:sz w:val="24"/>
              </w:rPr>
              <m:t>∆cds</m:t>
            </m:r>
          </m:e>
          <m:sub>
            <m:r>
              <w:rPr>
                <w:rFonts w:ascii="Cambria Math" w:hAnsi="Cambria Math"/>
                <w:sz w:val="24"/>
              </w:rPr>
              <m:t>i,t-1</m:t>
            </m:r>
          </m:sub>
        </m:sSub>
        <m:r>
          <w:rPr>
            <w:rFonts w:ascii="Cambria Math" w:hAnsi="Cambria Math"/>
            <w:sz w:val="24"/>
          </w:rPr>
          <m:t>+</m:t>
        </m:r>
        <m:sSub>
          <m:sSubPr>
            <m:ctrlPr>
              <w:rPr>
                <w:rFonts w:ascii="Cambria Math" w:hAnsi="Cambria Math"/>
                <w:sz w:val="24"/>
              </w:rPr>
            </m:ctrlPr>
          </m:sSubPr>
          <m:e>
            <m:r>
              <w:rPr>
                <w:rFonts w:ascii="Cambria Math" w:hAnsi="Cambria Math"/>
                <w:sz w:val="24"/>
              </w:rPr>
              <m:t>β</m:t>
            </m:r>
          </m:e>
          <m:sub>
            <m:r>
              <w:rPr>
                <w:rFonts w:ascii="Cambria Math" w:hAnsi="Cambria Math"/>
                <w:sz w:val="24"/>
              </w:rPr>
              <m:t>i1</m:t>
            </m:r>
          </m:sub>
        </m:sSub>
        <m:sSub>
          <m:sSubPr>
            <m:ctrlPr>
              <w:rPr>
                <w:rFonts w:ascii="Cambria Math" w:hAnsi="Cambria Math"/>
                <w:sz w:val="24"/>
              </w:rPr>
            </m:ctrlPr>
          </m:sSubPr>
          <m:e>
            <m:r>
              <w:rPr>
                <w:rFonts w:ascii="Cambria Math" w:hAnsi="Cambria Math"/>
                <w:sz w:val="24"/>
              </w:rPr>
              <m:t>∆GCDS</m:t>
            </m:r>
          </m:e>
          <m:sub>
            <m:r>
              <w:rPr>
                <w:rFonts w:ascii="Cambria Math" w:hAnsi="Cambria Math"/>
                <w:sz w:val="24"/>
              </w:rPr>
              <m:t>t</m:t>
            </m:r>
          </m:sub>
        </m:sSub>
        <m:r>
          <w:rPr>
            <w:rFonts w:ascii="Cambria Math" w:hAnsi="Cambria Math"/>
            <w:sz w:val="24"/>
          </w:rPr>
          <m:t xml:space="preserve">+ </m:t>
        </m:r>
        <m:sSub>
          <m:sSubPr>
            <m:ctrlPr>
              <w:rPr>
                <w:rFonts w:ascii="Cambria Math" w:hAnsi="Cambria Math"/>
                <w:sz w:val="24"/>
              </w:rPr>
            </m:ctrlPr>
          </m:sSubPr>
          <m:e>
            <m:r>
              <w:rPr>
                <w:rFonts w:ascii="Cambria Math" w:hAnsi="Cambria Math"/>
                <w:sz w:val="24"/>
              </w:rPr>
              <m:t>β</m:t>
            </m:r>
          </m:e>
          <m:sub>
            <m:r>
              <w:rPr>
                <w:rFonts w:ascii="Cambria Math" w:hAnsi="Cambria Math"/>
                <w:sz w:val="24"/>
              </w:rPr>
              <m:t>i2</m:t>
            </m:r>
          </m:sub>
        </m:sSub>
        <m:sSub>
          <m:sSubPr>
            <m:ctrlPr>
              <w:rPr>
                <w:rFonts w:ascii="Cambria Math" w:hAnsi="Cambria Math"/>
                <w:sz w:val="24"/>
              </w:rPr>
            </m:ctrlPr>
          </m:sSubPr>
          <m:e>
            <m:r>
              <w:rPr>
                <w:rFonts w:ascii="Cambria Math" w:hAnsi="Cambria Math"/>
                <w:sz w:val="24"/>
              </w:rPr>
              <m:t>∆RCDS</m:t>
            </m:r>
          </m:e>
          <m:sub>
            <m:sSup>
              <m:sSupPr>
                <m:ctrlPr>
                  <w:rPr>
                    <w:rFonts w:ascii="Cambria Math" w:hAnsi="Cambria Math"/>
                    <w:sz w:val="24"/>
                  </w:rPr>
                </m:ctrlPr>
              </m:sSupPr>
              <m:e>
                <m:r>
                  <w:rPr>
                    <w:rFonts w:ascii="Cambria Math" w:hAnsi="Cambria Math"/>
                    <w:sz w:val="24"/>
                  </w:rPr>
                  <m:t>i</m:t>
                </m:r>
              </m:e>
              <m:sup>
                <m:r>
                  <w:rPr>
                    <w:rFonts w:ascii="Cambria Math" w:hAnsi="Cambria Math"/>
                    <w:sz w:val="24"/>
                  </w:rPr>
                  <m:t>'</m:t>
                </m:r>
              </m:sup>
            </m:sSup>
            <m:r>
              <w:rPr>
                <w:rFonts w:ascii="Cambria Math" w:hAnsi="Cambria Math"/>
                <w:sz w:val="24"/>
              </w:rPr>
              <m:t>,j,t</m:t>
            </m:r>
          </m:sub>
        </m:sSub>
        <m:r>
          <w:rPr>
            <w:rFonts w:ascii="Cambria Math" w:hAnsi="Cambria Math"/>
            <w:sz w:val="24"/>
          </w:rPr>
          <m:t>+</m:t>
        </m:r>
        <m:sSub>
          <m:sSubPr>
            <m:ctrlPr>
              <w:rPr>
                <w:rFonts w:ascii="Cambria Math" w:hAnsi="Cambria Math"/>
                <w:sz w:val="24"/>
              </w:rPr>
            </m:ctrlPr>
          </m:sSubPr>
          <m:e>
            <m:r>
              <w:rPr>
                <w:rFonts w:ascii="Cambria Math" w:hAnsi="Cambria Math"/>
                <w:sz w:val="24"/>
              </w:rPr>
              <m:t>ε</m:t>
            </m:r>
          </m:e>
          <m:sub>
            <m:r>
              <w:rPr>
                <w:rFonts w:ascii="Cambria Math" w:hAnsi="Cambria Math"/>
                <w:sz w:val="24"/>
              </w:rPr>
              <m:t>i,t</m:t>
            </m:r>
          </m:sub>
        </m:sSub>
      </m:oMath>
    </w:p>
    <w:p w14:paraId="5F6B8CE6" w14:textId="77777777" w:rsidR="00E363B7" w:rsidRPr="00E363B7" w:rsidRDefault="00E363B7" w:rsidP="00E771B5">
      <w:pPr>
        <w:rPr>
          <w:rFonts w:eastAsiaTheme="minorEastAsia"/>
        </w:rPr>
      </w:pPr>
    </w:p>
    <w:p w14:paraId="3C66F774" w14:textId="78BF7A75" w:rsidR="00E771B5" w:rsidRPr="00E363B7" w:rsidRDefault="00362A5F" w:rsidP="00E771B5">
      <w:pPr>
        <w:rPr>
          <w:rFonts w:eastAsiaTheme="minorEastAsia"/>
        </w:rPr>
      </w:pPr>
      <m:oMathPara>
        <m:oMathParaPr>
          <m:jc m:val="left"/>
        </m:oMathParaPr>
        <m:oMath>
          <m:r>
            <w:rPr>
              <w:rFonts w:ascii="Cambria Math" w:hAnsi="Cambria Math"/>
            </w:rPr>
            <m:t>Jan 1, 2014≤t&lt;July 1, 2019</m:t>
          </m:r>
        </m:oMath>
      </m:oMathPara>
    </w:p>
    <w:p w14:paraId="3164073C" w14:textId="77777777" w:rsidR="00C327D5" w:rsidRDefault="00C327D5" w:rsidP="00604FB5">
      <w:pPr>
        <w:jc w:val="center"/>
        <w:rPr>
          <w:rFonts w:eastAsiaTheme="minorEastAsia"/>
        </w:rPr>
      </w:pPr>
    </w:p>
    <w:p w14:paraId="538E4754" w14:textId="3F924565" w:rsidR="003B7536" w:rsidRPr="008B79D5" w:rsidRDefault="00E363B7" w:rsidP="00E771B5">
      <w:pPr>
        <w:rPr>
          <w:rFonts w:eastAsiaTheme="minorEastAsia"/>
        </w:rPr>
      </w:pPr>
      <w:r>
        <w:rPr>
          <w:rFonts w:eastAsiaTheme="minorEastAsia"/>
        </w:rPr>
        <w:t>w</w:t>
      </w:r>
      <w:r w:rsidR="00362A5F" w:rsidRPr="009D0FDD">
        <w:rPr>
          <w:rFonts w:eastAsiaTheme="minorEastAsia"/>
        </w:rPr>
        <w:t>here</w:t>
      </w:r>
      <w:r>
        <w:rPr>
          <w:rFonts w:eastAsiaTheme="minorEastAsia"/>
        </w:rPr>
        <w:t xml:space="preserve">            </w:t>
      </w:r>
      <m:oMath>
        <m:sSub>
          <m:sSubPr>
            <m:ctrlPr>
              <w:rPr>
                <w:rFonts w:ascii="Cambria Math" w:hAnsi="Cambria Math"/>
                <w:i/>
              </w:rPr>
            </m:ctrlPr>
          </m:sSubPr>
          <m:e>
            <m:r>
              <w:rPr>
                <w:rFonts w:ascii="Cambria Math" w:hAnsi="Cambria Math"/>
              </w:rPr>
              <m:t>∆cds</m:t>
            </m:r>
          </m:e>
          <m:sub>
            <m:r>
              <w:rPr>
                <w:rFonts w:ascii="Cambria Math" w:hAnsi="Cambria Math"/>
              </w:rPr>
              <m:t>i,t</m:t>
            </m:r>
          </m:sub>
        </m:sSub>
        <m:r>
          <w:rPr>
            <w:rFonts w:ascii="Cambria Math" w:hAnsi="Cambria Math"/>
          </w:rPr>
          <m:t>=ln</m:t>
        </m:r>
        <m:f>
          <m:fPr>
            <m:ctrlPr>
              <w:rPr>
                <w:rFonts w:ascii="Cambria Math" w:hAnsi="Cambria Math"/>
                <w:i/>
              </w:rPr>
            </m:ctrlPr>
          </m:fPr>
          <m:num>
            <m:sSub>
              <m:sSubPr>
                <m:ctrlPr>
                  <w:rPr>
                    <w:rFonts w:ascii="Cambria Math" w:hAnsi="Cambria Math"/>
                    <w:i/>
                  </w:rPr>
                </m:ctrlPr>
              </m:sSubPr>
              <m:e>
                <m:r>
                  <w:rPr>
                    <w:rFonts w:ascii="Cambria Math" w:hAnsi="Cambria Math"/>
                  </w:rPr>
                  <m:t>CDS</m:t>
                </m:r>
              </m:e>
              <m:sub>
                <m:r>
                  <w:rPr>
                    <w:rFonts w:ascii="Cambria Math" w:hAnsi="Cambria Math"/>
                  </w:rPr>
                  <m:t>i,t</m:t>
                </m:r>
              </m:sub>
            </m:sSub>
          </m:num>
          <m:den>
            <m:sSub>
              <m:sSubPr>
                <m:ctrlPr>
                  <w:rPr>
                    <w:rFonts w:ascii="Cambria Math" w:hAnsi="Cambria Math"/>
                    <w:i/>
                  </w:rPr>
                </m:ctrlPr>
              </m:sSubPr>
              <m:e>
                <m:r>
                  <w:rPr>
                    <w:rFonts w:ascii="Cambria Math" w:hAnsi="Cambria Math"/>
                  </w:rPr>
                  <m:t>CDS</m:t>
                </m:r>
              </m:e>
              <m:sub>
                <m:r>
                  <w:rPr>
                    <w:rFonts w:ascii="Cambria Math" w:hAnsi="Cambria Math"/>
                  </w:rPr>
                  <m:t>i,t-1</m:t>
                </m:r>
              </m:sub>
            </m:sSub>
          </m:den>
        </m:f>
      </m:oMath>
    </w:p>
    <w:p w14:paraId="0AE2A7A8" w14:textId="77777777" w:rsidR="008B79D5" w:rsidRPr="009D0FDD" w:rsidRDefault="008B79D5" w:rsidP="00E771B5">
      <w:pPr>
        <w:rPr>
          <w:rFonts w:eastAsiaTheme="minorEastAsia"/>
        </w:rPr>
      </w:pPr>
    </w:p>
    <w:p w14:paraId="2562AC5C" w14:textId="28088C4F" w:rsidR="00604FB5" w:rsidRDefault="00362A5F" w:rsidP="00700DB5">
      <w:r w:rsidRPr="009D0FDD">
        <w:t>Ou</w:t>
      </w:r>
      <w:r w:rsidR="007922B8" w:rsidRPr="009D0FDD">
        <w:t>r</w:t>
      </w:r>
      <w:r w:rsidRPr="009D0FDD">
        <w:t xml:space="preserve"> outcome variable is the daily change in the log CDS spread of country </w:t>
      </w:r>
      <m:oMath>
        <m:r>
          <w:rPr>
            <w:rFonts w:ascii="Cambria Math" w:hAnsi="Cambria Math"/>
          </w:rPr>
          <m:t>i</m:t>
        </m:r>
      </m:oMath>
      <w:r w:rsidRPr="009D0FDD">
        <w:t xml:space="preserve">. On the right-hand side, we include the lagged dependent variable, along with two factors. A global factor, </w:t>
      </w:r>
      <m:oMath>
        <m:sSub>
          <m:sSubPr>
            <m:ctrlPr>
              <w:rPr>
                <w:rFonts w:ascii="Cambria Math" w:hAnsi="Cambria Math"/>
                <w:i/>
              </w:rPr>
            </m:ctrlPr>
          </m:sSubPr>
          <m:e>
            <m:r>
              <w:rPr>
                <w:rFonts w:ascii="Cambria Math" w:hAnsi="Cambria Math"/>
              </w:rPr>
              <m:t>∆GDCS</m:t>
            </m:r>
          </m:e>
          <m:sub>
            <m:r>
              <w:rPr>
                <w:rFonts w:ascii="Cambria Math" w:hAnsi="Cambria Math"/>
              </w:rPr>
              <m:t>t</m:t>
            </m:r>
          </m:sub>
        </m:sSub>
      </m:oMath>
      <w:r w:rsidRPr="009D0FDD">
        <w:t xml:space="preserve"> and a regional </w:t>
      </w:r>
      <w:r w:rsidR="008B79D5">
        <w:t>EM</w:t>
      </w:r>
      <w:r w:rsidRPr="009D0FDD">
        <w:t xml:space="preserve"> factor </w:t>
      </w:r>
      <m:oMath>
        <m:sSub>
          <m:sSubPr>
            <m:ctrlPr>
              <w:rPr>
                <w:rFonts w:ascii="Cambria Math" w:hAnsi="Cambria Math"/>
                <w:i/>
              </w:rPr>
            </m:ctrlPr>
          </m:sSubPr>
          <m:e>
            <m:r>
              <w:rPr>
                <w:rFonts w:ascii="Cambria Math" w:hAnsi="Cambria Math"/>
              </w:rPr>
              <m:t>∆RDCS</m:t>
            </m:r>
          </m:e>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,j,t</m:t>
            </m:r>
          </m:sub>
        </m:sSub>
      </m:oMath>
      <w:r w:rsidRPr="009D0FDD">
        <w:t xml:space="preserve">. The global factor is </w:t>
      </w:r>
      <w:r w:rsidR="008B79D5">
        <w:t>constructed</w:t>
      </w:r>
      <w:r w:rsidRPr="009D0FDD">
        <w:t xml:space="preserve"> as the </w:t>
      </w:r>
      <w:r w:rsidR="009643C1" w:rsidRPr="009D0FDD">
        <w:t xml:space="preserve">GDP-weighted </w:t>
      </w:r>
      <w:r w:rsidRPr="009D0FDD">
        <w:t xml:space="preserve">cross-section average of daily log CDS changes over </w:t>
      </w:r>
      <w:r w:rsidR="006D7D10" w:rsidRPr="009D0FDD">
        <w:t xml:space="preserve">a reference group </w:t>
      </w:r>
      <w:r w:rsidR="009643C1" w:rsidRPr="009D0FDD">
        <w:t>of 20 advanced economies</w:t>
      </w:r>
      <w:r w:rsidR="00496B69">
        <w:t xml:space="preserve">; the </w:t>
      </w:r>
      <w:r w:rsidR="009643C1" w:rsidRPr="009D0FDD">
        <w:t xml:space="preserve">US, Japan, and </w:t>
      </w:r>
      <w:r w:rsidR="00446018" w:rsidRPr="009D0FDD">
        <w:t>18</w:t>
      </w:r>
      <w:r w:rsidR="009643C1" w:rsidRPr="009D0FDD">
        <w:t xml:space="preserve"> Eurozone member states</w:t>
      </w:r>
      <w:r w:rsidR="00496B69">
        <w:t>.</w:t>
      </w:r>
      <w:r w:rsidR="00496B69">
        <w:rPr>
          <w:rStyle w:val="FootnoteReference"/>
        </w:rPr>
        <w:footnoteReference w:id="3"/>
      </w:r>
      <w:r w:rsidR="00347B87" w:rsidRPr="009D0FDD">
        <w:t xml:space="preserve"> </w:t>
      </w:r>
      <w:r w:rsidR="00496B69">
        <w:t xml:space="preserve">It </w:t>
      </w:r>
      <w:r w:rsidR="00347B87" w:rsidRPr="009D0FDD">
        <w:t xml:space="preserve">therefore </w:t>
      </w:r>
      <w:r w:rsidR="00496B69">
        <w:t>captures</w:t>
      </w:r>
      <w:r w:rsidR="00347B87" w:rsidRPr="009D0FDD">
        <w:t xml:space="preserve"> the common component of sovereign risk fluctuations at the global level.</w:t>
      </w:r>
      <w:r w:rsidR="00446018" w:rsidRPr="009D0FDD">
        <w:rPr>
          <w:rStyle w:val="FootnoteReference"/>
          <w:rFonts w:eastAsiaTheme="minorEastAsia"/>
        </w:rPr>
        <w:footnoteReference w:id="4"/>
      </w:r>
      <w:r w:rsidR="009643C1" w:rsidRPr="009D0FDD">
        <w:t xml:space="preserve"> The regional factor is </w:t>
      </w:r>
      <w:r w:rsidR="00446018" w:rsidRPr="009D0FDD">
        <w:t>constructed</w:t>
      </w:r>
      <w:r w:rsidR="009643C1" w:rsidRPr="009D0FDD">
        <w:t xml:space="preserve"> slightly differently. It is the GDP-weighted cross-section average of daily log CDS changes over </w:t>
      </w:r>
      <w:r w:rsidR="00446018" w:rsidRPr="009D0FDD">
        <w:t xml:space="preserve">a country’s </w:t>
      </w:r>
      <w:r w:rsidR="00347B87" w:rsidRPr="009D0FDD">
        <w:t xml:space="preserve">reference </w:t>
      </w:r>
      <w:r w:rsidR="00446018" w:rsidRPr="009D0FDD">
        <w:t>sovereigns</w:t>
      </w:r>
      <w:r w:rsidR="00604FB5">
        <w:t xml:space="preserve"> in its region</w:t>
      </w:r>
      <w:r w:rsidR="009643C1" w:rsidRPr="009D0FDD">
        <w:t xml:space="preserve">. </w:t>
      </w:r>
      <w:r w:rsidR="00446018" w:rsidRPr="009D0FDD">
        <w:t>That is</w:t>
      </w:r>
      <w:r w:rsidR="009643C1" w:rsidRPr="009D0FDD">
        <w:t xml:space="preserve">, </w:t>
      </w:r>
      <w:r w:rsidR="00347B87" w:rsidRPr="009D0FDD">
        <w:t xml:space="preserve">the </w:t>
      </w:r>
      <w:r w:rsidR="009643C1" w:rsidRPr="009D0FDD">
        <w:t xml:space="preserve">30 emerging markets were first sorted into </w:t>
      </w:r>
      <w:r w:rsidR="00347B87" w:rsidRPr="009D0FDD">
        <w:t xml:space="preserve">seven reference groups based on geographic proximity </w:t>
      </w:r>
      <w:r w:rsidR="00700DB5" w:rsidRPr="009D0FDD">
        <w:t>and oil-export dependence</w:t>
      </w:r>
      <w:r w:rsidR="00347B87" w:rsidRPr="009D0FDD">
        <w:t>. These groups and their constituent emerging markets can be found in</w:t>
      </w:r>
      <w:r w:rsidR="006B4ED9">
        <w:t xml:space="preserve"> </w:t>
      </w:r>
      <w:r w:rsidR="006B4ED9">
        <w:fldChar w:fldCharType="begin"/>
      </w:r>
      <w:r w:rsidR="006B4ED9">
        <w:instrText xml:space="preserve"> REF _Ref51847080 \h </w:instrText>
      </w:r>
      <w:r w:rsidR="006B4ED9">
        <w:fldChar w:fldCharType="separate"/>
      </w:r>
      <w:r w:rsidR="00F03B5A" w:rsidRPr="00491848">
        <w:t xml:space="preserve">Table </w:t>
      </w:r>
      <w:r w:rsidR="00F03B5A">
        <w:rPr>
          <w:noProof/>
        </w:rPr>
        <w:t>3</w:t>
      </w:r>
      <w:r w:rsidR="006B4ED9">
        <w:fldChar w:fldCharType="end"/>
      </w:r>
      <w:r w:rsidR="00604FB5">
        <w:t>.</w:t>
      </w:r>
      <w:r w:rsidR="00347B87" w:rsidRPr="009D0FDD">
        <w:t xml:space="preserve"> </w:t>
      </w:r>
    </w:p>
    <w:p w14:paraId="6B29B006" w14:textId="14C94E0B" w:rsidR="00604FB5" w:rsidRDefault="00604FB5" w:rsidP="00700DB5"/>
    <w:p w14:paraId="37377834" w14:textId="3630EB8E" w:rsidR="00604FB5" w:rsidRDefault="00604FB5" w:rsidP="00604FB5">
      <w:pPr>
        <w:rPr>
          <w:rFonts w:ascii="TimesNewRomanPSMT" w:hAnsi="TimesNewRomanPSMT"/>
        </w:rPr>
      </w:pPr>
      <w:r w:rsidRPr="009D0FDD">
        <w:t xml:space="preserve">We </w:t>
      </w:r>
      <w:r w:rsidRPr="009D0FDD">
        <w:rPr>
          <w:noProof/>
        </w:rPr>
        <w:t>estimate</w:t>
      </w:r>
      <w:r w:rsidRPr="009D0FDD">
        <w:t xml:space="preserve"> the model over the pre-COVID period of January 1, 2014 through June 30, 2019. Instead of estimating the model through the end of 2019, we choose this particular window because it leaves July to December 2019 to validate the out-of-sample accuracy of our model before the COVID shock hit in 2020. Finally, the COVID residual is defined as</w:t>
      </w:r>
      <w:r w:rsidRPr="009D0FDD">
        <w:rPr>
          <w:rFonts w:ascii="TimesNewRomanPSMT" w:hAnsi="TimesNewRomanPSMT"/>
        </w:rPr>
        <w:t xml:space="preserve"> </w:t>
      </w:r>
    </w:p>
    <w:p w14:paraId="0DC975B7" w14:textId="77777777" w:rsidR="006702A7" w:rsidRDefault="006702A7" w:rsidP="00604FB5">
      <w:pPr>
        <w:rPr>
          <w:rFonts w:ascii="TimesNewRomanPSMT" w:hAnsi="TimesNewRomanPSMT"/>
        </w:rPr>
      </w:pPr>
    </w:p>
    <w:p w14:paraId="175D6D48" w14:textId="77777777" w:rsidR="00E363B7" w:rsidRDefault="00C327D5" w:rsidP="00E363B7">
      <w:pPr>
        <w:pStyle w:val="Caption"/>
        <w:rPr>
          <w:rFonts w:ascii="TimesNewRomanPSMT" w:hAnsi="TimesNewRomanPSMT"/>
          <w:sz w:val="28"/>
        </w:rPr>
      </w:pPr>
      <w:bookmarkStart w:id="19" w:name="_Ref51591662"/>
      <w:r w:rsidRPr="00E363B7">
        <w:rPr>
          <w:sz w:val="20"/>
        </w:rPr>
        <w:t>(</w:t>
      </w:r>
      <w:r w:rsidR="005E11EC" w:rsidRPr="00E363B7">
        <w:rPr>
          <w:sz w:val="20"/>
        </w:rPr>
        <w:fldChar w:fldCharType="begin"/>
      </w:r>
      <w:r w:rsidR="005E11EC" w:rsidRPr="00E363B7">
        <w:rPr>
          <w:sz w:val="20"/>
        </w:rPr>
        <w:instrText xml:space="preserve"> SEQ Equation \* ARABIC </w:instrText>
      </w:r>
      <w:r w:rsidR="005E11EC" w:rsidRPr="00E363B7">
        <w:rPr>
          <w:sz w:val="20"/>
        </w:rPr>
        <w:fldChar w:fldCharType="separate"/>
      </w:r>
      <w:r w:rsidR="00F03B5A" w:rsidRPr="00E363B7">
        <w:rPr>
          <w:noProof/>
          <w:sz w:val="20"/>
        </w:rPr>
        <w:t>2</w:t>
      </w:r>
      <w:r w:rsidR="005E11EC" w:rsidRPr="00E363B7">
        <w:rPr>
          <w:noProof/>
          <w:sz w:val="20"/>
        </w:rPr>
        <w:fldChar w:fldCharType="end"/>
      </w:r>
      <w:bookmarkEnd w:id="19"/>
      <w:r w:rsidRPr="00E363B7">
        <w:rPr>
          <w:noProof/>
          <w:sz w:val="20"/>
        </w:rPr>
        <w:t>)</w:t>
      </w:r>
      <w:r w:rsidR="00E363B7">
        <w:rPr>
          <w:rFonts w:ascii="TimesNewRomanPSMT" w:hAnsi="TimesNewRomanPSMT"/>
          <w:sz w:val="20"/>
        </w:rPr>
        <w:t xml:space="preserve">             </w:t>
      </w:r>
      <m:oMath>
        <m:r>
          <w:rPr>
            <w:rFonts w:ascii="Cambria Math" w:hAnsi="Cambria Math"/>
            <w:sz w:val="28"/>
          </w:rPr>
          <m:t xml:space="preserve"> ∆</m:t>
        </m:r>
        <m:sSub>
          <m:sSubPr>
            <m:ctrlPr>
              <w:rPr>
                <w:rFonts w:ascii="Cambria Math" w:hAnsi="Cambria Math"/>
                <w:sz w:val="28"/>
              </w:rPr>
            </m:ctrlPr>
          </m:sSubPr>
          <m:e>
            <m:r>
              <w:rPr>
                <w:rFonts w:ascii="Cambria Math" w:hAnsi="Cambria Math"/>
                <w:sz w:val="28"/>
              </w:rPr>
              <m:t>cr</m:t>
            </m:r>
          </m:e>
          <m:sub>
            <m:r>
              <w:rPr>
                <w:rFonts w:ascii="Cambria Math" w:hAnsi="Cambria Math"/>
                <w:sz w:val="28"/>
              </w:rPr>
              <m:t>it</m:t>
            </m:r>
          </m:sub>
        </m:sSub>
        <m:r>
          <w:rPr>
            <w:rFonts w:ascii="Cambria Math" w:hAnsi="Cambria Math"/>
            <w:sz w:val="28"/>
          </w:rPr>
          <m:t>= ∆</m:t>
        </m:r>
        <m:sSub>
          <m:sSubPr>
            <m:ctrlPr>
              <w:rPr>
                <w:rFonts w:ascii="Cambria Math" w:hAnsi="Cambria Math"/>
                <w:sz w:val="28"/>
              </w:rPr>
            </m:ctrlPr>
          </m:sSubPr>
          <m:e>
            <m:r>
              <w:rPr>
                <w:rFonts w:ascii="Cambria Math" w:hAnsi="Cambria Math"/>
                <w:sz w:val="28"/>
              </w:rPr>
              <m:t>cds</m:t>
            </m:r>
          </m:e>
          <m:sub>
            <m:r>
              <w:rPr>
                <w:rFonts w:ascii="Cambria Math" w:hAnsi="Cambria Math"/>
                <w:sz w:val="28"/>
              </w:rPr>
              <m:t>it</m:t>
            </m:r>
          </m:sub>
        </m:sSub>
        <m:r>
          <w:rPr>
            <w:rFonts w:ascii="Cambria Math" w:hAnsi="Cambria Math"/>
            <w:sz w:val="28"/>
          </w:rPr>
          <m:t>-</m:t>
        </m:r>
        <m:sSub>
          <m:sSubPr>
            <m:ctrlPr>
              <w:rPr>
                <w:rFonts w:ascii="Cambria Math" w:eastAsiaTheme="minorHAnsi" w:hAnsi="Cambria Math" w:cstheme="minorBidi"/>
                <w:sz w:val="28"/>
                <w:lang w:eastAsia="en-US"/>
              </w:rPr>
            </m:ctrlPr>
          </m:sSubPr>
          <m:e>
            <m:r>
              <w:rPr>
                <w:rFonts w:ascii="Cambria Math" w:eastAsiaTheme="minorHAnsi" w:hAnsi="Cambria Math" w:cstheme="minorBidi"/>
                <w:sz w:val="28"/>
                <w:lang w:eastAsia="en-US"/>
              </w:rPr>
              <m:t>[</m:t>
            </m:r>
            <m:acc>
              <m:accPr>
                <m:ctrlPr>
                  <w:rPr>
                    <w:rFonts w:ascii="Cambria Math" w:hAnsi="Cambria Math"/>
                    <w:sz w:val="28"/>
                  </w:rPr>
                </m:ctrlPr>
              </m:accPr>
              <m:e>
                <m:r>
                  <w:rPr>
                    <w:rFonts w:ascii="Cambria Math" w:hAnsi="Cambria Math"/>
                    <w:sz w:val="28"/>
                  </w:rPr>
                  <m:t>α</m:t>
                </m:r>
              </m:e>
            </m:acc>
          </m:e>
          <m:sub>
            <m:r>
              <w:rPr>
                <w:rFonts w:ascii="Cambria Math" w:eastAsiaTheme="minorHAnsi" w:hAnsi="Cambria Math" w:cstheme="minorBidi"/>
                <w:sz w:val="28"/>
                <w:lang w:eastAsia="en-US"/>
              </w:rPr>
              <m:t>i</m:t>
            </m:r>
          </m:sub>
        </m:sSub>
        <m:r>
          <w:rPr>
            <w:rFonts w:ascii="Cambria Math" w:hAnsi="Cambria Math"/>
            <w:sz w:val="28"/>
          </w:rPr>
          <m:t>+</m:t>
        </m:r>
        <m:sSub>
          <m:sSubPr>
            <m:ctrlPr>
              <w:rPr>
                <w:rFonts w:ascii="Cambria Math" w:eastAsiaTheme="minorHAnsi" w:hAnsi="Cambria Math" w:cstheme="minorBidi"/>
                <w:sz w:val="28"/>
                <w:lang w:eastAsia="en-US"/>
              </w:rPr>
            </m:ctrlPr>
          </m:sSubPr>
          <m:e>
            <m:acc>
              <m:accPr>
                <m:ctrlPr>
                  <w:rPr>
                    <w:rFonts w:ascii="Cambria Math" w:hAnsi="Cambria Math"/>
                    <w:sz w:val="28"/>
                  </w:rPr>
                </m:ctrlPr>
              </m:accPr>
              <m:e>
                <m:r>
                  <w:rPr>
                    <w:rFonts w:ascii="Cambria Math" w:hAnsi="Cambria Math"/>
                    <w:sz w:val="28"/>
                  </w:rPr>
                  <m:t>ϕ</m:t>
                </m:r>
              </m:e>
            </m:acc>
          </m:e>
          <m:sub>
            <m:r>
              <w:rPr>
                <w:rFonts w:ascii="Cambria Math" w:eastAsiaTheme="minorHAnsi" w:hAnsi="Cambria Math" w:cstheme="minorBidi"/>
                <w:sz w:val="28"/>
                <w:lang w:eastAsia="en-US"/>
              </w:rPr>
              <m:t>i</m:t>
            </m:r>
          </m:sub>
        </m:sSub>
        <m:sSub>
          <m:sSubPr>
            <m:ctrlPr>
              <w:rPr>
                <w:rFonts w:ascii="Cambria Math" w:hAnsi="Cambria Math"/>
                <w:sz w:val="28"/>
              </w:rPr>
            </m:ctrlPr>
          </m:sSubPr>
          <m:e>
            <m:r>
              <w:rPr>
                <w:rFonts w:ascii="Cambria Math" w:hAnsi="Cambria Math"/>
                <w:sz w:val="28"/>
              </w:rPr>
              <m:t>∆cds</m:t>
            </m:r>
          </m:e>
          <m:sub>
            <m:r>
              <w:rPr>
                <w:rFonts w:ascii="Cambria Math" w:hAnsi="Cambria Math"/>
                <w:sz w:val="28"/>
              </w:rPr>
              <m:t>i,t</m:t>
            </m:r>
            <m:r>
              <w:rPr>
                <w:rFonts w:ascii="Cambria Math" w:eastAsiaTheme="minorHAnsi" w:hAnsi="Cambria Math" w:cstheme="minorBidi"/>
                <w:sz w:val="28"/>
                <w:lang w:eastAsia="en-US"/>
              </w:rPr>
              <m:t>-</m:t>
            </m:r>
            <m:r>
              <w:rPr>
                <w:rFonts w:ascii="Cambria Math" w:hAnsi="Cambria Math"/>
                <w:sz w:val="28"/>
              </w:rPr>
              <m:t>1</m:t>
            </m:r>
          </m:sub>
        </m:sSub>
        <m:r>
          <w:rPr>
            <w:rFonts w:ascii="Cambria Math" w:hAnsi="Cambria Math"/>
            <w:sz w:val="28"/>
          </w:rPr>
          <m:t>+</m:t>
        </m:r>
        <m:sSub>
          <m:sSubPr>
            <m:ctrlPr>
              <w:rPr>
                <w:rFonts w:ascii="Cambria Math" w:hAnsi="Cambria Math"/>
                <w:sz w:val="28"/>
              </w:rPr>
            </m:ctrlPr>
          </m:sSubPr>
          <m:e>
            <m:acc>
              <m:accPr>
                <m:ctrlPr>
                  <w:rPr>
                    <w:rFonts w:ascii="Cambria Math" w:hAnsi="Cambria Math"/>
                    <w:sz w:val="28"/>
                  </w:rPr>
                </m:ctrlPr>
              </m:accPr>
              <m:e>
                <m:r>
                  <w:rPr>
                    <w:rFonts w:ascii="Cambria Math" w:eastAsiaTheme="minorHAnsi" w:hAnsi="Cambria Math" w:cstheme="minorBidi"/>
                    <w:sz w:val="28"/>
                    <w:lang w:eastAsia="en-US"/>
                  </w:rPr>
                  <m:t>β</m:t>
                </m:r>
                <m:ctrlPr>
                  <w:rPr>
                    <w:rFonts w:ascii="Cambria Math" w:eastAsiaTheme="minorHAnsi" w:hAnsi="Cambria Math" w:cstheme="minorBidi"/>
                    <w:sz w:val="28"/>
                    <w:lang w:eastAsia="en-US"/>
                  </w:rPr>
                </m:ctrlPr>
              </m:e>
            </m:acc>
          </m:e>
          <m:sub>
            <m:r>
              <w:rPr>
                <w:rFonts w:ascii="Cambria Math" w:hAnsi="Cambria Math"/>
                <w:sz w:val="28"/>
              </w:rPr>
              <m:t>i1</m:t>
            </m:r>
          </m:sub>
        </m:sSub>
        <m:sSub>
          <m:sSubPr>
            <m:ctrlPr>
              <w:rPr>
                <w:rFonts w:ascii="Cambria Math" w:hAnsi="Cambria Math"/>
                <w:sz w:val="28"/>
              </w:rPr>
            </m:ctrlPr>
          </m:sSubPr>
          <m:e>
            <m:r>
              <w:rPr>
                <w:rFonts w:ascii="Cambria Math" w:eastAsiaTheme="minorHAnsi" w:hAnsi="Cambria Math" w:cstheme="minorBidi"/>
                <w:sz w:val="28"/>
                <w:lang w:eastAsia="en-US"/>
              </w:rPr>
              <m:t>∆</m:t>
            </m:r>
            <m:r>
              <w:rPr>
                <w:rFonts w:ascii="Cambria Math" w:hAnsi="Cambria Math"/>
                <w:sz w:val="28"/>
              </w:rPr>
              <m:t>GCDS</m:t>
            </m:r>
          </m:e>
          <m:sub>
            <m:r>
              <w:rPr>
                <w:rFonts w:ascii="Cambria Math" w:hAnsi="Cambria Math"/>
                <w:sz w:val="28"/>
              </w:rPr>
              <m:t>t</m:t>
            </m:r>
          </m:sub>
        </m:sSub>
        <m:r>
          <w:rPr>
            <w:rFonts w:ascii="Cambria Math" w:eastAsiaTheme="minorHAnsi" w:hAnsi="Cambria Math" w:cstheme="minorBidi"/>
            <w:sz w:val="28"/>
            <w:lang w:eastAsia="en-US"/>
          </w:rPr>
          <m:t>+</m:t>
        </m:r>
        <m:r>
          <w:rPr>
            <w:rFonts w:ascii="Cambria Math" w:hAnsi="Cambria Math"/>
            <w:sz w:val="28"/>
          </w:rPr>
          <m:t xml:space="preserve"> </m:t>
        </m:r>
        <m:sSub>
          <m:sSubPr>
            <m:ctrlPr>
              <w:rPr>
                <w:rFonts w:ascii="Cambria Math" w:hAnsi="Cambria Math"/>
                <w:sz w:val="28"/>
              </w:rPr>
            </m:ctrlPr>
          </m:sSubPr>
          <m:e>
            <m:acc>
              <m:accPr>
                <m:ctrlPr>
                  <w:rPr>
                    <w:rFonts w:ascii="Cambria Math" w:hAnsi="Cambria Math"/>
                    <w:sz w:val="28"/>
                  </w:rPr>
                </m:ctrlPr>
              </m:accPr>
              <m:e>
                <m:r>
                  <w:rPr>
                    <w:rFonts w:ascii="Cambria Math" w:eastAsiaTheme="minorHAnsi" w:hAnsi="Cambria Math" w:cstheme="minorBidi"/>
                    <w:sz w:val="28"/>
                    <w:lang w:eastAsia="en-US"/>
                  </w:rPr>
                  <m:t>β</m:t>
                </m:r>
                <m:ctrlPr>
                  <w:rPr>
                    <w:rFonts w:ascii="Cambria Math" w:eastAsiaTheme="minorHAnsi" w:hAnsi="Cambria Math" w:cstheme="minorBidi"/>
                    <w:sz w:val="28"/>
                    <w:lang w:eastAsia="en-US"/>
                  </w:rPr>
                </m:ctrlPr>
              </m:e>
            </m:acc>
          </m:e>
          <m:sub>
            <m:r>
              <w:rPr>
                <w:rFonts w:ascii="Cambria Math" w:hAnsi="Cambria Math"/>
                <w:sz w:val="28"/>
              </w:rPr>
              <m:t>i2</m:t>
            </m:r>
          </m:sub>
        </m:sSub>
        <m:sSub>
          <m:sSubPr>
            <m:ctrlPr>
              <w:rPr>
                <w:rFonts w:ascii="Cambria Math" w:hAnsi="Cambria Math"/>
                <w:sz w:val="28"/>
              </w:rPr>
            </m:ctrlPr>
          </m:sSubPr>
          <m:e>
            <m:r>
              <w:rPr>
                <w:rFonts w:ascii="Cambria Math" w:hAnsi="Cambria Math"/>
                <w:sz w:val="28"/>
              </w:rPr>
              <m:t>∆RCDS</m:t>
            </m:r>
          </m:e>
          <m:sub>
            <m:sSup>
              <m:sSupPr>
                <m:ctrlPr>
                  <w:rPr>
                    <w:rFonts w:ascii="Cambria Math" w:hAnsi="Cambria Math"/>
                    <w:sz w:val="28"/>
                  </w:rPr>
                </m:ctrlPr>
              </m:sSupPr>
              <m:e>
                <m:r>
                  <w:rPr>
                    <w:rFonts w:ascii="Cambria Math" w:hAnsi="Cambria Math"/>
                    <w:sz w:val="28"/>
                  </w:rPr>
                  <m:t>i</m:t>
                </m:r>
              </m:e>
              <m:sup>
                <m:r>
                  <w:rPr>
                    <w:rFonts w:ascii="Cambria Math" w:hAnsi="Cambria Math"/>
                    <w:sz w:val="28"/>
                  </w:rPr>
                  <m:t>'</m:t>
                </m:r>
              </m:sup>
            </m:sSup>
            <m:r>
              <w:rPr>
                <w:rFonts w:ascii="Cambria Math" w:hAnsi="Cambria Math"/>
                <w:sz w:val="28"/>
              </w:rPr>
              <m:t>,</m:t>
            </m:r>
            <m:r>
              <w:rPr>
                <w:rFonts w:ascii="Cambria Math" w:eastAsiaTheme="minorHAnsi" w:hAnsi="Cambria Math" w:cstheme="minorBidi"/>
                <w:sz w:val="28"/>
                <w:lang w:eastAsia="en-US"/>
              </w:rPr>
              <m:t>j,t</m:t>
            </m:r>
          </m:sub>
        </m:sSub>
        <m:r>
          <w:rPr>
            <w:rFonts w:ascii="Cambria Math" w:hAnsi="Cambria Math"/>
            <w:sz w:val="28"/>
          </w:rPr>
          <m:t>]</m:t>
        </m:r>
      </m:oMath>
    </w:p>
    <w:p w14:paraId="54D5A9C1" w14:textId="6D775DFC" w:rsidR="00604FB5" w:rsidRPr="00E363B7" w:rsidRDefault="00604FB5" w:rsidP="00E363B7">
      <w:pPr>
        <w:pStyle w:val="Caption"/>
        <w:rPr>
          <w:rFonts w:ascii="TimesNewRomanPSMT" w:eastAsiaTheme="minorEastAsia" w:hAnsi="TimesNewRomanPSMT" w:cstheme="minorBidi"/>
          <w:i w:val="0"/>
          <w:sz w:val="26"/>
          <w:lang w:eastAsia="en-US"/>
        </w:rPr>
      </w:pPr>
      <m:oMathPara>
        <m:oMath>
          <m:r>
            <w:rPr>
              <w:rFonts w:ascii="Cambria Math" w:hAnsi="Cambria Math"/>
              <w:sz w:val="28"/>
            </w:rPr>
            <w:br/>
            <m:t>t≥July 1,</m:t>
          </m:r>
        </m:oMath>
      </m:oMathPara>
      <w:r w:rsidRPr="00E363B7">
        <w:rPr>
          <w:rFonts w:ascii="TimesNewRomanPSMT" w:eastAsiaTheme="minorEastAsia" w:hAnsi="TimesNewRomanPSMT" w:cstheme="minorBidi"/>
          <w:sz w:val="26"/>
          <w:lang w:eastAsia="en-US"/>
        </w:rPr>
        <w:t xml:space="preserve"> </w:t>
      </w:r>
      <m:oMath>
        <m:r>
          <w:rPr>
            <w:rFonts w:ascii="Cambria Math" w:hAnsi="Cambria Math"/>
            <w:sz w:val="28"/>
          </w:rPr>
          <m:t>2019,</m:t>
        </m:r>
      </m:oMath>
    </w:p>
    <w:p w14:paraId="4D790681" w14:textId="28D0DE83" w:rsidR="00604FB5" w:rsidRPr="009D0FDD" w:rsidRDefault="00604FB5" w:rsidP="00604FB5">
      <w:r w:rsidRPr="009D0FDD">
        <w:lastRenderedPageBreak/>
        <w:t xml:space="preserve">simply comparing the realized change in log CDS to the model-expected value, given the true realization of the factors and lagged log CDS change. </w:t>
      </w:r>
    </w:p>
    <w:p w14:paraId="36FB6146" w14:textId="77777777" w:rsidR="00604FB5" w:rsidRPr="00604FB5" w:rsidRDefault="00604FB5" w:rsidP="00604FB5">
      <w:pPr>
        <w:pStyle w:val="Heading3"/>
      </w:pPr>
      <w:bookmarkStart w:id="20" w:name="_Toc52018936"/>
      <w:r w:rsidRPr="00604FB5">
        <w:t>Global and regional risk exposures and emerging market fiscal fundamentals</w:t>
      </w:r>
      <w:bookmarkEnd w:id="20"/>
    </w:p>
    <w:p w14:paraId="64CF8F2C" w14:textId="70FF751F" w:rsidR="00604FB5" w:rsidRPr="009D0FDD" w:rsidRDefault="00491848" w:rsidP="00604FB5">
      <w:pPr>
        <w:rPr>
          <w:shd w:val="clear" w:color="auto" w:fill="FFFFFF"/>
        </w:rPr>
      </w:pPr>
      <w:r>
        <w:fldChar w:fldCharType="begin"/>
      </w:r>
      <w:r>
        <w:rPr>
          <w:noProof/>
        </w:rPr>
        <w:instrText xml:space="preserve"> REF _Ref50753532 \h </w:instrText>
      </w:r>
      <w:r>
        <w:fldChar w:fldCharType="separate"/>
      </w:r>
      <w:r w:rsidR="00F03B5A" w:rsidRPr="009D0FDD">
        <w:t xml:space="preserve">Figure </w:t>
      </w:r>
      <w:r w:rsidR="00F03B5A">
        <w:rPr>
          <w:noProof/>
        </w:rPr>
        <w:t>9</w:t>
      </w:r>
      <w:r>
        <w:fldChar w:fldCharType="end"/>
      </w:r>
      <w:r w:rsidR="00604FB5">
        <w:rPr>
          <w:noProof/>
        </w:rPr>
        <w:t xml:space="preserve"> </w:t>
      </w:r>
      <w:r w:rsidR="00604FB5" w:rsidRPr="009D0FDD">
        <w:t>plots public debt/GDP of EMs against their estimated global betas and regional be</w:t>
      </w:r>
      <w:r>
        <w:t>tas</w:t>
      </w:r>
      <w:r w:rsidR="00604FB5" w:rsidRPr="009D0FDD">
        <w:t>. The public debt/GDP measure is an average over annual data spanning from 2014-2018</w:t>
      </w:r>
      <w:r w:rsidR="00135168">
        <w:t>,</w:t>
      </w:r>
      <w:r w:rsidR="00334677">
        <w:t xml:space="preserve"> whereas </w:t>
      </w:r>
      <w:r w:rsidR="00135168">
        <w:t xml:space="preserve">we estimated </w:t>
      </w:r>
      <w:r w:rsidR="00334677">
        <w:t xml:space="preserve">the betas </w:t>
      </w:r>
      <w:r w:rsidR="00135168">
        <w:t>from</w:t>
      </w:r>
      <w:r w:rsidR="00334677">
        <w:t xml:space="preserve"> January 2014 to June 2019</w:t>
      </w:r>
      <w:r w:rsidR="00604FB5" w:rsidRPr="009D0FDD">
        <w:t xml:space="preserve">. The association between public debt levels and global betas are negative and relatively weaker, while </w:t>
      </w:r>
      <w:r w:rsidR="00604FB5" w:rsidRPr="009D0FDD">
        <w:rPr>
          <w:shd w:val="clear" w:color="auto" w:fill="FFFFFF"/>
        </w:rPr>
        <w:t xml:space="preserve">public debt levels are also negatively associated with regional betas across EM countries. </w:t>
      </w:r>
      <w:r w:rsidR="00135168">
        <w:rPr>
          <w:shd w:val="clear" w:color="auto" w:fill="FFFFFF"/>
        </w:rPr>
        <w:t>T</w:t>
      </w:r>
      <w:r w:rsidR="00604FB5" w:rsidRPr="009D0FDD">
        <w:rPr>
          <w:shd w:val="clear" w:color="auto" w:fill="FFFFFF"/>
        </w:rPr>
        <w:t>he correlation between regional betas and fiscal space is significant at the 10% level</w:t>
      </w:r>
      <w:r w:rsidR="006B4ED9">
        <w:rPr>
          <w:shd w:val="clear" w:color="auto" w:fill="FFFFFF"/>
        </w:rPr>
        <w:t>.</w:t>
      </w:r>
      <w:r w:rsidR="00BF17D1">
        <w:rPr>
          <w:shd w:val="clear" w:color="auto" w:fill="FFFFFF"/>
        </w:rPr>
        <w:t xml:space="preserve"> We also note that countries with large negative global betas tend to be those with large regional betas</w:t>
      </w:r>
      <w:r w:rsidR="00135168">
        <w:rPr>
          <w:shd w:val="clear" w:color="auto" w:fill="FFFFFF"/>
        </w:rPr>
        <w:t>. While Argentina is an exceptional case, several of these countries are large EM, i.e., Brazil, Mexico, Russia, South Africa, and Turkey</w:t>
      </w:r>
      <w:r w:rsidR="00BF17D1">
        <w:rPr>
          <w:shd w:val="clear" w:color="auto" w:fill="FFFFFF"/>
        </w:rPr>
        <w:t>.</w:t>
      </w:r>
    </w:p>
    <w:p w14:paraId="09B47589" w14:textId="77777777" w:rsidR="00604FB5" w:rsidRPr="009D0FDD" w:rsidRDefault="00604FB5" w:rsidP="00604FB5"/>
    <w:p w14:paraId="6B0DC77B" w14:textId="7EAF5AB3" w:rsidR="00604FB5" w:rsidRPr="009D0FDD" w:rsidRDefault="009C2185" w:rsidP="00604FB5">
      <w:pPr>
        <w:rPr>
          <w:u w:val="single"/>
          <w:shd w:val="clear" w:color="auto" w:fill="FFFFFF"/>
        </w:rPr>
      </w:pPr>
      <w:r>
        <w:fldChar w:fldCharType="begin"/>
      </w:r>
      <w:r>
        <w:rPr>
          <w:shd w:val="clear" w:color="auto" w:fill="FFFFFF"/>
        </w:rPr>
        <w:instrText xml:space="preserve"> REF _Ref50755356 \h </w:instrText>
      </w:r>
      <w:r>
        <w:fldChar w:fldCharType="separate"/>
      </w:r>
      <w:r w:rsidR="00F03B5A" w:rsidRPr="009D0FDD">
        <w:t xml:space="preserve">Figure </w:t>
      </w:r>
      <w:r w:rsidR="00F03B5A">
        <w:rPr>
          <w:noProof/>
        </w:rPr>
        <w:t>10</w:t>
      </w:r>
      <w:r>
        <w:fldChar w:fldCharType="end"/>
      </w:r>
      <w:r w:rsidR="00604FB5" w:rsidRPr="009D0FDD">
        <w:rPr>
          <w:shd w:val="clear" w:color="auto" w:fill="FFFFFF"/>
        </w:rPr>
        <w:t xml:space="preserve"> shows the correlation between COVID-related fiscal stimulus announced in 2020 and country-specific global and regional betas (</w:t>
      </w:r>
      <w:r w:rsidR="00334677">
        <w:rPr>
          <w:shd w:val="clear" w:color="auto" w:fill="FFFFFF"/>
        </w:rPr>
        <w:t xml:space="preserve">again </w:t>
      </w:r>
      <w:r w:rsidR="00604FB5" w:rsidRPr="009D0FDD">
        <w:rPr>
          <w:shd w:val="clear" w:color="auto" w:fill="FFFFFF"/>
        </w:rPr>
        <w:t xml:space="preserve">estimated over </w:t>
      </w:r>
      <w:r w:rsidR="00334677">
        <w:rPr>
          <w:shd w:val="clear" w:color="auto" w:fill="FFFFFF"/>
        </w:rPr>
        <w:t xml:space="preserve">January </w:t>
      </w:r>
      <w:r w:rsidR="00604FB5" w:rsidRPr="009D0FDD">
        <w:rPr>
          <w:shd w:val="clear" w:color="auto" w:fill="FFFFFF"/>
        </w:rPr>
        <w:t>2014</w:t>
      </w:r>
      <w:r w:rsidR="007C3E73">
        <w:rPr>
          <w:shd w:val="clear" w:color="auto" w:fill="FFFFFF"/>
        </w:rPr>
        <w:t xml:space="preserve"> to June </w:t>
      </w:r>
      <w:r w:rsidR="00604FB5" w:rsidRPr="009D0FDD">
        <w:rPr>
          <w:shd w:val="clear" w:color="auto" w:fill="FFFFFF"/>
        </w:rPr>
        <w:t>2019). Both regional and global betas positively associate with COVID-related fiscal stimulus size across emerging markets but not significantly so. This opens up two interpretations: On the one hand, since the coefficients are not statistically significant, we cannot rule out that systematically riskier countries (higher regional betas) issued less stimulus/GDP because of considerations of lacking fiscal space. On the other hand, if we removed the outlier Saudi Arabia from the sample, the coefficients would</w:t>
      </w:r>
      <w:r w:rsidR="00BE02D8">
        <w:rPr>
          <w:shd w:val="clear" w:color="auto" w:fill="FFFFFF"/>
        </w:rPr>
        <w:t xml:space="preserve"> potentially</w:t>
      </w:r>
      <w:r w:rsidR="00604FB5" w:rsidRPr="009D0FDD">
        <w:rPr>
          <w:shd w:val="clear" w:color="auto" w:fill="FFFFFF"/>
        </w:rPr>
        <w:t xml:space="preserve"> become significant. This in turn could imply that even though countries with high betas would typically have a hard time to engage in </w:t>
      </w:r>
      <w:r w:rsidR="00BE02D8">
        <w:rPr>
          <w:shd w:val="clear" w:color="auto" w:fill="FFFFFF"/>
        </w:rPr>
        <w:t>deficit spending</w:t>
      </w:r>
      <w:r w:rsidR="00604FB5" w:rsidRPr="009D0FDD">
        <w:rPr>
          <w:shd w:val="clear" w:color="auto" w:fill="FFFFFF"/>
        </w:rPr>
        <w:t xml:space="preserve">, the severity of the situation together with the low interest environment could mean that countries which would otherwise be perceived as risky were able to engage in stimulating the economy. </w:t>
      </w:r>
    </w:p>
    <w:p w14:paraId="0AAABB2A" w14:textId="77777777" w:rsidR="00604FB5" w:rsidRPr="009D0FDD" w:rsidRDefault="00604FB5" w:rsidP="00604FB5">
      <w:pPr>
        <w:rPr>
          <w:shd w:val="clear" w:color="auto" w:fill="FFFFFF"/>
        </w:rPr>
      </w:pPr>
    </w:p>
    <w:p w14:paraId="52DAE8F0" w14:textId="09E2FDDC" w:rsidR="00604FB5" w:rsidRPr="009D0FDD" w:rsidRDefault="00604FB5" w:rsidP="00604FB5">
      <w:pPr>
        <w:rPr>
          <w:shd w:val="clear" w:color="auto" w:fill="FFFFFF"/>
        </w:rPr>
      </w:pPr>
      <w:r w:rsidRPr="009D0FDD">
        <w:rPr>
          <w:shd w:val="clear" w:color="auto" w:fill="FFFFFF"/>
        </w:rPr>
        <w:t xml:space="preserve">Interestingly, these findings support the view that 1) The risk associated with limited fiscal space is priced into </w:t>
      </w:r>
      <w:r>
        <w:rPr>
          <w:shd w:val="clear" w:color="auto" w:fill="FFFFFF"/>
        </w:rPr>
        <w:t>EM</w:t>
      </w:r>
      <w:r w:rsidRPr="009D0FDD">
        <w:rPr>
          <w:shd w:val="clear" w:color="auto" w:fill="FFFFFF"/>
        </w:rPr>
        <w:t xml:space="preserve"> sovereign spreads during “normal times” and 2) country risk didn’t constrain, at least to some degree, the size of COVID stimulus which was able to be deployed. However, because of the small sample size of these associations, the interpretation of such relationships is made cautiously. </w:t>
      </w:r>
    </w:p>
    <w:p w14:paraId="33271F3F" w14:textId="77777777" w:rsidR="00604FB5" w:rsidRPr="00604FB5" w:rsidRDefault="00604FB5" w:rsidP="00604FB5">
      <w:pPr>
        <w:pStyle w:val="Heading3"/>
      </w:pPr>
      <w:bookmarkStart w:id="21" w:name="_Toc52018937"/>
      <w:r w:rsidRPr="00604FB5">
        <w:t>Model-implied spreads and COVID residuals, July 2019 to June 2020</w:t>
      </w:r>
      <w:bookmarkEnd w:id="21"/>
      <w:r w:rsidRPr="00604FB5">
        <w:t xml:space="preserve"> </w:t>
      </w:r>
    </w:p>
    <w:p w14:paraId="73714BD9" w14:textId="4843EAB6" w:rsidR="00B01669" w:rsidRDefault="00604FB5" w:rsidP="00604FB5">
      <w:r w:rsidRPr="009D0FDD">
        <w:t>After estimating/calibrating the factor model from January 2014 through June 2019, we extrapolate the model based on realized values from July 2019 through June</w:t>
      </w:r>
      <w:r w:rsidR="00F10B16">
        <w:t xml:space="preserve"> </w:t>
      </w:r>
      <w:r w:rsidRPr="009D0FDD">
        <w:t xml:space="preserve">2020 which spans the COVID period. The upper-left panel of </w:t>
      </w:r>
      <w:r w:rsidR="00BE02D8">
        <w:fldChar w:fldCharType="begin"/>
      </w:r>
      <w:r w:rsidR="00BE02D8">
        <w:instrText xml:space="preserve"> REF _Ref50756264 \h </w:instrText>
      </w:r>
      <w:r w:rsidR="00BE02D8">
        <w:fldChar w:fldCharType="separate"/>
      </w:r>
      <w:r w:rsidR="00F03B5A" w:rsidRPr="009D0FDD">
        <w:t xml:space="preserve">Figure </w:t>
      </w:r>
      <w:r w:rsidR="00F03B5A">
        <w:rPr>
          <w:noProof/>
        </w:rPr>
        <w:t>11</w:t>
      </w:r>
      <w:r w:rsidR="00BE02D8">
        <w:fldChar w:fldCharType="end"/>
      </w:r>
      <w:r w:rsidRPr="009D0FDD">
        <w:t xml:space="preserve"> traces the EM average cumulative log CDS change over this period (solid line) against that implied by the model (dashed line). Firstly, note that the model does a near perfect job from the beginning of July 2019 through to the end of 2019, the validation period of the model. At the beginning of 2020, the two series start to fluctuate a bit and a lift-off in both model</w:t>
      </w:r>
      <w:r w:rsidR="00BE02D8">
        <w:t>-</w:t>
      </w:r>
      <w:r w:rsidRPr="009D0FDD">
        <w:t>implied and actual values take</w:t>
      </w:r>
      <w:r w:rsidR="00BE02D8">
        <w:t>s</w:t>
      </w:r>
      <w:r w:rsidRPr="009D0FDD">
        <w:t xml:space="preserve"> place in March 2020, albeit the actual values sore considerably more than would be predicted by the model. Thus, this is also the point in time at which the realized values start to diverge from the model-implied values, triggered by panic over the COVID-pandemic. Hence, at the aggregate EM level, </w:t>
      </w:r>
      <w:r w:rsidRPr="009D0FDD">
        <w:lastRenderedPageBreak/>
        <w:t xml:space="preserve">the factor model on its own could not explain all of the variation in CDS adjustment due to the COVID shock. CDS spread widening ceased in mid to end of March when countries and central banks around the world announced massive economic support and relief packages, but the divergence between actual and model-implied changes persisted. </w:t>
      </w:r>
    </w:p>
    <w:p w14:paraId="20817A8E" w14:textId="3EF5D982" w:rsidR="00B01669" w:rsidRPr="009D0FDD" w:rsidRDefault="00B01669" w:rsidP="00B01669">
      <w:r>
        <w:fldChar w:fldCharType="begin"/>
      </w:r>
      <w:r>
        <w:instrText xml:space="preserve"> REF _Ref50756264 \h </w:instrText>
      </w:r>
      <w:r>
        <w:fldChar w:fldCharType="separate"/>
      </w:r>
      <w:r w:rsidR="00F03B5A" w:rsidRPr="009D0FDD">
        <w:t xml:space="preserve">Figure </w:t>
      </w:r>
      <w:r w:rsidR="00F03B5A">
        <w:rPr>
          <w:noProof/>
        </w:rPr>
        <w:t>11</w:t>
      </w:r>
      <w:r>
        <w:fldChar w:fldCharType="end"/>
      </w:r>
      <w:r>
        <w:t xml:space="preserve"> </w:t>
      </w:r>
      <w:r w:rsidRPr="009D0FDD">
        <w:t xml:space="preserve">upper-right charts the cross-sectional dispersion of CDS spreads over the same period. While the dispersion rose over the second half of 2019, it experienced an uptick in March 2020, highlighting the sharp rise in volatility amid the COVID pandemic. </w:t>
      </w:r>
    </w:p>
    <w:p w14:paraId="22474AAB" w14:textId="77777777" w:rsidR="00B01669" w:rsidRDefault="00B01669" w:rsidP="00B01669">
      <w:r w:rsidRPr="009D0FDD">
        <w:t xml:space="preserve">The lower charts compare the top 5 mortality versus the bottom 5 mortality EM countries (by end of April). The bottom-left chart indicates that the change in actual CDS values was more marked for high mortality countries than for low mortality countries, </w:t>
      </w:r>
      <w:r>
        <w:t>suggesting two things. On the one hand,</w:t>
      </w:r>
      <w:r w:rsidRPr="009D0FDD">
        <w:t xml:space="preserve"> COVID-specific risks are likely partially responsible for the spike in CDS spreads</w:t>
      </w:r>
      <w:r>
        <w:t>. On the other hand, this divergence may also indicate that country-specific risks are drivers of CDS spreads rather than just global and regional factors.</w:t>
      </w:r>
      <w:r w:rsidRPr="009D0FDD">
        <w:t xml:space="preserve"> </w:t>
      </w:r>
    </w:p>
    <w:p w14:paraId="240834A0" w14:textId="77777777" w:rsidR="00B01669" w:rsidRDefault="00B01669" w:rsidP="00B01669"/>
    <w:p w14:paraId="69D7A1EF" w14:textId="77777777" w:rsidR="00B01669" w:rsidRPr="009D0FDD" w:rsidRDefault="00B01669" w:rsidP="00B01669">
      <w:r w:rsidRPr="009D0FDD">
        <w:t xml:space="preserve">The bottom-right chart </w:t>
      </w:r>
      <w:r>
        <w:t xml:space="preserve">also </w:t>
      </w:r>
      <w:r w:rsidRPr="009D0FDD">
        <w:t>suggests two things</w:t>
      </w:r>
      <w:r>
        <w:t>:</w:t>
      </w:r>
      <w:r w:rsidRPr="009D0FDD">
        <w:t xml:space="preserve"> On the one hand, high mortality countries experienced more volatility in their CDS spreads than their low mortality counter parts. Equally, the residuals for low mortality countries were positive for the whole period and turned sharply positive in March 2020, which stands in contrast to high mortality countries’ residuals which turned sharply negative in March 2020 and then started to approach the low mortality residuals by the end of the evaluation period. </w:t>
      </w:r>
    </w:p>
    <w:p w14:paraId="769A8231" w14:textId="77777777" w:rsidR="00B01669" w:rsidRDefault="00B01669" w:rsidP="00604FB5"/>
    <w:p w14:paraId="061FCCC7" w14:textId="6432AE02" w:rsidR="00362797" w:rsidRPr="009D0FDD" w:rsidRDefault="009A1F4D" w:rsidP="00604FB5">
      <w:r>
        <w:t>A</w:t>
      </w:r>
      <w:r w:rsidR="00B01669">
        <w:t xml:space="preserve"> graphical inspection shows that for a number of countries individually the model does not do well even for the time period before COVID, i.e. for July 2019 to February 2020 (see </w:t>
      </w:r>
      <w:r w:rsidR="00B01669">
        <w:fldChar w:fldCharType="begin"/>
      </w:r>
      <w:r w:rsidR="00B01669">
        <w:instrText xml:space="preserve"> REF _Ref52016588 \h </w:instrText>
      </w:r>
      <w:r w:rsidR="00B01669">
        <w:fldChar w:fldCharType="separate"/>
      </w:r>
      <w:r w:rsidR="00F03B5A">
        <w:t xml:space="preserve">Figure </w:t>
      </w:r>
      <w:r w:rsidR="00F03B5A">
        <w:rPr>
          <w:noProof/>
        </w:rPr>
        <w:t>12</w:t>
      </w:r>
      <w:r w:rsidR="00B01669">
        <w:fldChar w:fldCharType="end"/>
      </w:r>
      <w:r w:rsidR="00B01669">
        <w:t>). A major factor behind this discrepancy may be credit events and restructurings some countries have with the IMF, World Bank or China. Including such outliers in the second stage would distort our results. Thus, we drop countries from the sample based on correlation coefficients between actual vs fitted values below 0.25, which results in our new “reduced” sample of 20 emerging markets</w:t>
      </w:r>
      <w:r>
        <w:t xml:space="preserve"> (see </w:t>
      </w:r>
      <w:r>
        <w:fldChar w:fldCharType="begin"/>
      </w:r>
      <w:r>
        <w:instrText xml:space="preserve"> REF _Ref52018089 \h </w:instrText>
      </w:r>
      <w:r>
        <w:fldChar w:fldCharType="separate"/>
      </w:r>
      <w:r w:rsidR="00F03B5A">
        <w:t xml:space="preserve">Table </w:t>
      </w:r>
      <w:r w:rsidR="00F03B5A">
        <w:rPr>
          <w:noProof/>
        </w:rPr>
        <w:t>4</w:t>
      </w:r>
      <w:r>
        <w:fldChar w:fldCharType="end"/>
      </w:r>
      <w:r>
        <w:t xml:space="preserve"> for a list of the countries in the reduced sample)</w:t>
      </w:r>
      <w:r w:rsidR="00B01669">
        <w:t xml:space="preserve">. </w:t>
      </w:r>
      <w:r w:rsidR="00B01669">
        <w:fldChar w:fldCharType="begin"/>
      </w:r>
      <w:r w:rsidR="00B01669">
        <w:instrText xml:space="preserve"> REF _Ref52016604 \h </w:instrText>
      </w:r>
      <w:r w:rsidR="00B01669">
        <w:fldChar w:fldCharType="separate"/>
      </w:r>
      <w:r w:rsidR="00F03B5A">
        <w:t xml:space="preserve">Figure </w:t>
      </w:r>
      <w:r w:rsidR="00F03B5A">
        <w:rPr>
          <w:noProof/>
        </w:rPr>
        <w:t>13</w:t>
      </w:r>
      <w:r w:rsidR="00B01669">
        <w:fldChar w:fldCharType="end"/>
      </w:r>
      <w:r w:rsidR="00B01669">
        <w:t xml:space="preserve"> </w:t>
      </w:r>
      <w:r w:rsidR="00B01669" w:rsidRPr="009D0FDD">
        <w:t xml:space="preserve">depicts the actual and estimated series </w:t>
      </w:r>
      <w:r w:rsidR="00B01669">
        <w:t>for this reduced sample</w:t>
      </w:r>
      <w:r w:rsidR="00B01669" w:rsidRPr="009D0FDD">
        <w:t xml:space="preserve">. It shows that for </w:t>
      </w:r>
      <w:r w:rsidR="00B01669">
        <w:t xml:space="preserve">the remaining countries in the sample, the </w:t>
      </w:r>
      <w:r w:rsidR="00B01669" w:rsidRPr="009D0FDD">
        <w:t>model does a good job for the out-of-sample period</w:t>
      </w:r>
      <w:r w:rsidR="00B01669">
        <w:t xml:space="preserve"> before COVID</w:t>
      </w:r>
      <w:r w:rsidR="00B01669" w:rsidRPr="009D0FDD">
        <w:t>.</w:t>
      </w:r>
    </w:p>
    <w:p w14:paraId="6434FAB9" w14:textId="000EB35D" w:rsidR="00B66820" w:rsidRPr="009D0FDD" w:rsidRDefault="00243BEE" w:rsidP="00687F45">
      <w:pPr>
        <w:pStyle w:val="Heading2"/>
      </w:pPr>
      <w:bookmarkStart w:id="22" w:name="_Toc52018938"/>
      <w:bookmarkStart w:id="23" w:name="_Ref50749337"/>
      <w:r w:rsidRPr="009D0FDD">
        <w:t xml:space="preserve">Second </w:t>
      </w:r>
      <w:r w:rsidR="002211D0" w:rsidRPr="009D0FDD">
        <w:t>s</w:t>
      </w:r>
      <w:r w:rsidRPr="009D0FDD">
        <w:t xml:space="preserve">tage </w:t>
      </w:r>
      <w:r w:rsidR="002211D0" w:rsidRPr="009D0FDD">
        <w:t>e</w:t>
      </w:r>
      <w:r w:rsidRPr="009D0FDD">
        <w:t xml:space="preserve">stimation, </w:t>
      </w:r>
      <w:r w:rsidR="0094309B" w:rsidRPr="009D0FDD">
        <w:t xml:space="preserve">January – June </w:t>
      </w:r>
      <w:r w:rsidRPr="009D0FDD">
        <w:t>2020</w:t>
      </w:r>
      <w:bookmarkEnd w:id="22"/>
    </w:p>
    <w:p w14:paraId="64B153FD" w14:textId="40F6831B" w:rsidR="00243BEE" w:rsidRPr="009D0FDD" w:rsidRDefault="00243BEE" w:rsidP="00243BEE">
      <w:r w:rsidRPr="009D0FDD">
        <w:t>For the second stage estimation, we separate the</w:t>
      </w:r>
      <w:r w:rsidR="002211D0" w:rsidRPr="009D0FDD">
        <w:t xml:space="preserve"> out-of-sample </w:t>
      </w:r>
      <w:r w:rsidRPr="009D0FDD">
        <w:t>period January</w:t>
      </w:r>
      <w:r w:rsidR="002211D0" w:rsidRPr="009D0FDD">
        <w:t xml:space="preserve"> </w:t>
      </w:r>
      <w:r w:rsidRPr="009D0FDD">
        <w:t>-</w:t>
      </w:r>
      <w:r w:rsidR="002211D0" w:rsidRPr="009D0FDD">
        <w:t xml:space="preserve"> </w:t>
      </w:r>
      <w:r w:rsidRPr="009D0FDD">
        <w:t xml:space="preserve">June 2020 into three </w:t>
      </w:r>
      <w:r w:rsidR="001063A1" w:rsidRPr="009D0FDD">
        <w:t>COVID-</w:t>
      </w:r>
      <w:r w:rsidRPr="009D0FDD">
        <w:t xml:space="preserve">subperiods: </w:t>
      </w:r>
    </w:p>
    <w:p w14:paraId="0A606C76" w14:textId="77777777" w:rsidR="00243BEE" w:rsidRPr="009D0FDD" w:rsidRDefault="00243BEE" w:rsidP="00243BEE">
      <w:pPr>
        <w:pStyle w:val="ListParagraph"/>
        <w:numPr>
          <w:ilvl w:val="0"/>
          <w:numId w:val="14"/>
        </w:numPr>
      </w:pPr>
      <w:r w:rsidRPr="009D0FDD">
        <w:t>January-February 2020 (early COVID)</w:t>
      </w:r>
    </w:p>
    <w:p w14:paraId="03CD32E7" w14:textId="2CA46E14" w:rsidR="00243BEE" w:rsidRPr="009D0FDD" w:rsidRDefault="00243BEE" w:rsidP="00243BEE">
      <w:pPr>
        <w:pStyle w:val="ListParagraph"/>
        <w:numPr>
          <w:ilvl w:val="0"/>
          <w:numId w:val="14"/>
        </w:numPr>
      </w:pPr>
      <w:r w:rsidRPr="009D0FDD">
        <w:t xml:space="preserve">March 2020 (peak COVID) </w:t>
      </w:r>
    </w:p>
    <w:p w14:paraId="29C9BBE0" w14:textId="4053B9C1" w:rsidR="002211D0" w:rsidRPr="009D0FDD" w:rsidRDefault="00243BEE" w:rsidP="002211D0">
      <w:pPr>
        <w:pStyle w:val="ListParagraph"/>
        <w:numPr>
          <w:ilvl w:val="0"/>
          <w:numId w:val="14"/>
        </w:numPr>
      </w:pPr>
      <w:r w:rsidRPr="009D0FDD">
        <w:t>April-June 2020 (late COVID)</w:t>
      </w:r>
    </w:p>
    <w:p w14:paraId="026F1C7E" w14:textId="6CA64BC5" w:rsidR="00B66820" w:rsidRPr="009D0FDD" w:rsidRDefault="008C1512" w:rsidP="008C1512">
      <w:r w:rsidRPr="009D0FDD">
        <w:t>By separating the out-of-sample period, we document that March is the period during which the realized values of daily CDS spread change</w:t>
      </w:r>
      <w:r w:rsidR="001063A1" w:rsidRPr="009D0FDD">
        <w:t>s</w:t>
      </w:r>
      <w:r w:rsidRPr="009D0FDD">
        <w:t xml:space="preserve"> diverged the most from the model-implied values, while the dynamic factor model does an excellent job of tracing the realized values before and after that (</w:t>
      </w:r>
      <w:r w:rsidRPr="009D0FDD">
        <w:fldChar w:fldCharType="begin"/>
      </w:r>
      <w:r w:rsidRPr="009D0FDD">
        <w:instrText xml:space="preserve"> REF _Ref50805219 \h </w:instrText>
      </w:r>
      <w:r w:rsidRPr="009D0FDD">
        <w:fldChar w:fldCharType="separate"/>
      </w:r>
      <w:r w:rsidR="00F03B5A" w:rsidRPr="009D0FDD">
        <w:t xml:space="preserve">Figure </w:t>
      </w:r>
      <w:r w:rsidR="00F03B5A">
        <w:rPr>
          <w:noProof/>
        </w:rPr>
        <w:t>14</w:t>
      </w:r>
      <w:r w:rsidRPr="009D0FDD">
        <w:fldChar w:fldCharType="end"/>
      </w:r>
      <w:r w:rsidRPr="009D0FDD">
        <w:t xml:space="preserve">). Furthermore, we observe that daily CDS spread changes were remarkably higher and more volatile in March 2020 than in the early and late COVID periods. As such, in the second stage estimation we focus on the peak COVID period to test whether COVID-specific indicators and or commodity related variables may account for the variation in CDS adjustment that is not explained by the factor model. To do so, we first broaden the realm of explanatory variables to no longer include </w:t>
      </w:r>
      <w:r w:rsidR="006D0DAE">
        <w:t>only</w:t>
      </w:r>
      <w:r w:rsidR="005502FA">
        <w:t xml:space="preserve"> </w:t>
      </w:r>
      <w:r w:rsidRPr="009D0FDD">
        <w:t>past log CDS changes and regional</w:t>
      </w:r>
      <w:r w:rsidR="005502FA">
        <w:t>/</w:t>
      </w:r>
      <w:r w:rsidRPr="009D0FDD">
        <w:t xml:space="preserve">global </w:t>
      </w:r>
      <w:r w:rsidR="005502FA">
        <w:t xml:space="preserve">log </w:t>
      </w:r>
      <w:r w:rsidR="005502FA">
        <w:lastRenderedPageBreak/>
        <w:t>CDS changes</w:t>
      </w:r>
      <w:r w:rsidRPr="009D0FDD">
        <w:t xml:space="preserve"> but </w:t>
      </w:r>
      <w:r w:rsidR="00F62D21" w:rsidRPr="009D0FDD">
        <w:t>a host of COVID-related variables as well as a variety of other controls</w:t>
      </w:r>
      <w:r w:rsidR="00B66820" w:rsidRPr="009D0FDD">
        <w:t>. The following data is used:</w:t>
      </w:r>
      <w:r w:rsidR="008328B2" w:rsidRPr="009D0FDD">
        <w:rPr>
          <w:rStyle w:val="FootnoteReference"/>
        </w:rPr>
        <w:footnoteReference w:id="5"/>
      </w:r>
      <w:r w:rsidR="00B66820" w:rsidRPr="009D0FDD">
        <w:t xml:space="preserve"> </w:t>
      </w:r>
    </w:p>
    <w:p w14:paraId="4EBF0CD7" w14:textId="140D225C" w:rsidR="00B66820" w:rsidRPr="009D0FDD" w:rsidRDefault="00B66820" w:rsidP="00687F45">
      <w:pPr>
        <w:pStyle w:val="Heading3"/>
      </w:pPr>
      <w:bookmarkStart w:id="24" w:name="_Ref50983795"/>
      <w:bookmarkStart w:id="25" w:name="_Ref50983804"/>
      <w:bookmarkStart w:id="26" w:name="_Ref50983822"/>
      <w:bookmarkStart w:id="27" w:name="_Ref50983830"/>
      <w:bookmarkStart w:id="28" w:name="_Ref50983858"/>
      <w:bookmarkStart w:id="29" w:name="_Toc52018939"/>
      <w:r w:rsidRPr="009D0FDD">
        <w:t>Data</w:t>
      </w:r>
      <w:bookmarkEnd w:id="24"/>
      <w:bookmarkEnd w:id="25"/>
      <w:bookmarkEnd w:id="26"/>
      <w:bookmarkEnd w:id="27"/>
      <w:bookmarkEnd w:id="28"/>
      <w:bookmarkEnd w:id="29"/>
    </w:p>
    <w:p w14:paraId="7D7F4D2B" w14:textId="055A1578" w:rsidR="00B57D52" w:rsidRPr="009D0FDD" w:rsidRDefault="00B57D52" w:rsidP="00B57D52">
      <w:pPr>
        <w:pStyle w:val="ListParagraph"/>
        <w:numPr>
          <w:ilvl w:val="0"/>
          <w:numId w:val="11"/>
        </w:numPr>
      </w:pPr>
      <w:r w:rsidRPr="009D0FDD">
        <w:rPr>
          <w:i/>
          <w:iCs/>
        </w:rPr>
        <w:t xml:space="preserve">Infections. </w:t>
      </w:r>
      <w:r w:rsidRPr="009D0FDD">
        <w:t xml:space="preserve">We use the daily infections per country reported by the Johns Hopkins University Center for Systems Science and Engineering (JHU CSSE). Counts include confirmed and </w:t>
      </w:r>
      <w:r w:rsidR="00B66820" w:rsidRPr="009D0FDD">
        <w:t>probable</w:t>
      </w:r>
      <w:r w:rsidRPr="009D0FDD">
        <w:t xml:space="preserve"> where reported.</w:t>
      </w:r>
    </w:p>
    <w:p w14:paraId="17C073F8" w14:textId="63145817" w:rsidR="00B57D52" w:rsidRPr="009D0FDD" w:rsidRDefault="00B57D52" w:rsidP="00B57D52">
      <w:pPr>
        <w:pStyle w:val="ListParagraph"/>
        <w:numPr>
          <w:ilvl w:val="0"/>
          <w:numId w:val="11"/>
        </w:numPr>
      </w:pPr>
      <w:r w:rsidRPr="009D0FDD">
        <w:rPr>
          <w:i/>
          <w:iCs/>
        </w:rPr>
        <w:t>Deaths</w:t>
      </w:r>
      <w:r w:rsidRPr="009D0FDD">
        <w:t xml:space="preserve">. We use the daily deaths per country reported by the JHU CSSE. Counts include confirmed and probably where reported. </w:t>
      </w:r>
    </w:p>
    <w:p w14:paraId="4D2DA29F" w14:textId="4C1076F4" w:rsidR="00B57D52" w:rsidRPr="009D0FDD" w:rsidRDefault="00B57D52" w:rsidP="00B57D52">
      <w:pPr>
        <w:pStyle w:val="ListParagraph"/>
        <w:numPr>
          <w:ilvl w:val="0"/>
          <w:numId w:val="11"/>
        </w:numPr>
        <w:rPr>
          <w:rFonts w:ascii="Times New Roman" w:hAnsi="Times New Roman"/>
        </w:rPr>
      </w:pPr>
      <w:r w:rsidRPr="009D0FDD">
        <w:rPr>
          <w:i/>
          <w:iCs/>
        </w:rPr>
        <w:t>Mobility</w:t>
      </w:r>
      <w:r w:rsidRPr="009D0FDD">
        <w:t>. We use the daily routing requests per country reported by Apple (driving; walking; transit</w:t>
      </w:r>
      <w:r w:rsidR="00B66820" w:rsidRPr="009D0FDD">
        <w:t>)</w:t>
      </w:r>
      <w:r w:rsidR="001063A1" w:rsidRPr="009D0FDD">
        <w:t>.</w:t>
      </w:r>
    </w:p>
    <w:p w14:paraId="6AC48A12" w14:textId="546F75DE" w:rsidR="00B57D52" w:rsidRPr="009D0FDD" w:rsidRDefault="00B57D52" w:rsidP="00B57D52">
      <w:pPr>
        <w:pStyle w:val="ListParagraph"/>
        <w:numPr>
          <w:ilvl w:val="0"/>
          <w:numId w:val="11"/>
        </w:numPr>
        <w:rPr>
          <w:rFonts w:ascii="Times New Roman" w:hAnsi="Times New Roman"/>
        </w:rPr>
      </w:pPr>
      <w:r w:rsidRPr="009D0FDD">
        <w:rPr>
          <w:i/>
          <w:iCs/>
        </w:rPr>
        <w:t>Stringency Index.</w:t>
      </w:r>
      <w:r w:rsidRPr="009D0FDD">
        <w:t xml:space="preserve"> We use the Oxford COVID-19 Government Response Tracker to measure the which records the strictness of </w:t>
      </w:r>
      <w:r w:rsidR="00B66820" w:rsidRPr="009D0FDD">
        <w:t>“</w:t>
      </w:r>
      <w:r w:rsidRPr="009D0FDD">
        <w:t>lockdown style</w:t>
      </w:r>
      <w:r w:rsidR="00B66820" w:rsidRPr="009D0FDD">
        <w:t>”</w:t>
      </w:r>
      <w:r w:rsidRPr="009D0FDD">
        <w:t xml:space="preserve"> policies that primarily restrict people’s </w:t>
      </w:r>
      <w:r w:rsidR="005502FA" w:rsidRPr="009D0FDD">
        <w:t>behavior</w:t>
      </w:r>
    </w:p>
    <w:p w14:paraId="10F1CC5A" w14:textId="0985B783" w:rsidR="00B57D52" w:rsidRPr="009D0FDD" w:rsidRDefault="00B57D52" w:rsidP="00B57D52">
      <w:pPr>
        <w:pStyle w:val="ListParagraph"/>
        <w:numPr>
          <w:ilvl w:val="0"/>
          <w:numId w:val="11"/>
        </w:numPr>
      </w:pPr>
      <w:r w:rsidRPr="009D0FDD">
        <w:rPr>
          <w:i/>
          <w:iCs/>
        </w:rPr>
        <w:t xml:space="preserve">ECB Policy Dummy. </w:t>
      </w:r>
      <w:r w:rsidR="00AB7A1A" w:rsidRPr="009D0FDD">
        <w:rPr>
          <w:i/>
          <w:iCs/>
        </w:rPr>
        <w:t>Fed Policy Dummy. Fiscal Policy Dummy.</w:t>
      </w:r>
      <w:r w:rsidR="00AB7A1A" w:rsidRPr="009D0FDD">
        <w:t xml:space="preserve"> Daily </w:t>
      </w:r>
      <w:r w:rsidRPr="009D0FDD">
        <w:t xml:space="preserve">fiscal and monetary policy announcements. These were collected for individual countries, for the European Central Bank, and for the Federal Reserve. These columns capture whether or not an action or proposal was made by a given nation/institution on a specific date in the sample, but do not control for the size or number of policies on any given day. A row is coded as </w:t>
      </w:r>
      <w:r w:rsidR="00E74D82">
        <w:t>“</w:t>
      </w:r>
      <w:r w:rsidRPr="009D0FDD">
        <w:t>1</w:t>
      </w:r>
      <w:r w:rsidR="00E74D82">
        <w:t>”</w:t>
      </w:r>
      <w:r w:rsidR="00E74D82" w:rsidRPr="009D0FDD">
        <w:t xml:space="preserve"> </w:t>
      </w:r>
      <w:r w:rsidRPr="009D0FDD">
        <w:t xml:space="preserve">if the date corresponded with the announcement of at least one key policy. With the exception of the Federal Reserve (whose major announcements related to reductions in the interest rate along with fiscal spending), we restricted our analysis of key fiscal policies to those which provided “millions” or </w:t>
      </w:r>
      <w:r w:rsidR="005502FA">
        <w:t>“</w:t>
      </w:r>
      <w:proofErr w:type="gramStart"/>
      <w:r w:rsidR="005502FA" w:rsidRPr="009D0FDD">
        <w:t>billions</w:t>
      </w:r>
      <w:r w:rsidR="005502FA">
        <w:t>”</w:t>
      </w:r>
      <w:proofErr w:type="gramEnd"/>
      <w:r w:rsidRPr="009D0FDD">
        <w:t xml:space="preserve"> of local currency units in spending. The extended list of sources used to aggregate this data can be found in the online </w:t>
      </w:r>
      <w:r w:rsidR="00AB7A1A" w:rsidRPr="009D0FDD">
        <w:t>appendix.</w:t>
      </w:r>
      <w:r w:rsidRPr="009D0FDD">
        <w:t xml:space="preserve"> </w:t>
      </w:r>
    </w:p>
    <w:p w14:paraId="5698267E" w14:textId="7B596524" w:rsidR="00B57D52" w:rsidRPr="009D0FDD" w:rsidRDefault="00B57D52" w:rsidP="00B57D52">
      <w:pPr>
        <w:pStyle w:val="ListParagraph"/>
        <w:numPr>
          <w:ilvl w:val="0"/>
          <w:numId w:val="11"/>
        </w:numPr>
      </w:pPr>
      <w:r w:rsidRPr="009D0FDD">
        <w:rPr>
          <w:i/>
          <w:iCs/>
        </w:rPr>
        <w:t xml:space="preserve">External Debt. </w:t>
      </w:r>
      <w:r w:rsidRPr="009D0FDD">
        <w:t>We use the total external and private sector debt stock as a share of GDP as reported by the World Bank. The data is yearly.</w:t>
      </w:r>
    </w:p>
    <w:p w14:paraId="260986B1" w14:textId="5AD16B42" w:rsidR="00B57D52" w:rsidRPr="009D0FDD" w:rsidRDefault="00B57D52" w:rsidP="00B57D52">
      <w:pPr>
        <w:pStyle w:val="ListParagraph"/>
        <w:numPr>
          <w:ilvl w:val="0"/>
          <w:numId w:val="11"/>
        </w:numPr>
      </w:pPr>
      <w:r w:rsidRPr="009D0FDD">
        <w:rPr>
          <w:i/>
          <w:iCs/>
        </w:rPr>
        <w:t xml:space="preserve">Debt owed to China. </w:t>
      </w:r>
      <w:r w:rsidRPr="009D0FDD">
        <w:t xml:space="preserve">We use the estimated total external debt stock owed to China in current USD as a share of the debtor GDP as reported by </w:t>
      </w:r>
      <w:r w:rsidR="001063A1" w:rsidRPr="009D0FDD">
        <w:t>Horn</w:t>
      </w:r>
      <w:r w:rsidR="009A1F4D">
        <w:t xml:space="preserve"> et al.</w:t>
      </w:r>
      <w:r w:rsidR="001063A1" w:rsidRPr="009D0FDD">
        <w:t xml:space="preserve"> (2019). The data </w:t>
      </w:r>
      <w:r w:rsidR="002D1511">
        <w:t xml:space="preserve">is </w:t>
      </w:r>
      <w:r w:rsidR="001063A1" w:rsidRPr="009D0FDD">
        <w:t xml:space="preserve">reported yearly up to 2018 so that we used the most recent yearly values for cross-country variance. </w:t>
      </w:r>
    </w:p>
    <w:p w14:paraId="2E536069" w14:textId="4767B4A3" w:rsidR="00B57D52" w:rsidRPr="009D0FDD" w:rsidRDefault="00B57D52" w:rsidP="00B57D52">
      <w:pPr>
        <w:pStyle w:val="ListParagraph"/>
        <w:numPr>
          <w:ilvl w:val="0"/>
          <w:numId w:val="11"/>
        </w:numPr>
        <w:rPr>
          <w:i/>
          <w:iCs/>
        </w:rPr>
      </w:pPr>
      <w:r w:rsidRPr="009D0FDD">
        <w:rPr>
          <w:i/>
          <w:iCs/>
        </w:rPr>
        <w:t xml:space="preserve">Oil price income effect. </w:t>
      </w:r>
      <w:r w:rsidRPr="009D0FDD">
        <w:t xml:space="preserve">This is a compound variable that is calculated according to the following formula: Daily Oil price level * [(Oil share of exports * Export share of GDP) – (Oil share of imports * Import share of GDP)]. The </w:t>
      </w:r>
      <w:r w:rsidR="002D1511">
        <w:t xml:space="preserve">daily </w:t>
      </w:r>
      <w:r w:rsidRPr="009D0FDD">
        <w:t xml:space="preserve">oil price data is for Brent as reported by Eikon Refinitiv. The data for export and </w:t>
      </w:r>
      <w:proofErr w:type="gramStart"/>
      <w:r w:rsidRPr="009D0FDD">
        <w:t>import</w:t>
      </w:r>
      <w:proofErr w:type="gramEnd"/>
      <w:r w:rsidRPr="009D0FDD">
        <w:t xml:space="preserve"> share</w:t>
      </w:r>
      <w:r w:rsidR="00FC77A1" w:rsidRPr="009D0FDD">
        <w:t>s</w:t>
      </w:r>
      <w:r w:rsidRPr="009D0FDD">
        <w:t xml:space="preserve"> of GDP are from the World Bank. The data for oil import shares </w:t>
      </w:r>
      <w:proofErr w:type="gramStart"/>
      <w:r w:rsidRPr="009D0FDD">
        <w:t>are</w:t>
      </w:r>
      <w:proofErr w:type="gramEnd"/>
      <w:r w:rsidRPr="009D0FDD">
        <w:t xml:space="preserve"> reported by the International trade Center.</w:t>
      </w:r>
    </w:p>
    <w:p w14:paraId="4FA65BC2" w14:textId="1BB9F9FE" w:rsidR="00B57D52" w:rsidRPr="009D0FDD" w:rsidRDefault="00B57D52" w:rsidP="00B57D52">
      <w:pPr>
        <w:pStyle w:val="ListParagraph"/>
        <w:numPr>
          <w:ilvl w:val="0"/>
          <w:numId w:val="11"/>
        </w:numPr>
      </w:pPr>
      <w:r w:rsidRPr="009D0FDD">
        <w:rPr>
          <w:i/>
          <w:iCs/>
        </w:rPr>
        <w:t xml:space="preserve">International </w:t>
      </w:r>
      <w:r w:rsidR="00FC2364">
        <w:rPr>
          <w:i/>
          <w:iCs/>
        </w:rPr>
        <w:t>r</w:t>
      </w:r>
      <w:r w:rsidRPr="009D0FDD">
        <w:rPr>
          <w:i/>
          <w:iCs/>
        </w:rPr>
        <w:t>eserves.</w:t>
      </w:r>
      <w:r w:rsidRPr="009D0FDD">
        <w:t xml:space="preserve"> International reserves held by countries and measured in current USD as reported by the IMF. Data is monthly. </w:t>
      </w:r>
    </w:p>
    <w:p w14:paraId="3C1B037C" w14:textId="618ACB35" w:rsidR="00B57D52" w:rsidRDefault="00B57D52" w:rsidP="00B57D52">
      <w:pPr>
        <w:pStyle w:val="ListParagraph"/>
        <w:numPr>
          <w:ilvl w:val="0"/>
          <w:numId w:val="11"/>
        </w:numPr>
        <w:rPr>
          <w:i/>
          <w:iCs/>
        </w:rPr>
      </w:pPr>
      <w:r w:rsidRPr="009D0FDD">
        <w:rPr>
          <w:i/>
          <w:iCs/>
        </w:rPr>
        <w:lastRenderedPageBreak/>
        <w:t>Sovereign Wealth Fund</w:t>
      </w:r>
      <w:r w:rsidR="00FC2364">
        <w:rPr>
          <w:i/>
          <w:iCs/>
        </w:rPr>
        <w:t xml:space="preserve"> Volume</w:t>
      </w:r>
      <w:r w:rsidRPr="009D0FDD">
        <w:rPr>
          <w:i/>
          <w:iCs/>
        </w:rPr>
        <w:t xml:space="preserve">. </w:t>
      </w:r>
      <w:r w:rsidRPr="009D0FDD">
        <w:t>Sovereign wealth fund volume in current USD per country as reported by PWC. Data is yearly.</w:t>
      </w:r>
      <w:r w:rsidRPr="009D0FDD">
        <w:rPr>
          <w:i/>
          <w:iCs/>
        </w:rPr>
        <w:t xml:space="preserve"> </w:t>
      </w:r>
    </w:p>
    <w:p w14:paraId="1EDBB00C" w14:textId="0FD41021" w:rsidR="00FC2364" w:rsidRPr="009D0FDD" w:rsidRDefault="00FC2364" w:rsidP="00B57D52">
      <w:pPr>
        <w:pStyle w:val="ListParagraph"/>
        <w:numPr>
          <w:ilvl w:val="0"/>
          <w:numId w:val="11"/>
        </w:numPr>
        <w:rPr>
          <w:i/>
          <w:iCs/>
        </w:rPr>
      </w:pPr>
      <w:r w:rsidRPr="009D0FDD">
        <w:rPr>
          <w:i/>
          <w:iCs/>
        </w:rPr>
        <w:t>Rapid Financing Instrument</w:t>
      </w:r>
      <w:r w:rsidRPr="009D0FDD">
        <w:t>. Approved rapid financing instrument from the IMF as share of recipient countr</w:t>
      </w:r>
      <w:r>
        <w:t>y’s</w:t>
      </w:r>
      <w:r w:rsidRPr="009D0FDD">
        <w:t xml:space="preserve"> GDP. </w:t>
      </w:r>
    </w:p>
    <w:p w14:paraId="5AA74824" w14:textId="77777777" w:rsidR="00FC77A1" w:rsidRPr="009D0FDD" w:rsidRDefault="00FC77A1" w:rsidP="00687F45">
      <w:pPr>
        <w:pStyle w:val="Heading3"/>
      </w:pPr>
      <w:bookmarkStart w:id="30" w:name="_Toc52018940"/>
      <w:r w:rsidRPr="009D0FDD">
        <w:t>Specification</w:t>
      </w:r>
      <w:bookmarkEnd w:id="30"/>
    </w:p>
    <w:p w14:paraId="42301CFB" w14:textId="498CA82B" w:rsidR="00512DA3" w:rsidRPr="009D0FDD" w:rsidRDefault="00FC77A1" w:rsidP="00FC77A1">
      <w:r w:rsidRPr="009D0FDD">
        <w:t>We first estimate a panel model examining the relationship between COVID residual (s</w:t>
      </w:r>
      <w:r w:rsidR="005502FA">
        <w:t xml:space="preserve">ee </w:t>
      </w:r>
      <w:r w:rsidR="005502FA">
        <w:fldChar w:fldCharType="begin"/>
      </w:r>
      <w:r w:rsidR="005502FA">
        <w:instrText xml:space="preserve"> REF _Ref51591662 \h </w:instrText>
      </w:r>
      <w:r w:rsidR="005502FA">
        <w:fldChar w:fldCharType="separate"/>
      </w:r>
      <w:r w:rsidR="00F03B5A">
        <w:t>(</w:t>
      </w:r>
      <w:r w:rsidR="00F03B5A">
        <w:rPr>
          <w:noProof/>
        </w:rPr>
        <w:t>2</w:t>
      </w:r>
      <w:r w:rsidR="005502FA">
        <w:fldChar w:fldCharType="end"/>
      </w:r>
      <w:r w:rsidRPr="009D0FDD">
        <w:t>)</w:t>
      </w:r>
      <w:r w:rsidR="002D1511">
        <w:t>)</w:t>
      </w:r>
      <w:r w:rsidRPr="009D0FDD">
        <w:t xml:space="preserve">, defined as the difference between the realized values of daily log CDS spread change and the model-implied values of the dynamic factor model </w:t>
      </w:r>
      <w:r w:rsidRPr="009D0FDD">
        <w:fldChar w:fldCharType="begin"/>
      </w:r>
      <w:r w:rsidRPr="009D0FDD">
        <w:instrText xml:space="preserve"> REF _Ref50919583 \h  \* MERGEFORMAT </w:instrText>
      </w:r>
      <w:r w:rsidRPr="009D0FDD">
        <w:fldChar w:fldCharType="separate"/>
      </w:r>
      <w:r w:rsidR="00F03B5A">
        <w:t>(1</w:t>
      </w:r>
      <w:r w:rsidRPr="009D0FDD">
        <w:fldChar w:fldCharType="end"/>
      </w:r>
      <w:r w:rsidRPr="009D0FDD">
        <w:t>)</w:t>
      </w:r>
      <w:r w:rsidR="00512DA3" w:rsidRPr="009D0FDD">
        <w:t>, and a set of COVID-</w:t>
      </w:r>
      <w:r w:rsidR="00FB73F5" w:rsidRPr="009D0FDD">
        <w:t>related</w:t>
      </w:r>
      <w:r w:rsidR="00512DA3" w:rsidRPr="009D0FDD">
        <w:t xml:space="preserve"> </w:t>
      </w:r>
      <w:r w:rsidR="00FB73F5" w:rsidRPr="009D0FDD">
        <w:t>variables from three different realms: pandemic, economic, and policy measures</w:t>
      </w:r>
      <w:r w:rsidR="00512DA3" w:rsidRPr="009D0FDD">
        <w:t xml:space="preserve">. The second stage model specification is </w:t>
      </w:r>
    </w:p>
    <w:p w14:paraId="0B3955B8" w14:textId="77777777" w:rsidR="00512DA3" w:rsidRPr="009D0FDD" w:rsidRDefault="00512DA3" w:rsidP="00FC77A1"/>
    <w:p w14:paraId="67FA0F9F" w14:textId="7DEC6B6E" w:rsidR="00E363B7" w:rsidRPr="00E363B7" w:rsidRDefault="00332A01" w:rsidP="00E363B7">
      <w:pPr>
        <w:pStyle w:val="Caption"/>
        <w:ind w:firstLine="720"/>
        <w:rPr>
          <w:sz w:val="20"/>
        </w:rPr>
      </w:pPr>
      <w:bookmarkStart w:id="31" w:name="_Ref50923257"/>
      <w:r w:rsidRPr="00E363B7">
        <w:rPr>
          <w:sz w:val="24"/>
        </w:rPr>
        <w:t>(</w:t>
      </w:r>
      <w:r w:rsidR="005E11EC" w:rsidRPr="00E363B7">
        <w:rPr>
          <w:sz w:val="24"/>
        </w:rPr>
        <w:fldChar w:fldCharType="begin"/>
      </w:r>
      <w:r w:rsidR="005E11EC" w:rsidRPr="00E363B7">
        <w:rPr>
          <w:sz w:val="24"/>
        </w:rPr>
        <w:instrText xml:space="preserve"> SEQ Equation \* ARABIC </w:instrText>
      </w:r>
      <w:r w:rsidR="005E11EC" w:rsidRPr="00E363B7">
        <w:rPr>
          <w:sz w:val="24"/>
        </w:rPr>
        <w:fldChar w:fldCharType="separate"/>
      </w:r>
      <w:r w:rsidR="00F03B5A" w:rsidRPr="00E363B7">
        <w:rPr>
          <w:noProof/>
          <w:sz w:val="24"/>
        </w:rPr>
        <w:t>3</w:t>
      </w:r>
      <w:r w:rsidR="005E11EC" w:rsidRPr="00E363B7">
        <w:rPr>
          <w:noProof/>
          <w:sz w:val="24"/>
        </w:rPr>
        <w:fldChar w:fldCharType="end"/>
      </w:r>
      <w:bookmarkEnd w:id="31"/>
      <w:r w:rsidRPr="00E363B7">
        <w:rPr>
          <w:noProof/>
          <w:sz w:val="24"/>
        </w:rPr>
        <w:t>)</w:t>
      </w:r>
      <w:r w:rsidR="00E363B7" w:rsidRPr="00E363B7">
        <w:rPr>
          <w:noProof/>
          <w:sz w:val="24"/>
        </w:rPr>
        <w:t xml:space="preserve">         </w:t>
      </w:r>
      <w:r w:rsidR="00E363B7">
        <w:rPr>
          <w:noProof/>
          <w:sz w:val="20"/>
        </w:rPr>
        <w:t xml:space="preserve">        </w:t>
      </w:r>
      <m:oMath>
        <m:r>
          <w:rPr>
            <w:rFonts w:ascii="Cambria Math" w:hAnsi="Cambria Math"/>
            <w:sz w:val="28"/>
          </w:rPr>
          <m:t>∆</m:t>
        </m:r>
        <m:sSub>
          <m:sSubPr>
            <m:ctrlPr>
              <w:rPr>
                <w:rFonts w:ascii="Cambria Math" w:hAnsi="Cambria Math"/>
                <w:sz w:val="28"/>
              </w:rPr>
            </m:ctrlPr>
          </m:sSubPr>
          <m:e>
            <m:r>
              <w:rPr>
                <w:rFonts w:ascii="Cambria Math" w:hAnsi="Cambria Math"/>
                <w:sz w:val="28"/>
              </w:rPr>
              <m:t>cr</m:t>
            </m:r>
          </m:e>
          <m:sub>
            <m:r>
              <w:rPr>
                <w:rFonts w:ascii="Cambria Math" w:hAnsi="Cambria Math"/>
                <w:sz w:val="28"/>
              </w:rPr>
              <m:t>it</m:t>
            </m:r>
          </m:sub>
        </m:sSub>
        <m:r>
          <w:rPr>
            <w:rFonts w:ascii="Cambria Math" w:hAnsi="Cambria Math"/>
            <w:sz w:val="28"/>
          </w:rPr>
          <m:t xml:space="preserve">= </m:t>
        </m:r>
        <m:sSub>
          <m:sSubPr>
            <m:ctrlPr>
              <w:rPr>
                <w:rFonts w:ascii="Cambria Math" w:hAnsi="Cambria Math"/>
                <w:sz w:val="28"/>
              </w:rPr>
            </m:ctrlPr>
          </m:sSubPr>
          <m:e>
            <m:r>
              <w:rPr>
                <w:rFonts w:ascii="Cambria Math" w:hAnsi="Cambria Math"/>
                <w:sz w:val="28"/>
              </w:rPr>
              <m:t>ϑ</m:t>
            </m:r>
          </m:e>
          <m:sub>
            <m:r>
              <w:rPr>
                <w:rFonts w:ascii="Cambria Math" w:hAnsi="Cambria Math"/>
                <w:sz w:val="28"/>
              </w:rPr>
              <m:t>i</m:t>
            </m:r>
          </m:sub>
        </m:sSub>
        <m:r>
          <w:rPr>
            <w:rFonts w:ascii="Cambria Math" w:hAnsi="Cambria Math"/>
            <w:sz w:val="28"/>
          </w:rPr>
          <m:t>+</m:t>
        </m:r>
        <m:sSub>
          <m:sSubPr>
            <m:ctrlPr>
              <w:rPr>
                <w:rFonts w:ascii="Cambria Math" w:hAnsi="Cambria Math"/>
                <w:sz w:val="28"/>
              </w:rPr>
            </m:ctrlPr>
          </m:sSubPr>
          <m:e>
            <m:r>
              <w:rPr>
                <w:rFonts w:ascii="Cambria Math" w:hAnsi="Cambria Math"/>
                <w:sz w:val="28"/>
              </w:rPr>
              <m:t>λ</m:t>
            </m:r>
          </m:e>
          <m:sub>
            <m:r>
              <w:rPr>
                <w:rFonts w:ascii="Cambria Math" w:hAnsi="Cambria Math"/>
                <w:sz w:val="28"/>
              </w:rPr>
              <m:t>t</m:t>
            </m:r>
          </m:sub>
        </m:sSub>
        <m:r>
          <w:rPr>
            <w:rFonts w:ascii="Cambria Math" w:hAnsi="Cambria Math"/>
            <w:sz w:val="28"/>
          </w:rPr>
          <m:t>+θ</m:t>
        </m:r>
        <m:sSubSup>
          <m:sSubSupPr>
            <m:ctrlPr>
              <w:rPr>
                <w:rFonts w:ascii="Cambria Math" w:hAnsi="Cambria Math"/>
                <w:sz w:val="28"/>
              </w:rPr>
            </m:ctrlPr>
          </m:sSubSupPr>
          <m:e>
            <m:r>
              <w:rPr>
                <w:rFonts w:ascii="Cambria Math" w:hAnsi="Cambria Math"/>
                <w:sz w:val="28"/>
              </w:rPr>
              <m:t>X</m:t>
            </m:r>
          </m:e>
          <m:sub>
            <m:r>
              <w:rPr>
                <w:rFonts w:ascii="Cambria Math" w:hAnsi="Cambria Math"/>
                <w:sz w:val="28"/>
              </w:rPr>
              <m:t>i,t</m:t>
            </m:r>
          </m:sub>
          <m:sup>
            <m:r>
              <w:rPr>
                <w:rFonts w:ascii="Cambria Math" w:hAnsi="Cambria Math"/>
                <w:sz w:val="28"/>
              </w:rPr>
              <m:t>COVID</m:t>
            </m:r>
          </m:sup>
        </m:sSubSup>
        <m:r>
          <w:rPr>
            <w:rFonts w:ascii="Cambria Math" w:hAnsi="Cambria Math"/>
            <w:sz w:val="28"/>
          </w:rPr>
          <m:t>+γ</m:t>
        </m:r>
        <m:sSubSup>
          <m:sSubSupPr>
            <m:ctrlPr>
              <w:rPr>
                <w:rFonts w:ascii="Cambria Math" w:hAnsi="Cambria Math"/>
                <w:sz w:val="28"/>
              </w:rPr>
            </m:ctrlPr>
          </m:sSubSupPr>
          <m:e>
            <m:r>
              <w:rPr>
                <w:rFonts w:ascii="Cambria Math" w:hAnsi="Cambria Math"/>
                <w:sz w:val="28"/>
              </w:rPr>
              <m:t>X</m:t>
            </m:r>
          </m:e>
          <m:sub>
            <m:r>
              <w:rPr>
                <w:rFonts w:ascii="Cambria Math" w:hAnsi="Cambria Math"/>
                <w:sz w:val="28"/>
              </w:rPr>
              <m:t>i,t</m:t>
            </m:r>
          </m:sub>
          <m:sup>
            <m:r>
              <w:rPr>
                <w:rFonts w:ascii="Cambria Math" w:hAnsi="Cambria Math"/>
                <w:sz w:val="28"/>
              </w:rPr>
              <m:t>economy</m:t>
            </m:r>
          </m:sup>
        </m:sSubSup>
        <m:r>
          <w:rPr>
            <w:rFonts w:ascii="Cambria Math" w:eastAsiaTheme="minorEastAsia" w:hAnsi="Cambria Math"/>
            <w:sz w:val="28"/>
          </w:rPr>
          <m:t>+η</m:t>
        </m:r>
        <m:sSubSup>
          <m:sSubSupPr>
            <m:ctrlPr>
              <w:rPr>
                <w:rFonts w:ascii="Cambria Math" w:eastAsiaTheme="minorEastAsia" w:hAnsi="Cambria Math"/>
                <w:sz w:val="28"/>
              </w:rPr>
            </m:ctrlPr>
          </m:sSubSupPr>
          <m:e>
            <m:r>
              <w:rPr>
                <w:rFonts w:ascii="Cambria Math" w:eastAsiaTheme="minorEastAsia" w:hAnsi="Cambria Math"/>
                <w:sz w:val="28"/>
              </w:rPr>
              <m:t>X</m:t>
            </m:r>
          </m:e>
          <m:sub>
            <m:r>
              <w:rPr>
                <w:rFonts w:ascii="Cambria Math" w:eastAsiaTheme="minorEastAsia" w:hAnsi="Cambria Math"/>
                <w:sz w:val="28"/>
              </w:rPr>
              <m:t>i,t</m:t>
            </m:r>
          </m:sub>
          <m:sup>
            <m:r>
              <w:rPr>
                <w:rFonts w:ascii="Cambria Math" w:eastAsiaTheme="minorEastAsia" w:hAnsi="Cambria Math"/>
                <w:sz w:val="28"/>
              </w:rPr>
              <m:t>policy</m:t>
            </m:r>
          </m:sup>
        </m:sSubSup>
        <m:r>
          <w:rPr>
            <w:rFonts w:ascii="Cambria Math" w:eastAsiaTheme="minorEastAsia" w:hAnsi="Cambria Math"/>
            <w:sz w:val="28"/>
          </w:rPr>
          <m:t>+</m:t>
        </m:r>
        <m:sSub>
          <m:sSubPr>
            <m:ctrlPr>
              <w:rPr>
                <w:rFonts w:ascii="Cambria Math" w:eastAsiaTheme="minorEastAsia" w:hAnsi="Cambria Math"/>
                <w:sz w:val="28"/>
              </w:rPr>
            </m:ctrlPr>
          </m:sSubPr>
          <m:e>
            <m:r>
              <w:rPr>
                <w:rFonts w:ascii="Cambria Math" w:eastAsiaTheme="minorEastAsia" w:hAnsi="Cambria Math"/>
                <w:sz w:val="28"/>
              </w:rPr>
              <m:t>ϵ</m:t>
            </m:r>
          </m:e>
          <m:sub>
            <m:r>
              <w:rPr>
                <w:rFonts w:ascii="Cambria Math" w:eastAsiaTheme="minorEastAsia" w:hAnsi="Cambria Math"/>
                <w:sz w:val="28"/>
              </w:rPr>
              <m:t>i,t</m:t>
            </m:r>
          </m:sub>
        </m:sSub>
      </m:oMath>
    </w:p>
    <w:p w14:paraId="1E659972" w14:textId="29210E07" w:rsidR="00D7617A" w:rsidRPr="00E363B7" w:rsidRDefault="00512DA3" w:rsidP="00FC77A1">
      <w:pPr>
        <w:rPr>
          <w:rFonts w:eastAsiaTheme="minorEastAsia"/>
          <w:sz w:val="28"/>
        </w:rPr>
      </w:pPr>
      <m:oMathPara>
        <m:oMathParaPr>
          <m:jc m:val="left"/>
        </m:oMathParaPr>
        <m:oMath>
          <m:r>
            <w:rPr>
              <w:rFonts w:ascii="Cambria Math" w:eastAsiaTheme="minorEastAsia" w:hAnsi="Cambria Math"/>
              <w:sz w:val="28"/>
            </w:rPr>
            <m:t>March 1, 2020 ≤t ≤March 31, 2020</m:t>
          </m:r>
        </m:oMath>
      </m:oMathPara>
    </w:p>
    <w:p w14:paraId="1290EA43" w14:textId="77777777" w:rsidR="00AC7F24" w:rsidRPr="009D0FDD" w:rsidRDefault="00AC7F24" w:rsidP="00FC77A1">
      <w:pPr>
        <w:rPr>
          <w:rFonts w:eastAsiaTheme="minorEastAsia"/>
        </w:rPr>
      </w:pPr>
    </w:p>
    <w:p w14:paraId="36379927" w14:textId="2C63E5F3" w:rsidR="00AC7F24" w:rsidRPr="009D0FDD" w:rsidRDefault="00FB73F5" w:rsidP="00FB73F5">
      <w:r w:rsidRPr="009D0FDD">
        <w:t>Pandemic</w:t>
      </w:r>
      <w:r w:rsidR="00AC7F24" w:rsidRPr="009D0FDD">
        <w:t xml:space="preserve">-specific variables are: mortality outcomes, in which we include daily new mortality rate (per 1,000,000 population), daily new mortality growth rate, total mortality rate (per 1,000,000 population), and total mortality growth rate, the daily mobility measure in terms of driving (reported by Apple), and the daily growth rates of policy </w:t>
      </w:r>
      <w:r w:rsidR="00852DDB" w:rsidRPr="009D0FDD">
        <w:t>s</w:t>
      </w:r>
      <w:r w:rsidR="00AC7F24" w:rsidRPr="009D0FDD">
        <w:t xml:space="preserve">tringency indices (constructed by </w:t>
      </w:r>
      <w:proofErr w:type="spellStart"/>
      <w:r w:rsidR="00AC7F24" w:rsidRPr="009D0FDD">
        <w:t>OxCGRT</w:t>
      </w:r>
      <w:proofErr w:type="spellEnd"/>
      <w:r w:rsidR="00AC7F24" w:rsidRPr="009D0FDD">
        <w:t xml:space="preserve">). </w:t>
      </w:r>
      <w:r w:rsidR="00277FB1" w:rsidRPr="009D0FDD">
        <w:t>Lower mobility levels or stricter government non-pharmaceutical interventions may signal greater economic contraction, which may increase the debt financing burden and thus impact debt pricing during the COVID-19 pandemic</w:t>
      </w:r>
      <w:r w:rsidRPr="009D0FDD">
        <w:t xml:space="preserve">. </w:t>
      </w:r>
    </w:p>
    <w:p w14:paraId="1548F195" w14:textId="77777777" w:rsidR="00FB73F5" w:rsidRPr="009D0FDD" w:rsidRDefault="00FB73F5" w:rsidP="00FB73F5"/>
    <w:p w14:paraId="46ADE51C" w14:textId="006E3F28" w:rsidR="00AC7F24" w:rsidRPr="009D0FDD" w:rsidRDefault="00277FB1" w:rsidP="00FB73F5">
      <w:r w:rsidRPr="009D0FDD">
        <w:t xml:space="preserve">Economic variables are the </w:t>
      </w:r>
      <w:r w:rsidR="00AC7F24" w:rsidRPr="009D0FDD">
        <w:t xml:space="preserve">oil price </w:t>
      </w:r>
      <w:r w:rsidRPr="009D0FDD">
        <w:t xml:space="preserve">income </w:t>
      </w:r>
      <w:r w:rsidR="00AC7F24" w:rsidRPr="009D0FDD">
        <w:t>effect, RFI announcements</w:t>
      </w:r>
      <w:r w:rsidR="00FC2364">
        <w:rPr>
          <w:rStyle w:val="FootnoteReference"/>
        </w:rPr>
        <w:footnoteReference w:id="6"/>
      </w:r>
      <w:r w:rsidR="00AC7F24" w:rsidRPr="009D0FDD">
        <w:t xml:space="preserve">, Sovereign wealth </w:t>
      </w:r>
      <w:r w:rsidRPr="009D0FDD">
        <w:t>f</w:t>
      </w:r>
      <w:r w:rsidR="00AC7F24" w:rsidRPr="009D0FDD">
        <w:t>und buffers, external debt ratios and ratios of debt owed to China</w:t>
      </w:r>
      <w:r w:rsidR="002D1511">
        <w:t>.</w:t>
      </w:r>
    </w:p>
    <w:p w14:paraId="4394EBE1" w14:textId="5D0A8B56" w:rsidR="00672BE8" w:rsidRPr="009D0FDD" w:rsidRDefault="00672BE8" w:rsidP="00FB73F5">
      <w:pPr>
        <w:rPr>
          <w:rFonts w:ascii="TimesNewRomanPSMT" w:hAnsi="TimesNewRomanPSMT"/>
        </w:rPr>
      </w:pPr>
    </w:p>
    <w:bookmarkEnd w:id="23"/>
    <w:p w14:paraId="3CBAC92E" w14:textId="2D125E28" w:rsidR="00852DDB" w:rsidRPr="009D0FDD" w:rsidRDefault="00277FB1" w:rsidP="00FB73F5">
      <w:pPr>
        <w:rPr>
          <w:rFonts w:eastAsiaTheme="minorEastAsia"/>
        </w:rPr>
      </w:pPr>
      <w:r w:rsidRPr="009D0FDD">
        <w:t>Policy variables, in which we include dummy variables indicating the date of country-specific key fiscal policy announcements, the date of European Central Bank’s key policy</w:t>
      </w:r>
      <w:r w:rsidRPr="009D0FDD">
        <w:rPr>
          <w:rFonts w:ascii="TimesNewRomanPSMT" w:hAnsi="TimesNewRomanPSMT"/>
        </w:rPr>
        <w:t xml:space="preserve"> </w:t>
      </w:r>
      <w:r w:rsidRPr="009D0FDD">
        <w:t xml:space="preserve">announcements, and the date of the </w:t>
      </w:r>
      <w:r w:rsidR="002D1511">
        <w:t>FED’s</w:t>
      </w:r>
      <w:r w:rsidRPr="009D0FDD">
        <w:t xml:space="preserve"> </w:t>
      </w:r>
      <w:r w:rsidR="0024734C" w:rsidRPr="009D0FDD">
        <w:t>monetary policy announcements.</w:t>
      </w:r>
      <w:r w:rsidR="0024734C" w:rsidRPr="009D0FDD">
        <w:rPr>
          <w:rStyle w:val="FootnoteReference"/>
        </w:rPr>
        <w:footnoteReference w:id="7"/>
      </w:r>
      <w:r w:rsidR="00852DDB" w:rsidRPr="009D0FDD">
        <w:rPr>
          <w:vertAlign w:val="superscript"/>
        </w:rPr>
        <w:t>,</w:t>
      </w:r>
      <w:r w:rsidR="0024734C" w:rsidRPr="009D0FDD">
        <w:rPr>
          <w:rStyle w:val="FootnoteReference"/>
        </w:rPr>
        <w:footnoteReference w:id="8"/>
      </w:r>
      <w:r w:rsidR="00FB73F5" w:rsidRPr="009D0FDD">
        <w:rPr>
          <w:rStyle w:val="FootnoteReference"/>
        </w:rPr>
        <w:t xml:space="preserve"> </w:t>
      </w:r>
      <m:oMath>
        <m:sSub>
          <m:sSubPr>
            <m:ctrlPr>
              <w:rPr>
                <w:rFonts w:ascii="Cambria Math" w:hAnsi="Cambria Math"/>
                <w:i/>
              </w:rPr>
            </m:ctrlPr>
          </m:sSubPr>
          <m:e>
            <m:r>
              <w:rPr>
                <w:rFonts w:ascii="Cambria Math" w:hAnsi="Cambria Math"/>
              </w:rPr>
              <m:t>ϑ</m:t>
            </m:r>
          </m:e>
          <m:sub>
            <m:r>
              <w:rPr>
                <w:rFonts w:ascii="Cambria Math" w:hAnsi="Cambria Math"/>
              </w:rPr>
              <m:t>i</m:t>
            </m:r>
          </m:sub>
        </m:sSub>
      </m:oMath>
      <w:r w:rsidR="00FB73F5" w:rsidRPr="009D0FDD">
        <w:t xml:space="preserve"> and </w:t>
      </w:r>
      <m:oMath>
        <m:sSub>
          <m:sSubPr>
            <m:ctrlPr>
              <w:rPr>
                <w:rFonts w:ascii="Cambria Math" w:hAnsi="Cambria Math"/>
                <w:i/>
              </w:rPr>
            </m:ctrlPr>
          </m:sSubPr>
          <m:e>
            <m:r>
              <w:rPr>
                <w:rFonts w:ascii="Cambria Math" w:hAnsi="Cambria Math"/>
              </w:rPr>
              <m:t>λ</m:t>
            </m:r>
          </m:e>
          <m:sub>
            <m:r>
              <w:rPr>
                <w:rFonts w:ascii="Cambria Math" w:hAnsi="Cambria Math"/>
              </w:rPr>
              <m:t>t</m:t>
            </m:r>
          </m:sub>
        </m:sSub>
      </m:oMath>
      <w:r w:rsidR="00FB73F5" w:rsidRPr="009D0FDD">
        <w:t xml:space="preserve"> represent country and time fixed effects, respectively.</w:t>
      </w:r>
      <w:r w:rsidR="00FB73F5" w:rsidRPr="009D0FDD">
        <w:rPr>
          <w:rFonts w:eastAsiaTheme="minorEastAsia"/>
        </w:rPr>
        <w:t xml:space="preserve"> </w:t>
      </w:r>
    </w:p>
    <w:p w14:paraId="5AE5436E" w14:textId="5D440403" w:rsidR="00C74E12" w:rsidRPr="008F37A5" w:rsidRDefault="00FB73F5" w:rsidP="00C74E12">
      <w:r w:rsidRPr="009D0FDD">
        <w:rPr>
          <w:rFonts w:eastAsiaTheme="minorEastAsia"/>
        </w:rPr>
        <w:lastRenderedPageBreak/>
        <w:t>Results are reported in</w:t>
      </w:r>
      <w:r w:rsidR="009F50C4">
        <w:rPr>
          <w:rFonts w:eastAsiaTheme="minorEastAsia"/>
        </w:rPr>
        <w:fldChar w:fldCharType="begin"/>
      </w:r>
      <w:r w:rsidR="009F50C4">
        <w:rPr>
          <w:rFonts w:eastAsiaTheme="minorEastAsia"/>
        </w:rPr>
        <w:instrText xml:space="preserve"> REF _Ref50991147 \h </w:instrText>
      </w:r>
      <w:r w:rsidR="00C74E12">
        <w:rPr>
          <w:rFonts w:eastAsiaTheme="minorEastAsia"/>
        </w:rPr>
        <w:instrText xml:space="preserve"> \* MERGEFORMAT </w:instrText>
      </w:r>
      <w:r w:rsidR="009F50C4">
        <w:rPr>
          <w:rFonts w:eastAsiaTheme="minorEastAsia"/>
        </w:rPr>
      </w:r>
      <w:r w:rsidR="009F50C4">
        <w:rPr>
          <w:rFonts w:eastAsiaTheme="minorEastAsia"/>
        </w:rPr>
        <w:fldChar w:fldCharType="separate"/>
      </w:r>
      <w:r w:rsidR="00F03B5A" w:rsidRPr="00B01669">
        <w:t xml:space="preserve"> </w:t>
      </w:r>
      <w:r w:rsidR="00F03B5A">
        <w:rPr>
          <w:noProof/>
        </w:rPr>
        <w:t>Table 5</w:t>
      </w:r>
      <w:r w:rsidR="009F50C4">
        <w:rPr>
          <w:rFonts w:eastAsiaTheme="minorEastAsia"/>
        </w:rPr>
        <w:fldChar w:fldCharType="end"/>
      </w:r>
      <w:r w:rsidR="009F50C4">
        <w:rPr>
          <w:rFonts w:eastAsiaTheme="minorEastAsia"/>
        </w:rPr>
        <w:t>.</w:t>
      </w:r>
      <w:r w:rsidR="00487307">
        <w:rPr>
          <w:rFonts w:eastAsiaTheme="minorEastAsia"/>
        </w:rPr>
        <w:t xml:space="preserve"> Daily </w:t>
      </w:r>
      <w:r w:rsidR="00487307" w:rsidRPr="00626FE2">
        <w:rPr>
          <w:rFonts w:eastAsiaTheme="minorEastAsia"/>
        </w:rPr>
        <w:t xml:space="preserve">new mortality rates and new mortality growth rates are positively associated with COVID residuals across all 5 specifications, although not statistically significantly so. </w:t>
      </w:r>
      <w:r w:rsidR="00C74E12" w:rsidRPr="00626FE2">
        <w:t xml:space="preserve">Specifically, countries that saw higher new mortality rates or new mortality growth rates were likely to see wider divergence in realized CDS spread dynamics from model-implied values. </w:t>
      </w:r>
      <w:r w:rsidR="00487307" w:rsidRPr="00626FE2">
        <w:rPr>
          <w:rFonts w:eastAsiaTheme="minorEastAsia"/>
        </w:rPr>
        <w:t>The total mortality rates and the total mortality growth rates are negatively related to the COVID residuals and the growth rates become statistically significant when adding the economic and policy variables. While the mortality and mortality growth rates together only explain a small share of the variation in COVID residuals (1.24%), adding the other</w:t>
      </w:r>
      <w:r w:rsidR="00487307">
        <w:rPr>
          <w:rFonts w:eastAsiaTheme="minorEastAsia"/>
        </w:rPr>
        <w:t xml:space="preserve"> COVID-specific variables (mobility index and growth of policy stringency index) increases this share to 5.3%. However, the </w:t>
      </w:r>
      <w:r w:rsidR="005502FA">
        <w:rPr>
          <w:rFonts w:eastAsiaTheme="minorEastAsia"/>
        </w:rPr>
        <w:t xml:space="preserve">really </w:t>
      </w:r>
      <w:r w:rsidR="00487307">
        <w:rPr>
          <w:rFonts w:eastAsiaTheme="minorEastAsia"/>
        </w:rPr>
        <w:t>big jump happens when we also include policy and economic variables</w:t>
      </w:r>
      <w:r w:rsidR="00C74E12">
        <w:rPr>
          <w:rFonts w:eastAsiaTheme="minorEastAsia"/>
        </w:rPr>
        <w:t xml:space="preserve"> so that we reach an R</w:t>
      </w:r>
      <w:r w:rsidR="002D1511">
        <w:rPr>
          <w:rFonts w:eastAsiaTheme="minorEastAsia"/>
        </w:rPr>
        <w:t>-squared</w:t>
      </w:r>
      <w:r w:rsidR="00C74E12">
        <w:rPr>
          <w:rFonts w:eastAsiaTheme="minorEastAsia"/>
        </w:rPr>
        <w:t xml:space="preserve"> of roughly 19.2%. In specification</w:t>
      </w:r>
      <w:r w:rsidR="002D1511">
        <w:rPr>
          <w:rFonts w:eastAsiaTheme="minorEastAsia"/>
        </w:rPr>
        <w:t>s</w:t>
      </w:r>
      <w:r w:rsidR="00C74E12">
        <w:rPr>
          <w:rFonts w:eastAsiaTheme="minorEastAsia"/>
        </w:rPr>
        <w:t xml:space="preserve"> 2 and 5 we also see that the SI growth does not explain the CDS residual very much; the mobility coefficients are statistically significant across specifications whereas the SI growth coefficients are not and leaving out the mobility coefficient lets the R</w:t>
      </w:r>
      <w:r w:rsidR="005502FA">
        <w:rPr>
          <w:rFonts w:eastAsiaTheme="minorEastAsia"/>
        </w:rPr>
        <w:t>-squared</w:t>
      </w:r>
      <w:r w:rsidR="00C74E12">
        <w:rPr>
          <w:rFonts w:eastAsiaTheme="minorEastAsia"/>
        </w:rPr>
        <w:t xml:space="preserve"> fall from 19.18% in specification 4 to 6.4% in specification</w:t>
      </w:r>
      <w:r w:rsidR="002D1511">
        <w:rPr>
          <w:rFonts w:eastAsiaTheme="minorEastAsia"/>
        </w:rPr>
        <w:t xml:space="preserve"> 5</w:t>
      </w:r>
      <w:r w:rsidR="00C74E12">
        <w:rPr>
          <w:rFonts w:eastAsiaTheme="minorEastAsia"/>
        </w:rPr>
        <w:t>. The interpretation is that mobility—as an ad-hoc measure of daily economic a</w:t>
      </w:r>
      <w:r w:rsidR="00C74E12" w:rsidRPr="00C74E12">
        <w:rPr>
          <w:rFonts w:eastAsiaTheme="minorEastAsia"/>
        </w:rPr>
        <w:t xml:space="preserve">ctivity—has a much more pronounced effect on CDS residuals than the strictness of containment policies and implies that </w:t>
      </w:r>
      <w:r w:rsidR="00C74E12" w:rsidRPr="00C74E12">
        <w:t>debt pricing during the COVID-19 pandemic may have been impacted significantly by country-specific economic activity outcome</w:t>
      </w:r>
      <w:r w:rsidR="002D1511">
        <w:t>s</w:t>
      </w:r>
      <w:r w:rsidR="00C74E12" w:rsidRPr="00C74E12">
        <w:t xml:space="preserve">. </w:t>
      </w:r>
      <w:r w:rsidR="005502FA" w:rsidRPr="005502FA">
        <w:t>Taken together, these two result</w:t>
      </w:r>
      <w:r w:rsidR="005502FA">
        <w:t>s</w:t>
      </w:r>
      <w:r w:rsidR="005502FA" w:rsidRPr="005502FA">
        <w:t xml:space="preserve"> indicate that both country-specific factors as well as global/regional factors play a role in the pricing of debt in emerging markets, at least fo</w:t>
      </w:r>
      <w:r w:rsidR="005502FA">
        <w:t xml:space="preserve">r the period of March 2020. </w:t>
      </w:r>
      <w:r w:rsidR="000F0198" w:rsidRPr="000F0198">
        <w:t xml:space="preserve">Interestingly, all </w:t>
      </w:r>
      <w:r w:rsidR="000F0198">
        <w:t>three policy measures, i.e. F</w:t>
      </w:r>
      <w:r w:rsidR="002D1511">
        <w:t>ED</w:t>
      </w:r>
      <w:r w:rsidR="000F0198">
        <w:t>, ECB, and country-specific fiscal policies</w:t>
      </w:r>
      <w:r w:rsidR="00C74E12">
        <w:t xml:space="preserve"> have </w:t>
      </w:r>
      <w:r w:rsidR="000F0198" w:rsidRPr="000F0198">
        <w:t>statistical</w:t>
      </w:r>
      <w:r w:rsidR="000F0198">
        <w:t xml:space="preserve">ly significant </w:t>
      </w:r>
      <w:r w:rsidR="00C74E12">
        <w:t>association</w:t>
      </w:r>
      <w:r w:rsidR="000F0198" w:rsidRPr="000F0198">
        <w:t>s</w:t>
      </w:r>
      <w:r w:rsidR="00C74E12">
        <w:t xml:space="preserve"> with COVID residuals</w:t>
      </w:r>
      <w:r w:rsidR="000F0198" w:rsidRPr="000F0198">
        <w:t xml:space="preserve">. Specifically, the </w:t>
      </w:r>
      <w:r w:rsidR="000F0198">
        <w:t>interaction of the fiscal policy</w:t>
      </w:r>
      <w:r w:rsidR="00C74E12">
        <w:t xml:space="preserve"> </w:t>
      </w:r>
      <w:r w:rsidR="000F0198" w:rsidRPr="000F0198">
        <w:t>dummy</w:t>
      </w:r>
      <w:r w:rsidR="000F0198">
        <w:t xml:space="preserve"> with the external debt level is positive, </w:t>
      </w:r>
      <w:r w:rsidR="00C74E12">
        <w:t>indicating that countries that increase</w:t>
      </w:r>
      <w:r w:rsidR="000F0198" w:rsidRPr="000F0198">
        <w:t>d</w:t>
      </w:r>
      <w:r w:rsidR="00C74E12">
        <w:t xml:space="preserve"> their debt burdens</w:t>
      </w:r>
      <w:r w:rsidR="000F0198" w:rsidRPr="000F0198">
        <w:t xml:space="preserve"> through stim</w:t>
      </w:r>
      <w:r w:rsidR="000F0198">
        <w:t>uli or countries that already have relatively high debt burdens</w:t>
      </w:r>
      <w:r w:rsidR="00C74E12">
        <w:t xml:space="preserve"> were likely to see larger discrepancy in CDS spread dynamics.</w:t>
      </w:r>
      <w:r w:rsidR="000F0198" w:rsidRPr="000F0198">
        <w:t xml:space="preserve"> </w:t>
      </w:r>
      <w:r w:rsidR="000F0198">
        <w:t>More (hidden) debt owed to China is also positively associated with CDS residuals, albeit not statistically significantly so across all specifications. However, the interaction of debt owed to China with the fiscal policy dummy is again negatively correlated with CDS spreads and statistically significantly so, similar to the interaction of (unhidden) external debt with the fiscal policy dummy. This seems to indicate a somewhat indifferent view of investors about sustainability of announced stimuli, which can probably be partially explain</w:t>
      </w:r>
      <w:r w:rsidR="002D1511">
        <w:t>ed</w:t>
      </w:r>
      <w:r w:rsidR="000F0198">
        <w:t xml:space="preserve"> through the fact that many financial market participants are not aware of the debt that countries owe to China. Lastly, the oil income effect is highly statistically significant in specifications 3 and 4 which indicates that oil exporters experience a relative compression of COVID residuals over oil importers. </w:t>
      </w:r>
      <w:r w:rsidR="00EE412A">
        <w:t xml:space="preserve">A finding worth pointing out is the F statistic of the first specification. Since the statistic is not significant, we cannot reject the null that the group of COVID variables are jointly insignificant. This means that the COVID residuals are not driven by COVID-specific risks but rather by traditional drivers of sovereign debt pricing such as fiscal space, oil income effects, and global factors such as US and European monetary policy as specification 4 features jointly significant variables. </w:t>
      </w:r>
    </w:p>
    <w:p w14:paraId="4E479787" w14:textId="08B97A67" w:rsidR="00FB73F5" w:rsidRPr="009D0FDD" w:rsidRDefault="00852DDB" w:rsidP="00852DDB">
      <w:pPr>
        <w:pStyle w:val="Heading3"/>
        <w:rPr>
          <w:rFonts w:eastAsiaTheme="minorEastAsia"/>
        </w:rPr>
      </w:pPr>
      <w:bookmarkStart w:id="32" w:name="_Toc52018941"/>
      <w:r w:rsidRPr="009D0FDD">
        <w:rPr>
          <w:rFonts w:eastAsiaTheme="minorEastAsia"/>
        </w:rPr>
        <w:t>Examination of residuals</w:t>
      </w:r>
      <w:r w:rsidR="00DD226D">
        <w:rPr>
          <w:rFonts w:eastAsiaTheme="minorEastAsia"/>
        </w:rPr>
        <w:t>, March 2020</w:t>
      </w:r>
      <w:bookmarkEnd w:id="32"/>
    </w:p>
    <w:p w14:paraId="59657C91" w14:textId="1A3E1883" w:rsidR="00FB73F5" w:rsidRPr="009D0FDD" w:rsidRDefault="00FB73F5" w:rsidP="00E771B5">
      <w:pPr>
        <w:rPr>
          <w:rFonts w:eastAsiaTheme="minorEastAsia"/>
        </w:rPr>
      </w:pPr>
      <w:r w:rsidRPr="009D0FDD">
        <w:rPr>
          <w:rFonts w:eastAsiaTheme="minorEastAsia"/>
        </w:rPr>
        <w:t>Next</w:t>
      </w:r>
      <w:r w:rsidR="005502FA">
        <w:rPr>
          <w:rFonts w:eastAsiaTheme="minorEastAsia"/>
        </w:rPr>
        <w:t>,</w:t>
      </w:r>
      <w:r w:rsidRPr="009D0FDD">
        <w:rPr>
          <w:rFonts w:eastAsiaTheme="minorEastAsia"/>
        </w:rPr>
        <w:t xml:space="preserve"> we use a modified specification to compare the explanatory power of the factor model predictions and COVID-related variables</w:t>
      </w:r>
      <w:r w:rsidR="001F5809" w:rsidRPr="009D0FDD">
        <w:rPr>
          <w:rFonts w:eastAsiaTheme="minorEastAsia"/>
        </w:rPr>
        <w:t>. We do so by treating realized log changes in C</w:t>
      </w:r>
      <w:r w:rsidR="00852DDB" w:rsidRPr="009D0FDD">
        <w:rPr>
          <w:rFonts w:eastAsiaTheme="minorEastAsia"/>
        </w:rPr>
        <w:t>D</w:t>
      </w:r>
      <w:r w:rsidR="001F5809" w:rsidRPr="009D0FDD">
        <w:rPr>
          <w:rFonts w:eastAsiaTheme="minorEastAsia"/>
        </w:rPr>
        <w:t xml:space="preserve">S spreads as the outcome variable, while augmenting the panel regression with the model-implied values from </w:t>
      </w:r>
      <w:r w:rsidR="001F5809" w:rsidRPr="009D0FDD">
        <w:rPr>
          <w:rFonts w:eastAsiaTheme="minorEastAsia"/>
        </w:rPr>
        <w:fldChar w:fldCharType="begin"/>
      </w:r>
      <w:r w:rsidR="001F5809" w:rsidRPr="009D0FDD">
        <w:rPr>
          <w:rFonts w:eastAsiaTheme="minorEastAsia"/>
        </w:rPr>
        <w:instrText xml:space="preserve"> REF _Ref50919583 \h </w:instrText>
      </w:r>
      <w:r w:rsidR="001F5809" w:rsidRPr="009D0FDD">
        <w:rPr>
          <w:rFonts w:eastAsiaTheme="minorEastAsia"/>
        </w:rPr>
      </w:r>
      <w:r w:rsidR="001F5809" w:rsidRPr="009D0FDD">
        <w:rPr>
          <w:rFonts w:eastAsiaTheme="minorEastAsia"/>
        </w:rPr>
        <w:fldChar w:fldCharType="separate"/>
      </w:r>
      <w:r w:rsidR="00F03B5A">
        <w:t>(</w:t>
      </w:r>
      <w:r w:rsidR="00F03B5A">
        <w:rPr>
          <w:noProof/>
        </w:rPr>
        <w:t>1</w:t>
      </w:r>
      <w:r w:rsidR="001F5809" w:rsidRPr="009D0FDD">
        <w:rPr>
          <w:rFonts w:eastAsiaTheme="minorEastAsia"/>
        </w:rPr>
        <w:fldChar w:fldCharType="end"/>
      </w:r>
      <w:r w:rsidR="0048796F">
        <w:rPr>
          <w:rFonts w:eastAsiaTheme="minorEastAsia"/>
        </w:rPr>
        <w:t>)</w:t>
      </w:r>
      <w:r w:rsidR="001F5809" w:rsidRPr="009D0FDD">
        <w:rPr>
          <w:rFonts w:eastAsiaTheme="minorEastAsia"/>
        </w:rPr>
        <w:t xml:space="preserve"> on the right-hand side along with COVID-related variables as in </w:t>
      </w:r>
      <w:r w:rsidR="001F5809" w:rsidRPr="009D0FDD">
        <w:rPr>
          <w:rFonts w:eastAsiaTheme="minorEastAsia"/>
        </w:rPr>
        <w:fldChar w:fldCharType="begin"/>
      </w:r>
      <w:r w:rsidR="001F5809" w:rsidRPr="009D0FDD">
        <w:rPr>
          <w:rFonts w:eastAsiaTheme="minorEastAsia"/>
        </w:rPr>
        <w:instrText xml:space="preserve"> REF _Ref50923257 \h </w:instrText>
      </w:r>
      <w:r w:rsidR="001F5809" w:rsidRPr="009D0FDD">
        <w:rPr>
          <w:rFonts w:eastAsiaTheme="minorEastAsia"/>
        </w:rPr>
      </w:r>
      <w:r w:rsidR="001F5809" w:rsidRPr="009D0FDD">
        <w:rPr>
          <w:rFonts w:eastAsiaTheme="minorEastAsia"/>
        </w:rPr>
        <w:fldChar w:fldCharType="separate"/>
      </w:r>
      <w:r w:rsidR="00F03B5A">
        <w:t>(</w:t>
      </w:r>
      <w:r w:rsidR="00F03B5A">
        <w:rPr>
          <w:noProof/>
        </w:rPr>
        <w:t>3</w:t>
      </w:r>
      <w:r w:rsidR="001F5809" w:rsidRPr="009D0FDD">
        <w:rPr>
          <w:rFonts w:eastAsiaTheme="minorEastAsia"/>
        </w:rPr>
        <w:fldChar w:fldCharType="end"/>
      </w:r>
      <w:r w:rsidR="0048796F">
        <w:rPr>
          <w:rFonts w:eastAsiaTheme="minorEastAsia"/>
        </w:rPr>
        <w:t>)</w:t>
      </w:r>
      <w:r w:rsidR="001F5809" w:rsidRPr="009D0FDD">
        <w:rPr>
          <w:rFonts w:eastAsiaTheme="minorEastAsia"/>
        </w:rPr>
        <w:t xml:space="preserve">. </w:t>
      </w:r>
    </w:p>
    <w:p w14:paraId="3BA061D0" w14:textId="12D52E66" w:rsidR="001F5809" w:rsidRPr="009D0FDD" w:rsidRDefault="001F5809" w:rsidP="00E771B5">
      <w:pPr>
        <w:rPr>
          <w:rFonts w:eastAsiaTheme="minorEastAsia"/>
        </w:rPr>
      </w:pPr>
    </w:p>
    <w:p w14:paraId="15E32497" w14:textId="77777777" w:rsidR="00E363B7" w:rsidRPr="00E363B7" w:rsidRDefault="0048796F" w:rsidP="00E363B7">
      <w:pPr>
        <w:pStyle w:val="Caption"/>
        <w:ind w:firstLine="720"/>
        <w:rPr>
          <w:noProof/>
          <w:sz w:val="22"/>
        </w:rPr>
      </w:pPr>
      <w:bookmarkStart w:id="33" w:name="_Ref50923959"/>
      <w:r w:rsidRPr="00E363B7">
        <w:rPr>
          <w:sz w:val="24"/>
          <w:szCs w:val="24"/>
        </w:rPr>
        <w:t>(</w:t>
      </w:r>
      <w:r w:rsidR="005E11EC" w:rsidRPr="00E363B7">
        <w:rPr>
          <w:sz w:val="24"/>
          <w:szCs w:val="24"/>
        </w:rPr>
        <w:fldChar w:fldCharType="begin"/>
      </w:r>
      <w:r w:rsidR="005E11EC" w:rsidRPr="00E363B7">
        <w:rPr>
          <w:sz w:val="24"/>
          <w:szCs w:val="24"/>
        </w:rPr>
        <w:instrText xml:space="preserve"> SEQ Equation \* ARABIC </w:instrText>
      </w:r>
      <w:r w:rsidR="005E11EC" w:rsidRPr="00E363B7">
        <w:rPr>
          <w:sz w:val="24"/>
          <w:szCs w:val="24"/>
        </w:rPr>
        <w:fldChar w:fldCharType="separate"/>
      </w:r>
      <w:r w:rsidR="00F03B5A" w:rsidRPr="00E363B7">
        <w:rPr>
          <w:noProof/>
          <w:sz w:val="24"/>
          <w:szCs w:val="24"/>
        </w:rPr>
        <w:t>4</w:t>
      </w:r>
      <w:r w:rsidR="005E11EC" w:rsidRPr="00E363B7">
        <w:rPr>
          <w:noProof/>
          <w:sz w:val="24"/>
          <w:szCs w:val="24"/>
        </w:rPr>
        <w:fldChar w:fldCharType="end"/>
      </w:r>
      <w:bookmarkEnd w:id="33"/>
      <w:r w:rsidRPr="00E363B7">
        <w:rPr>
          <w:noProof/>
          <w:sz w:val="24"/>
          <w:szCs w:val="24"/>
        </w:rPr>
        <w:t>)</w:t>
      </w:r>
      <w:r w:rsidR="00E363B7" w:rsidRPr="00E363B7">
        <w:rPr>
          <w:noProof/>
          <w:sz w:val="24"/>
        </w:rPr>
        <w:t xml:space="preserve">                   </w:t>
      </w:r>
      <m:oMath>
        <m:r>
          <w:rPr>
            <w:rFonts w:ascii="Cambria Math" w:hAnsi="Cambria Math"/>
            <w:sz w:val="24"/>
          </w:rPr>
          <m:t>∆</m:t>
        </m:r>
        <m:sSub>
          <m:sSubPr>
            <m:ctrlPr>
              <w:rPr>
                <w:rFonts w:ascii="Cambria Math" w:hAnsi="Cambria Math"/>
                <w:sz w:val="24"/>
              </w:rPr>
            </m:ctrlPr>
          </m:sSubPr>
          <m:e>
            <m:r>
              <w:rPr>
                <w:rFonts w:ascii="Cambria Math" w:hAnsi="Cambria Math"/>
                <w:sz w:val="24"/>
              </w:rPr>
              <m:t>cds</m:t>
            </m:r>
          </m:e>
          <m:sub>
            <m:r>
              <w:rPr>
                <w:rFonts w:ascii="Cambria Math" w:hAnsi="Cambria Math"/>
                <w:sz w:val="24"/>
              </w:rPr>
              <m:t>i,t</m:t>
            </m:r>
          </m:sub>
        </m:sSub>
        <m:r>
          <w:rPr>
            <w:rFonts w:ascii="Cambria Math" w:hAnsi="Cambria Math"/>
            <w:sz w:val="24"/>
          </w:rPr>
          <m:t xml:space="preserve">= </m:t>
        </m:r>
        <m:sSub>
          <m:sSubPr>
            <m:ctrlPr>
              <w:rPr>
                <w:rFonts w:ascii="Cambria Math" w:hAnsi="Cambria Math"/>
                <w:sz w:val="24"/>
              </w:rPr>
            </m:ctrlPr>
          </m:sSubPr>
          <m:e>
            <m:r>
              <w:rPr>
                <w:rFonts w:ascii="Cambria Math" w:hAnsi="Cambria Math"/>
                <w:sz w:val="24"/>
              </w:rPr>
              <m:t>ϑ</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λ</m:t>
            </m:r>
          </m:e>
          <m:sub>
            <m:r>
              <w:rPr>
                <w:rFonts w:ascii="Cambria Math" w:hAnsi="Cambria Math"/>
                <w:sz w:val="24"/>
              </w:rPr>
              <m:t>t</m:t>
            </m:r>
          </m:sub>
        </m:sSub>
        <m:r>
          <w:rPr>
            <w:rFonts w:ascii="Cambria Math" w:hAnsi="Cambria Math"/>
            <w:sz w:val="24"/>
          </w:rPr>
          <m:t>+Γ</m:t>
        </m:r>
        <m:acc>
          <m:accPr>
            <m:ctrlPr>
              <w:rPr>
                <w:rFonts w:ascii="Cambria Math" w:hAnsi="Cambria Math"/>
                <w:sz w:val="24"/>
              </w:rPr>
            </m:ctrlPr>
          </m:accPr>
          <m:e>
            <m:sSub>
              <m:sSubPr>
                <m:ctrlPr>
                  <w:rPr>
                    <w:rFonts w:ascii="Cambria Math" w:hAnsi="Cambria Math"/>
                    <w:sz w:val="24"/>
                  </w:rPr>
                </m:ctrlPr>
              </m:sSubPr>
              <m:e>
                <m:r>
                  <w:rPr>
                    <w:rFonts w:ascii="Cambria Math" w:hAnsi="Cambria Math"/>
                    <w:sz w:val="24"/>
                  </w:rPr>
                  <m:t>Δcds</m:t>
                </m:r>
              </m:e>
              <m:sub>
                <m:r>
                  <w:rPr>
                    <w:rFonts w:ascii="Cambria Math" w:hAnsi="Cambria Math"/>
                    <w:sz w:val="24"/>
                  </w:rPr>
                  <m:t>i,t</m:t>
                </m:r>
              </m:sub>
            </m:sSub>
          </m:e>
        </m:acc>
        <m:r>
          <w:rPr>
            <w:rFonts w:ascii="Cambria Math" w:hAnsi="Cambria Math"/>
            <w:sz w:val="24"/>
          </w:rPr>
          <m:t>+θ</m:t>
        </m:r>
        <m:sSubSup>
          <m:sSubSupPr>
            <m:ctrlPr>
              <w:rPr>
                <w:rFonts w:ascii="Cambria Math" w:hAnsi="Cambria Math"/>
                <w:sz w:val="24"/>
              </w:rPr>
            </m:ctrlPr>
          </m:sSubSupPr>
          <m:e>
            <m:r>
              <w:rPr>
                <w:rFonts w:ascii="Cambria Math" w:hAnsi="Cambria Math"/>
                <w:sz w:val="24"/>
              </w:rPr>
              <m:t>X</m:t>
            </m:r>
          </m:e>
          <m:sub>
            <m:r>
              <w:rPr>
                <w:rFonts w:ascii="Cambria Math" w:hAnsi="Cambria Math"/>
                <w:sz w:val="24"/>
              </w:rPr>
              <m:t>i,t</m:t>
            </m:r>
          </m:sub>
          <m:sup>
            <m:r>
              <w:rPr>
                <w:rFonts w:ascii="Cambria Math" w:hAnsi="Cambria Math"/>
                <w:sz w:val="24"/>
              </w:rPr>
              <m:t>COVID</m:t>
            </m:r>
          </m:sup>
        </m:sSubSup>
        <m:r>
          <w:rPr>
            <w:rFonts w:ascii="Cambria Math" w:hAnsi="Cambria Math"/>
            <w:sz w:val="24"/>
          </w:rPr>
          <m:t>+γ</m:t>
        </m:r>
        <m:sSubSup>
          <m:sSubSupPr>
            <m:ctrlPr>
              <w:rPr>
                <w:rFonts w:ascii="Cambria Math" w:hAnsi="Cambria Math"/>
                <w:sz w:val="24"/>
              </w:rPr>
            </m:ctrlPr>
          </m:sSubSupPr>
          <m:e>
            <m:r>
              <w:rPr>
                <w:rFonts w:ascii="Cambria Math" w:hAnsi="Cambria Math"/>
                <w:sz w:val="24"/>
              </w:rPr>
              <m:t>X</m:t>
            </m:r>
          </m:e>
          <m:sub>
            <m:r>
              <w:rPr>
                <w:rFonts w:ascii="Cambria Math" w:hAnsi="Cambria Math"/>
                <w:sz w:val="24"/>
              </w:rPr>
              <m:t>i,t</m:t>
            </m:r>
          </m:sub>
          <m:sup>
            <m:r>
              <w:rPr>
                <w:rFonts w:ascii="Cambria Math" w:hAnsi="Cambria Math"/>
                <w:sz w:val="24"/>
              </w:rPr>
              <m:t>economy</m:t>
            </m:r>
          </m:sup>
        </m:sSubSup>
        <m:r>
          <w:rPr>
            <w:rFonts w:ascii="Cambria Math" w:eastAsiaTheme="minorEastAsia" w:hAnsi="Cambria Math"/>
            <w:sz w:val="24"/>
          </w:rPr>
          <m:t>+η</m:t>
        </m:r>
        <m:sSubSup>
          <m:sSubSupPr>
            <m:ctrlPr>
              <w:rPr>
                <w:rFonts w:ascii="Cambria Math" w:eastAsiaTheme="minorEastAsia" w:hAnsi="Cambria Math"/>
                <w:sz w:val="24"/>
              </w:rPr>
            </m:ctrlPr>
          </m:sSubSupPr>
          <m:e>
            <m:r>
              <w:rPr>
                <w:rFonts w:ascii="Cambria Math" w:eastAsiaTheme="minorEastAsia" w:hAnsi="Cambria Math"/>
                <w:sz w:val="24"/>
              </w:rPr>
              <m:t>X</m:t>
            </m:r>
          </m:e>
          <m:sub>
            <m:r>
              <w:rPr>
                <w:rFonts w:ascii="Cambria Math" w:eastAsiaTheme="minorEastAsia" w:hAnsi="Cambria Math"/>
                <w:sz w:val="24"/>
              </w:rPr>
              <m:t>i,t</m:t>
            </m:r>
          </m:sub>
          <m:sup>
            <m:r>
              <w:rPr>
                <w:rFonts w:ascii="Cambria Math" w:eastAsiaTheme="minorEastAsia" w:hAnsi="Cambria Math"/>
                <w:sz w:val="24"/>
              </w:rPr>
              <m:t>policy</m:t>
            </m:r>
          </m:sup>
        </m:sSubSup>
        <m:r>
          <w:rPr>
            <w:rFonts w:ascii="Cambria Math" w:eastAsiaTheme="minorEastAsia" w:hAnsi="Cambria Math"/>
            <w:sz w:val="24"/>
          </w:rPr>
          <m:t>+</m:t>
        </m:r>
        <m:sSub>
          <m:sSubPr>
            <m:ctrlPr>
              <w:rPr>
                <w:rFonts w:ascii="Cambria Math" w:eastAsiaTheme="minorEastAsia" w:hAnsi="Cambria Math"/>
                <w:sz w:val="24"/>
              </w:rPr>
            </m:ctrlPr>
          </m:sSubPr>
          <m:e>
            <m:r>
              <w:rPr>
                <w:rFonts w:ascii="Cambria Math" w:eastAsiaTheme="minorEastAsia" w:hAnsi="Cambria Math"/>
                <w:sz w:val="24"/>
              </w:rPr>
              <m:t>ϵ</m:t>
            </m:r>
          </m:e>
          <m:sub>
            <m:r>
              <w:rPr>
                <w:rFonts w:ascii="Cambria Math" w:eastAsiaTheme="minorEastAsia" w:hAnsi="Cambria Math"/>
                <w:sz w:val="24"/>
              </w:rPr>
              <m:t>i,t</m:t>
            </m:r>
          </m:sub>
        </m:sSub>
      </m:oMath>
    </w:p>
    <w:p w14:paraId="0319AC79" w14:textId="5BEFB442" w:rsidR="001F5809" w:rsidRPr="00E363B7" w:rsidRDefault="001F5809" w:rsidP="00E363B7">
      <w:pPr>
        <w:pStyle w:val="Caption"/>
        <w:ind w:firstLine="720"/>
        <w:rPr>
          <w:sz w:val="22"/>
        </w:rPr>
      </w:pPr>
      <m:oMathPara>
        <m:oMathParaPr>
          <m:jc m:val="left"/>
        </m:oMathParaPr>
        <m:oMath>
          <m:r>
            <w:rPr>
              <w:rFonts w:ascii="Cambria Math" w:eastAsiaTheme="minorEastAsia" w:hAnsi="Cambria Math"/>
              <w:sz w:val="22"/>
            </w:rPr>
            <w:br/>
          </m:r>
        </m:oMath>
        <m:oMath>
          <m:r>
            <w:rPr>
              <w:rFonts w:ascii="Cambria Math" w:eastAsiaTheme="minorEastAsia" w:hAnsi="Cambria Math"/>
              <w:sz w:val="22"/>
            </w:rPr>
            <m:t>March 1, 2020 ≤t ≤March 31, 2020</m:t>
          </m:r>
        </m:oMath>
      </m:oMathPara>
    </w:p>
    <w:p w14:paraId="12A2FA21" w14:textId="77777777" w:rsidR="0048796F" w:rsidRDefault="0048796F" w:rsidP="0048796F">
      <w:pPr>
        <w:jc w:val="center"/>
      </w:pPr>
    </w:p>
    <w:p w14:paraId="2AEB2417" w14:textId="2BD9099B" w:rsidR="00E771B5" w:rsidRPr="00E363B7" w:rsidRDefault="00E363B7" w:rsidP="00E363B7">
      <w:r>
        <w:t>w</w:t>
      </w:r>
      <w:r w:rsidR="001F5809" w:rsidRPr="009D0FDD">
        <w:t>here</w:t>
      </w:r>
      <w:r>
        <w:t xml:space="preserve">                  </w:t>
      </w:r>
      <m:oMath>
        <m:sSub>
          <m:sSubPr>
            <m:ctrlPr>
              <w:rPr>
                <w:rFonts w:ascii="Cambria Math" w:hAnsi="Cambria Math"/>
                <w:i/>
              </w:rPr>
            </m:ctrlPr>
          </m:sSubPr>
          <m:e>
            <m:r>
              <m:rPr>
                <m:sty m:val="p"/>
              </m:rPr>
              <w:rPr>
                <w:rFonts w:ascii="Cambria Math" w:hAnsi="Cambria Math"/>
              </w:rPr>
              <m:t>Δ</m:t>
            </m:r>
            <m:r>
              <w:rPr>
                <w:rFonts w:ascii="Cambria Math" w:hAnsi="Cambria Math"/>
              </w:rPr>
              <m:t>cds</m:t>
            </m:r>
          </m:e>
          <m:sub>
            <m:r>
              <w:rPr>
                <w:rFonts w:ascii="Cambria Math" w:hAnsi="Cambria Math"/>
              </w:rPr>
              <m:t>i,t</m:t>
            </m:r>
          </m:sub>
        </m:sSub>
      </m:oMath>
      <w:r w:rsidR="001F5809" w:rsidRPr="009D0FDD">
        <w:rPr>
          <w:rFonts w:eastAsiaTheme="minorEastAsia"/>
        </w:rP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i</m:t>
            </m:r>
          </m:sub>
        </m:sSub>
        <m:sSub>
          <m:sSubPr>
            <m:ctrlPr>
              <w:rPr>
                <w:rFonts w:ascii="Cambria Math" w:hAnsi="Cambria Math"/>
                <w:i/>
              </w:rPr>
            </m:ctrlPr>
          </m:sSubPr>
          <m:e>
            <m:r>
              <w:rPr>
                <w:rFonts w:ascii="Cambria Math" w:hAnsi="Cambria Math"/>
              </w:rPr>
              <m:t>∆cds</m:t>
            </m:r>
          </m:e>
          <m:sub>
            <m:r>
              <w:rPr>
                <w:rFonts w:ascii="Cambria Math" w:hAnsi="Cambria Math"/>
              </w:rPr>
              <m:t>i,t-1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i1</m:t>
            </m:r>
          </m:sub>
        </m:sSub>
        <m:sSub>
          <m:sSubPr>
            <m:ctrlPr>
              <w:rPr>
                <w:rFonts w:ascii="Cambria Math" w:hAnsi="Cambria Math"/>
                <w:i/>
              </w:rPr>
            </m:ctrlPr>
          </m:sSubPr>
          <m:e>
            <m:r>
              <w:rPr>
                <w:rFonts w:ascii="Cambria Math" w:hAnsi="Cambria Math"/>
              </w:rPr>
              <m:t>∆GCDS</m:t>
            </m:r>
          </m:e>
          <m:sub>
            <m:r>
              <w:rPr>
                <w:rFonts w:ascii="Cambria Math" w:hAnsi="Cambria Math"/>
              </w:rPr>
              <m:t>t</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i2</m:t>
            </m:r>
          </m:sub>
        </m:sSub>
        <m:sSub>
          <m:sSubPr>
            <m:ctrlPr>
              <w:rPr>
                <w:rFonts w:ascii="Cambria Math" w:hAnsi="Cambria Math"/>
                <w:i/>
              </w:rPr>
            </m:ctrlPr>
          </m:sSubPr>
          <m:e>
            <m:r>
              <w:rPr>
                <w:rFonts w:ascii="Cambria Math" w:hAnsi="Cambria Math"/>
              </w:rPr>
              <m:t>∆RCDS</m:t>
            </m:r>
          </m:e>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,j,t</m:t>
            </m:r>
          </m:sub>
        </m:sSub>
      </m:oMath>
    </w:p>
    <w:p w14:paraId="3462FC65" w14:textId="77777777" w:rsidR="009D0FDD" w:rsidRPr="009D0FDD" w:rsidRDefault="009D0FDD" w:rsidP="002C2240">
      <w:pPr>
        <w:rPr>
          <w:rFonts w:eastAsiaTheme="minorEastAsia"/>
        </w:rPr>
      </w:pPr>
    </w:p>
    <w:p w14:paraId="5EC9097F" w14:textId="43C1AB07" w:rsidR="00AF20CE" w:rsidRPr="009D0FDD" w:rsidRDefault="0048796F" w:rsidP="002C2240">
      <w:r>
        <w:rPr>
          <w:rFonts w:eastAsiaTheme="minorEastAsia"/>
        </w:rPr>
        <w:t>are</w:t>
      </w:r>
      <w:r w:rsidR="001F5809" w:rsidRPr="009D0FDD">
        <w:rPr>
          <w:rFonts w:eastAsiaTheme="minorEastAsia"/>
        </w:rPr>
        <w:t xml:space="preserve"> the model-implied values of the daily CDS spread change</w:t>
      </w:r>
      <w:r>
        <w:rPr>
          <w:rFonts w:eastAsiaTheme="minorEastAsia"/>
        </w:rPr>
        <w:t>s</w:t>
      </w:r>
      <w:r w:rsidR="001F5809" w:rsidRPr="009D0FDD">
        <w:rPr>
          <w:rFonts w:eastAsiaTheme="minorEastAsia"/>
        </w:rPr>
        <w:t xml:space="preserve"> generated from the factor model </w:t>
      </w:r>
      <w:r w:rsidR="002C2240" w:rsidRPr="009D0FDD">
        <w:rPr>
          <w:rFonts w:eastAsiaTheme="minorEastAsia"/>
        </w:rPr>
        <w:fldChar w:fldCharType="begin"/>
      </w:r>
      <w:r w:rsidR="002C2240" w:rsidRPr="009D0FDD">
        <w:rPr>
          <w:rFonts w:eastAsiaTheme="minorEastAsia"/>
        </w:rPr>
        <w:instrText xml:space="preserve"> REF _Ref50919583 \h </w:instrText>
      </w:r>
      <w:r w:rsidR="002C2240" w:rsidRPr="009D0FDD">
        <w:rPr>
          <w:rFonts w:eastAsiaTheme="minorEastAsia"/>
        </w:rPr>
      </w:r>
      <w:r w:rsidR="002C2240" w:rsidRPr="009D0FDD">
        <w:rPr>
          <w:rFonts w:eastAsiaTheme="minorEastAsia"/>
        </w:rPr>
        <w:fldChar w:fldCharType="separate"/>
      </w:r>
      <w:r w:rsidR="00F03B5A">
        <w:t>(</w:t>
      </w:r>
      <w:r w:rsidR="00F03B5A">
        <w:rPr>
          <w:noProof/>
        </w:rPr>
        <w:t>1</w:t>
      </w:r>
      <w:r w:rsidR="002C2240" w:rsidRPr="009D0FDD">
        <w:rPr>
          <w:rFonts w:eastAsiaTheme="minorEastAsia"/>
        </w:rPr>
        <w:fldChar w:fldCharType="end"/>
      </w:r>
      <w:r w:rsidR="001F5809" w:rsidRPr="009D0FDD">
        <w:rPr>
          <w:rFonts w:eastAsiaTheme="minorEastAsia"/>
        </w:rPr>
        <w:t xml:space="preserve">). </w:t>
      </w:r>
      <w:r w:rsidR="001F5809" w:rsidRPr="009D0FDD">
        <w:t xml:space="preserve">Fixed effects are again denoted </w:t>
      </w:r>
      <m:oMath>
        <m:sSub>
          <m:sSubPr>
            <m:ctrlPr>
              <w:rPr>
                <w:rFonts w:ascii="Cambria Math" w:hAnsi="Cambria Math"/>
                <w:i/>
              </w:rPr>
            </m:ctrlPr>
          </m:sSubPr>
          <m:e>
            <m:r>
              <w:rPr>
                <w:rFonts w:ascii="Cambria Math" w:hAnsi="Cambria Math"/>
              </w:rPr>
              <m:t>ϑ</m:t>
            </m:r>
          </m:e>
          <m:sub>
            <m:r>
              <w:rPr>
                <w:rFonts w:ascii="Cambria Math" w:hAnsi="Cambria Math"/>
              </w:rPr>
              <m:t>i</m:t>
            </m:r>
          </m:sub>
        </m:sSub>
      </m:oMath>
      <w:r w:rsidR="001F5809" w:rsidRPr="009D0FDD">
        <w:t xml:space="preserve"> and </w:t>
      </w:r>
      <m:oMath>
        <m:sSub>
          <m:sSubPr>
            <m:ctrlPr>
              <w:rPr>
                <w:rFonts w:ascii="Cambria Math" w:hAnsi="Cambria Math"/>
                <w:i/>
              </w:rPr>
            </m:ctrlPr>
          </m:sSubPr>
          <m:e>
            <m:r>
              <w:rPr>
                <w:rFonts w:ascii="Cambria Math" w:hAnsi="Cambria Math"/>
              </w:rPr>
              <m:t>λ</m:t>
            </m:r>
          </m:e>
          <m:sub>
            <m:r>
              <w:rPr>
                <w:rFonts w:ascii="Cambria Math" w:hAnsi="Cambria Math"/>
              </w:rPr>
              <m:t>t</m:t>
            </m:r>
          </m:sub>
        </m:sSub>
      </m:oMath>
      <w:r w:rsidR="001F5809" w:rsidRPr="009D0FDD">
        <w:t xml:space="preserve">, representing country and time fixed effects, respectively. </w:t>
      </w:r>
    </w:p>
    <w:p w14:paraId="559CF965" w14:textId="77777777" w:rsidR="009D0FDD" w:rsidRPr="009D0FDD" w:rsidRDefault="009D0FDD" w:rsidP="002C2240"/>
    <w:p w14:paraId="228A4A2D" w14:textId="1DE4A168" w:rsidR="002C2240" w:rsidRPr="009D0FDD" w:rsidRDefault="002C2240" w:rsidP="00626FE2">
      <w:pPr>
        <w:rPr>
          <w:rFonts w:ascii="TimesNewRomanPSMT" w:hAnsi="TimesNewRomanPSMT"/>
        </w:rPr>
      </w:pPr>
      <w:r w:rsidRPr="009D0FDD">
        <w:t xml:space="preserve">Essentially, </w:t>
      </w:r>
      <w:r w:rsidR="00AF20CE" w:rsidRPr="009D0FDD">
        <w:t xml:space="preserve">in </w:t>
      </w:r>
      <w:r w:rsidR="00AF20CE" w:rsidRPr="009D0FDD">
        <w:fldChar w:fldCharType="begin"/>
      </w:r>
      <w:r w:rsidR="00AF20CE" w:rsidRPr="009D0FDD">
        <w:instrText xml:space="preserve"> REF _Ref50923959 \h </w:instrText>
      </w:r>
      <w:r w:rsidR="00AF20CE" w:rsidRPr="009D0FDD">
        <w:fldChar w:fldCharType="separate"/>
      </w:r>
      <w:r w:rsidR="00F03B5A">
        <w:t>(</w:t>
      </w:r>
      <w:r w:rsidR="00F03B5A">
        <w:rPr>
          <w:noProof/>
        </w:rPr>
        <w:t>4</w:t>
      </w:r>
      <w:r w:rsidR="00AF20CE" w:rsidRPr="009D0FDD">
        <w:fldChar w:fldCharType="end"/>
      </w:r>
      <w:r w:rsidR="0048796F">
        <w:t>)</w:t>
      </w:r>
      <w:r w:rsidR="00AF20CE" w:rsidRPr="009D0FDD">
        <w:t xml:space="preserve"> </w:t>
      </w:r>
      <w:r w:rsidRPr="009D0FDD">
        <w:t xml:space="preserve">we take apart the two components that make up the COVID residual. This way, it becomes obvious that the regression in </w:t>
      </w:r>
      <w:r w:rsidRPr="009D0FDD">
        <w:fldChar w:fldCharType="begin"/>
      </w:r>
      <w:r w:rsidRPr="009D0FDD">
        <w:instrText xml:space="preserve"> REF _Ref50923257 \h </w:instrText>
      </w:r>
      <w:r w:rsidRPr="009D0FDD">
        <w:fldChar w:fldCharType="separate"/>
      </w:r>
      <w:r w:rsidR="00F03B5A">
        <w:t>(</w:t>
      </w:r>
      <w:r w:rsidR="00F03B5A">
        <w:rPr>
          <w:noProof/>
        </w:rPr>
        <w:t>3</w:t>
      </w:r>
      <w:r w:rsidRPr="009D0FDD">
        <w:fldChar w:fldCharType="end"/>
      </w:r>
      <w:r w:rsidR="0048796F">
        <w:t>)</w:t>
      </w:r>
      <w:r w:rsidRPr="009D0FDD">
        <w:t xml:space="preserve"> with the COVID residual as an outcome variable is equivalent to the restricted regression shown in </w:t>
      </w:r>
      <w:r w:rsidRPr="009D0FDD">
        <w:fldChar w:fldCharType="begin"/>
      </w:r>
      <w:r w:rsidRPr="009D0FDD">
        <w:instrText xml:space="preserve"> REF _Ref50923959 \h </w:instrText>
      </w:r>
      <w:r w:rsidR="009F50C4">
        <w:instrText xml:space="preserve"> \* MERGEFORMAT </w:instrText>
      </w:r>
      <w:r w:rsidRPr="009D0FDD">
        <w:fldChar w:fldCharType="separate"/>
      </w:r>
      <w:r w:rsidR="00F03B5A">
        <w:t>(4</w:t>
      </w:r>
      <w:r w:rsidRPr="009D0FDD">
        <w:fldChar w:fldCharType="end"/>
      </w:r>
      <w:r w:rsidR="0048796F">
        <w:t>)</w:t>
      </w:r>
      <w:r w:rsidRPr="009D0FDD">
        <w:t xml:space="preserve"> when </w:t>
      </w:r>
      <m:oMath>
        <m:r>
          <m:rPr>
            <m:sty m:val="p"/>
          </m:rPr>
          <w:rPr>
            <w:rFonts w:ascii="Cambria Math" w:hAnsi="Cambria Math"/>
          </w:rPr>
          <m:t>Γ=1</m:t>
        </m:r>
      </m:oMath>
      <w:r w:rsidRPr="009D0FDD">
        <w:t xml:space="preserve">. </w:t>
      </w:r>
      <w:r w:rsidRPr="009D0FDD">
        <w:fldChar w:fldCharType="begin"/>
      </w:r>
      <w:r w:rsidRPr="009D0FDD">
        <w:instrText xml:space="preserve"> REF _Ref50923959 \h </w:instrText>
      </w:r>
      <w:r w:rsidR="009F50C4">
        <w:instrText xml:space="preserve"> \* MERGEFORMAT </w:instrText>
      </w:r>
      <w:r w:rsidRPr="009D0FDD">
        <w:fldChar w:fldCharType="separate"/>
      </w:r>
      <w:r w:rsidR="00F03B5A">
        <w:t>(4</w:t>
      </w:r>
      <w:r w:rsidRPr="009D0FDD">
        <w:fldChar w:fldCharType="end"/>
      </w:r>
      <w:r w:rsidR="0048796F">
        <w:t>)</w:t>
      </w:r>
      <w:r w:rsidRPr="009D0FDD">
        <w:t xml:space="preserve"> relaxes this implicit assumption of </w:t>
      </w:r>
      <w:r w:rsidRPr="009D0FDD">
        <w:fldChar w:fldCharType="begin"/>
      </w:r>
      <w:r w:rsidRPr="009D0FDD">
        <w:instrText xml:space="preserve"> REF _Ref50923257 \h </w:instrText>
      </w:r>
      <w:r w:rsidR="009F50C4">
        <w:instrText xml:space="preserve"> \* MERGEFORMAT </w:instrText>
      </w:r>
      <w:r w:rsidRPr="009D0FDD">
        <w:fldChar w:fldCharType="separate"/>
      </w:r>
      <w:r w:rsidR="00F03B5A">
        <w:t>(3</w:t>
      </w:r>
      <w:r w:rsidRPr="009D0FDD">
        <w:fldChar w:fldCharType="end"/>
      </w:r>
      <w:r w:rsidR="0048796F">
        <w:t>)</w:t>
      </w:r>
      <w:r w:rsidRPr="009D0FDD">
        <w:t xml:space="preserve"> </w:t>
      </w:r>
      <w:r w:rsidR="00C5014A" w:rsidRPr="009D0FDD">
        <w:t>and</w:t>
      </w:r>
      <w:r w:rsidRPr="009D0FDD">
        <w:t xml:space="preserve"> </w:t>
      </w:r>
      <w:r w:rsidR="00C5014A" w:rsidRPr="009D0FDD">
        <w:t>lends</w:t>
      </w:r>
      <w:r w:rsidRPr="009D0FDD">
        <w:t xml:space="preserve"> to a richer analysis.</w:t>
      </w:r>
      <w:r w:rsidRPr="009D0FDD">
        <w:rPr>
          <w:rFonts w:ascii="TimesNewRomanPSMT" w:hAnsi="TimesNewRomanPSMT"/>
        </w:rPr>
        <w:t xml:space="preserve"> </w:t>
      </w:r>
    </w:p>
    <w:p w14:paraId="53559FA3" w14:textId="16DA1B97" w:rsidR="00C5014A" w:rsidRPr="009D0FDD" w:rsidRDefault="00C5014A" w:rsidP="00626FE2"/>
    <w:p w14:paraId="0A995DF7" w14:textId="4D25B423" w:rsidR="00626FE2" w:rsidRDefault="00C5014A" w:rsidP="00626FE2">
      <w:r w:rsidRPr="009D0FDD">
        <w:t>Results are reported in</w:t>
      </w:r>
      <w:r w:rsidR="009F50C4">
        <w:fldChar w:fldCharType="begin"/>
      </w:r>
      <w:r w:rsidR="009F50C4">
        <w:instrText xml:space="preserve"> REF _Ref50991117 \h </w:instrText>
      </w:r>
      <w:r w:rsidR="00626FE2">
        <w:instrText xml:space="preserve"> \* MERGEFORMAT </w:instrText>
      </w:r>
      <w:r w:rsidR="009F50C4">
        <w:fldChar w:fldCharType="separate"/>
      </w:r>
      <w:r w:rsidR="00F03B5A" w:rsidRPr="00B01669">
        <w:t xml:space="preserve"> </w:t>
      </w:r>
      <w:r w:rsidR="00F03B5A">
        <w:t>Table</w:t>
      </w:r>
      <w:r w:rsidR="00F03B5A">
        <w:rPr>
          <w:noProof/>
        </w:rPr>
        <w:t xml:space="preserve"> 6</w:t>
      </w:r>
      <w:r w:rsidR="009F50C4">
        <w:fldChar w:fldCharType="end"/>
      </w:r>
      <w:r w:rsidR="009F50C4">
        <w:t>.</w:t>
      </w:r>
      <w:r w:rsidR="008F37A5">
        <w:t xml:space="preserve"> First, after including COVID-related variables, the coefficient of model-implied values remains statistically significant and keeps its positive sign, implying that model-implied values still trace realized CDS </w:t>
      </w:r>
      <w:r w:rsidR="008F37A5" w:rsidRPr="00626FE2">
        <w:t xml:space="preserve">spread changes during the COVID-19 pandemic, giving merit to our model selection in the first stage. </w:t>
      </w:r>
      <w:r w:rsidR="00626FE2" w:rsidRPr="00626FE2">
        <w:t>Second, new daily mortalities and the growth rate of new mortalities are both positively associated with spread changes across all model specifications, although not statistically significantly so, consistent with the time-series evolution of the COVID residuals shown in the previous section (</w:t>
      </w:r>
      <w:r w:rsidR="00626FE2">
        <w:fldChar w:fldCharType="begin"/>
      </w:r>
      <w:r w:rsidR="00626FE2">
        <w:instrText xml:space="preserve"> REF _Ref50756264 \h </w:instrText>
      </w:r>
      <w:r w:rsidR="00626FE2">
        <w:fldChar w:fldCharType="separate"/>
      </w:r>
      <w:r w:rsidR="00F03B5A" w:rsidRPr="009D0FDD">
        <w:t xml:space="preserve">Figure </w:t>
      </w:r>
      <w:r w:rsidR="00F03B5A">
        <w:rPr>
          <w:noProof/>
        </w:rPr>
        <w:t>11</w:t>
      </w:r>
      <w:r w:rsidR="00626FE2">
        <w:fldChar w:fldCharType="end"/>
      </w:r>
      <w:r w:rsidR="00626FE2" w:rsidRPr="00626FE2">
        <w:t>)</w:t>
      </w:r>
      <w:r w:rsidR="00626FE2">
        <w:t xml:space="preserve">. </w:t>
      </w:r>
    </w:p>
    <w:p w14:paraId="3BF4EA50" w14:textId="38B671F8" w:rsidR="008F37A5" w:rsidRPr="00626FE2" w:rsidRDefault="008F37A5" w:rsidP="00626FE2"/>
    <w:p w14:paraId="6CEEE71D" w14:textId="4A240443" w:rsidR="00022C3D" w:rsidRDefault="00626FE2" w:rsidP="009F50C4">
      <w:r>
        <w:t xml:space="preserve">Third, country-specific announcements of fiscal responses to the pandemic appear insignificant, both statistically and in its economic magnitude, </w:t>
      </w:r>
      <w:r w:rsidRPr="00626FE2">
        <w:t xml:space="preserve">indicating that </w:t>
      </w:r>
      <w:r>
        <w:t>neither the</w:t>
      </w:r>
      <w:r w:rsidRPr="00626FE2">
        <w:t xml:space="preserve"> </w:t>
      </w:r>
      <w:r>
        <w:t>presence of such announcements nor the existence of higher external debt burdens significantly increased the</w:t>
      </w:r>
      <w:r w:rsidR="007D76F5">
        <w:t xml:space="preserve"> perceived risk. This result is interesting: it would indicate that during COVID even governments with higher external debt levels or governments which announced large and potentially unsustainable stimuli were able to get away with it for now. </w:t>
      </w:r>
      <w:r w:rsidR="007D76F5" w:rsidRPr="007D76F5">
        <w:t xml:space="preserve">This indicates </w:t>
      </w:r>
      <w:r w:rsidR="0048796F">
        <w:t>a</w:t>
      </w:r>
      <w:r w:rsidR="007D76F5">
        <w:t xml:space="preserve"> form of “</w:t>
      </w:r>
      <w:r w:rsidR="007D76F5" w:rsidRPr="007D76F5">
        <w:t>COVID-dominance</w:t>
      </w:r>
      <w:r w:rsidR="007D76F5">
        <w:t>”</w:t>
      </w:r>
      <w:r w:rsidR="007D76F5" w:rsidRPr="007D76F5">
        <w:t xml:space="preserve">; governments seem to </w:t>
      </w:r>
      <w:r w:rsidR="007D76F5">
        <w:t>get a free pass at engaging in stimulus spending as investors do not currently care that much about debt sustainability. Lastly, the oil income effect is again negative and statistically significantly in specifications 3 &amp; 4. Interestingly, it loses its significance and drops in magnitude when we do not control for mobility. This may indicate</w:t>
      </w:r>
      <w:r w:rsidR="00022C3D">
        <w:t xml:space="preserve"> multicollinearity between the two regressors (oil income effect and mobility) which would confirm that mobility is a decent ad-hoc measure of economic activity. </w:t>
      </w:r>
    </w:p>
    <w:p w14:paraId="545F0CC6" w14:textId="4BEF56C6" w:rsidR="00022C3D" w:rsidRDefault="00022C3D"/>
    <w:p w14:paraId="022F38E5" w14:textId="3F3C1254" w:rsidR="009D0FDD" w:rsidRPr="009D0FDD" w:rsidRDefault="009D0FDD" w:rsidP="00022C3D">
      <w:pPr>
        <w:pStyle w:val="Heading1"/>
      </w:pPr>
      <w:bookmarkStart w:id="34" w:name="_Toc52018942"/>
      <w:r w:rsidRPr="009D0FDD">
        <w:t>Conclusion</w:t>
      </w:r>
      <w:bookmarkEnd w:id="34"/>
    </w:p>
    <w:p w14:paraId="07B51C5E" w14:textId="48C94760" w:rsidR="00EA0D1F" w:rsidRDefault="00391061" w:rsidP="00C074E3">
      <w:r w:rsidRPr="00391061">
        <w:t>We study the role that country</w:t>
      </w:r>
      <w:r w:rsidR="00C074E3">
        <w:t xml:space="preserve">-specific and global variables </w:t>
      </w:r>
      <w:r w:rsidRPr="00391061">
        <w:t>have in determining sovereign CDS spreads of emerging markets during the COVID pandemic. We use a tw</w:t>
      </w:r>
      <w:r>
        <w:t xml:space="preserve">o-stage econometric approach. In the first stage, a </w:t>
      </w:r>
      <w:r w:rsidRPr="00391061">
        <w:t xml:space="preserve">heterogenous factor model is used to </w:t>
      </w:r>
      <w:r>
        <w:t xml:space="preserve">“train” a model that predicts daily log changes in CDS spreads as a function of </w:t>
      </w:r>
      <w:r w:rsidR="00DC4C05">
        <w:t>previous</w:t>
      </w:r>
      <w:r>
        <w:t xml:space="preserve"> changes </w:t>
      </w:r>
      <w:r w:rsidR="00DC4C05">
        <w:t>and</w:t>
      </w:r>
      <w:r>
        <w:t xml:space="preserve"> regional and global </w:t>
      </w:r>
      <w:r w:rsidR="00A222C9">
        <w:t>CDS dynamics</w:t>
      </w:r>
      <w:r>
        <w:t xml:space="preserve">. </w:t>
      </w:r>
      <w:r w:rsidR="00DC4C05">
        <w:t xml:space="preserve">The method is useful in handling various data issues that are especially </w:t>
      </w:r>
      <w:r w:rsidR="00DC4C05">
        <w:lastRenderedPageBreak/>
        <w:t xml:space="preserve">relevant in emerging markets such as data unavailability and differences in data frequencies. </w:t>
      </w:r>
      <w:r>
        <w:t>The model makes</w:t>
      </w:r>
      <w:r w:rsidR="00DC4C05">
        <w:t xml:space="preserve"> relatively accurate predictions in sample (Jan 2014-June 2019) as well as out of sample (July 2019-December 2019). In 2020, the predictions loose accuracy and the residuals increase. </w:t>
      </w:r>
      <w:r w:rsidR="003C411C" w:rsidRPr="003C411C">
        <w:t>Since COVID is a global pandemic and CDS spreads of countries around the world were affected</w:t>
      </w:r>
      <w:r w:rsidR="00DC4C05" w:rsidRPr="003C411C">
        <w:t xml:space="preserve">, we take the increase in residuals as a sign that country-specific variables particularly drive CDS spreads in times of crisis. </w:t>
      </w:r>
      <w:r w:rsidR="00EA0D1F" w:rsidRPr="003C411C">
        <w:t>The residuals are particularly large at peak COVID</w:t>
      </w:r>
      <w:r w:rsidR="00A222C9">
        <w:t xml:space="preserve"> in March 2020</w:t>
      </w:r>
      <w:r w:rsidR="00EA0D1F" w:rsidRPr="003C411C">
        <w:t xml:space="preserve">, which supports several papers in the </w:t>
      </w:r>
      <w:r w:rsidR="0048796F" w:rsidRPr="003C411C">
        <w:t xml:space="preserve">existing </w:t>
      </w:r>
      <w:r w:rsidR="00EA0D1F" w:rsidRPr="003C411C">
        <w:t xml:space="preserve">literature that emphasize the time-varying nature of the relationship between sovereign CDS spreads and explanatory variables. </w:t>
      </w:r>
    </w:p>
    <w:p w14:paraId="122AC89B" w14:textId="77777777" w:rsidR="00EA0D1F" w:rsidRDefault="00EA0D1F" w:rsidP="00C074E3"/>
    <w:p w14:paraId="45BEA7C4" w14:textId="1194BA51" w:rsidR="00391061" w:rsidRPr="009D0FDD" w:rsidRDefault="00EA0D1F">
      <w:r>
        <w:t>In the second stage, r</w:t>
      </w:r>
      <w:r w:rsidR="00DC4C05">
        <w:t xml:space="preserve">egressions of residuals on fundamental factors suggest that COVID mortalities and infections are not as important in explaining CDS spreads as are variables capturing fiscal space, economic activity, actions by the FED and the ECB, and the change in oil prices. There are two possible interpretations for the relative insignificance of COVID mortalities and infections for CDS spread changes. On the one hand, it could be that international investors deem COVID mortality and infection data as </w:t>
      </w:r>
      <w:r w:rsidR="009F254A">
        <w:t>noisy and unreliable and</w:t>
      </w:r>
      <w:r w:rsidR="00DC4C05">
        <w:t xml:space="preserve"> do not </w:t>
      </w:r>
      <w:r>
        <w:t xml:space="preserve">pay too much attention to them when making their investment decisions. On the other hand, it could be that international investors </w:t>
      </w:r>
      <w:r w:rsidR="00CA61D0">
        <w:t xml:space="preserve">are aware that COVID is a pandemic that may ultimately hit all countries to more or less the same degree in terms of </w:t>
      </w:r>
      <w:r w:rsidR="003C411C">
        <w:t xml:space="preserve">its health </w:t>
      </w:r>
      <w:r w:rsidR="00A222C9">
        <w:t>repercussions</w:t>
      </w:r>
      <w:r w:rsidR="00CA61D0">
        <w:t xml:space="preserve"> and </w:t>
      </w:r>
      <w:r w:rsidR="00A222C9">
        <w:t xml:space="preserve">hence </w:t>
      </w:r>
      <w:r w:rsidR="00CA61D0">
        <w:t xml:space="preserve">do not pay as much focus on infections and mortalities and instead </w:t>
      </w:r>
      <w:r w:rsidR="00C945FA">
        <w:t xml:space="preserve">focus more on the performance and the stability of the economy. </w:t>
      </w:r>
      <w:r>
        <w:t xml:space="preserve">An interesting empirical corollary is the finding that while external debt/GDP levels across emerging countries </w:t>
      </w:r>
      <w:r w:rsidR="0067137D">
        <w:t>are not statistically significant in explaining the COVID residuals, the (hidden) debt to China is statistically significant.</w:t>
      </w:r>
    </w:p>
    <w:p w14:paraId="6F2D6AE4" w14:textId="77777777" w:rsidR="00504CFF" w:rsidRPr="009D0FDD" w:rsidRDefault="00504CFF">
      <w:r w:rsidRPr="009D0FDD">
        <w:br w:type="page"/>
      </w:r>
    </w:p>
    <w:p w14:paraId="26687171" w14:textId="6D1BA769" w:rsidR="00BE75E4" w:rsidRPr="009D0FDD" w:rsidRDefault="00504CFF" w:rsidP="00687F45">
      <w:pPr>
        <w:pStyle w:val="Heading1"/>
        <w:numPr>
          <w:ilvl w:val="0"/>
          <w:numId w:val="0"/>
        </w:numPr>
      </w:pPr>
      <w:bookmarkStart w:id="35" w:name="_Toc52018943"/>
      <w:r w:rsidRPr="009D0FDD">
        <w:lastRenderedPageBreak/>
        <w:t>A</w:t>
      </w:r>
      <w:r w:rsidR="00687F45" w:rsidRPr="009D0FDD">
        <w:t>ppendix</w:t>
      </w:r>
      <w:bookmarkEnd w:id="35"/>
    </w:p>
    <w:p w14:paraId="78071EDE" w14:textId="1538E2C6" w:rsidR="00B42A08" w:rsidRPr="009D0FDD" w:rsidRDefault="006702A7" w:rsidP="00B42A08">
      <w:pPr>
        <w:keepNext/>
      </w:pPr>
      <w:r>
        <w:rPr>
          <w:noProof/>
          <w:lang w:eastAsia="en-US"/>
        </w:rPr>
        <w:drawing>
          <wp:inline distT="0" distB="0" distL="0" distR="0" wp14:anchorId="42608B50" wp14:editId="731955CB">
            <wp:extent cx="5943600" cy="4622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1">
                      <a:extLst>
                        <a:ext uri="{28A0092B-C50C-407E-A947-70E740481C1C}">
                          <a14:useLocalDpi xmlns:a14="http://schemas.microsoft.com/office/drawing/2010/main" val="0"/>
                        </a:ext>
                      </a:extLst>
                    </a:blip>
                    <a:stretch>
                      <a:fillRect/>
                    </a:stretch>
                  </pic:blipFill>
                  <pic:spPr>
                    <a:xfrm>
                      <a:off x="0" y="0"/>
                      <a:ext cx="5943600" cy="4622800"/>
                    </a:xfrm>
                    <a:prstGeom prst="rect">
                      <a:avLst/>
                    </a:prstGeom>
                  </pic:spPr>
                </pic:pic>
              </a:graphicData>
            </a:graphic>
          </wp:inline>
        </w:drawing>
      </w:r>
    </w:p>
    <w:p w14:paraId="58F249C0" w14:textId="4C77DAB4" w:rsidR="00F774F1" w:rsidRDefault="00B42A08" w:rsidP="00B42A08">
      <w:pPr>
        <w:pStyle w:val="Caption"/>
      </w:pPr>
      <w:bookmarkStart w:id="36" w:name="_Ref50976166"/>
      <w:bookmarkStart w:id="37" w:name="_Ref50976147"/>
      <w:r w:rsidRPr="009D0FDD">
        <w:t xml:space="preserve">Figure </w:t>
      </w:r>
      <w:fldSimple w:instr=" SEQ Figure \* ARABIC ">
        <w:r w:rsidR="00F03B5A">
          <w:rPr>
            <w:noProof/>
          </w:rPr>
          <w:t>1</w:t>
        </w:r>
      </w:fldSimple>
      <w:bookmarkEnd w:id="36"/>
      <w:r w:rsidR="006702A7">
        <w:t>:</w:t>
      </w:r>
      <w:r w:rsidRPr="009D0FDD">
        <w:t xml:space="preserve"> </w:t>
      </w:r>
      <w:r w:rsidR="006702A7">
        <w:t xml:space="preserve">5-year </w:t>
      </w:r>
      <w:r w:rsidRPr="009D0FDD">
        <w:t xml:space="preserve">CDS </w:t>
      </w:r>
      <w:r w:rsidR="006702A7">
        <w:t>spreads</w:t>
      </w:r>
      <w:r w:rsidRPr="009D0FDD">
        <w:t xml:space="preserve"> of emerging market</w:t>
      </w:r>
      <w:r w:rsidR="00134A40">
        <w:t xml:space="preserve"> countries (full sample)</w:t>
      </w:r>
      <w:r w:rsidRPr="009D0FDD">
        <w:t>, January 2014 - June 2020</w:t>
      </w:r>
      <w:bookmarkEnd w:id="37"/>
      <w:r w:rsidR="006702A7">
        <w:t>. Data source: Eikon Refinitiv.</w:t>
      </w:r>
    </w:p>
    <w:p w14:paraId="0572C7B0" w14:textId="77777777" w:rsidR="00A222C9" w:rsidRPr="00A222C9" w:rsidRDefault="00A222C9" w:rsidP="00A222C9"/>
    <w:p w14:paraId="04A294F3" w14:textId="77777777" w:rsidR="000C1224" w:rsidRDefault="000C1224" w:rsidP="000C1224">
      <w:pPr>
        <w:keepNext/>
      </w:pPr>
      <w:r>
        <w:rPr>
          <w:noProof/>
          <w:lang w:eastAsia="en-US"/>
        </w:rPr>
        <w:drawing>
          <wp:inline distT="0" distB="0" distL="0" distR="0" wp14:anchorId="5EFFA65A" wp14:editId="109DA523">
            <wp:extent cx="5943600" cy="20789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2">
                      <a:extLst>
                        <a:ext uri="{28A0092B-C50C-407E-A947-70E740481C1C}">
                          <a14:useLocalDpi xmlns:a14="http://schemas.microsoft.com/office/drawing/2010/main" val="0"/>
                        </a:ext>
                      </a:extLst>
                    </a:blip>
                    <a:stretch>
                      <a:fillRect/>
                    </a:stretch>
                  </pic:blipFill>
                  <pic:spPr>
                    <a:xfrm>
                      <a:off x="0" y="0"/>
                      <a:ext cx="5943600" cy="2078990"/>
                    </a:xfrm>
                    <a:prstGeom prst="rect">
                      <a:avLst/>
                    </a:prstGeom>
                  </pic:spPr>
                </pic:pic>
              </a:graphicData>
            </a:graphic>
          </wp:inline>
        </w:drawing>
      </w:r>
    </w:p>
    <w:p w14:paraId="6C38ED97" w14:textId="12047DFE" w:rsidR="000C1224" w:rsidRDefault="000C1224" w:rsidP="000C1224">
      <w:pPr>
        <w:pStyle w:val="Caption"/>
      </w:pPr>
      <w:bookmarkStart w:id="38" w:name="_Ref51332782"/>
      <w:r>
        <w:t xml:space="preserve">Figure </w:t>
      </w:r>
      <w:fldSimple w:instr=" SEQ Figure \* ARABIC ">
        <w:r w:rsidR="00F03B5A">
          <w:rPr>
            <w:noProof/>
          </w:rPr>
          <w:t>2</w:t>
        </w:r>
      </w:fldSimple>
      <w:bookmarkEnd w:id="38"/>
      <w:r w:rsidRPr="00D03749">
        <w:t xml:space="preserve">: </w:t>
      </w:r>
      <w:r>
        <w:t>Changes in exchange rates of emerging market</w:t>
      </w:r>
      <w:r w:rsidR="00134A40">
        <w:t xml:space="preserve"> countries </w:t>
      </w:r>
      <w:r>
        <w:t>against the US Dollar between</w:t>
      </w:r>
      <w:r w:rsidRPr="00D03749">
        <w:t xml:space="preserve"> January and March 2020</w:t>
      </w:r>
      <w:r w:rsidR="00134A40">
        <w:t xml:space="preserve"> (full sample)</w:t>
      </w:r>
      <w:r>
        <w:t>. Positive values indicate a weakening of the currency</w:t>
      </w:r>
      <w:r w:rsidRPr="00D03749">
        <w:t xml:space="preserve">. Data source: </w:t>
      </w:r>
      <w:r w:rsidRPr="00D03749">
        <w:rPr>
          <w:noProof/>
        </w:rPr>
        <w:t>Eikon Refinitiv.</w:t>
      </w:r>
    </w:p>
    <w:p w14:paraId="4BD8F281" w14:textId="77777777" w:rsidR="004B7DE8" w:rsidRPr="009D0FDD" w:rsidRDefault="004B7DE8" w:rsidP="004B7DE8">
      <w:pPr>
        <w:keepNext/>
      </w:pPr>
      <w:r>
        <w:rPr>
          <w:noProof/>
          <w:lang w:eastAsia="en-US"/>
        </w:rPr>
        <w:lastRenderedPageBreak/>
        <w:drawing>
          <wp:inline distT="0" distB="0" distL="0" distR="0" wp14:anchorId="05D15EDB" wp14:editId="4C30A796">
            <wp:extent cx="5943600" cy="2641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tretch>
                      <a:fillRect/>
                    </a:stretch>
                  </pic:blipFill>
                  <pic:spPr>
                    <a:xfrm>
                      <a:off x="0" y="0"/>
                      <a:ext cx="5943600" cy="2641600"/>
                    </a:xfrm>
                    <a:prstGeom prst="rect">
                      <a:avLst/>
                    </a:prstGeom>
                  </pic:spPr>
                </pic:pic>
              </a:graphicData>
            </a:graphic>
          </wp:inline>
        </w:drawing>
      </w:r>
    </w:p>
    <w:p w14:paraId="5CDC2DAE" w14:textId="6DB17DE8" w:rsidR="004B7DE8" w:rsidRDefault="004B7DE8" w:rsidP="004B7DE8">
      <w:pPr>
        <w:pStyle w:val="Caption"/>
      </w:pPr>
      <w:bookmarkStart w:id="39" w:name="_Ref50706153"/>
      <w:r w:rsidRPr="009D0FDD">
        <w:t xml:space="preserve">Figure </w:t>
      </w:r>
      <w:fldSimple w:instr=" SEQ Figure \* ARABIC ">
        <w:r w:rsidR="00F03B5A">
          <w:rPr>
            <w:noProof/>
          </w:rPr>
          <w:t>3</w:t>
        </w:r>
      </w:fldSimple>
      <w:bookmarkEnd w:id="39"/>
      <w:r>
        <w:t xml:space="preserve">: COVID-19 mortality rate curves for the top 5 and bottom 5 </w:t>
      </w:r>
      <w:r w:rsidR="00134A40">
        <w:t>emerging market countries</w:t>
      </w:r>
      <w:r>
        <w:t xml:space="preserve"> as per the end of April 2020</w:t>
      </w:r>
      <w:r w:rsidR="00134A40">
        <w:t xml:space="preserve"> (</w:t>
      </w:r>
      <w:r w:rsidR="00A222C9">
        <w:t xml:space="preserve">out of the </w:t>
      </w:r>
      <w:r w:rsidR="00134A40">
        <w:t>full sample)</w:t>
      </w:r>
      <w:r>
        <w:t xml:space="preserve">. New mortality rate as 7-day rolling averages. Data source: JHU CSSE. </w:t>
      </w:r>
    </w:p>
    <w:p w14:paraId="40DF490D" w14:textId="77777777" w:rsidR="00A222C9" w:rsidRPr="00A222C9" w:rsidRDefault="00A222C9" w:rsidP="00A222C9"/>
    <w:p w14:paraId="10EB2FEB" w14:textId="77777777" w:rsidR="004B7DE8" w:rsidRPr="009D0FDD" w:rsidRDefault="004B7DE8" w:rsidP="004B7DE8">
      <w:pPr>
        <w:keepNext/>
      </w:pPr>
      <w:r>
        <w:rPr>
          <w:noProof/>
          <w:lang w:eastAsia="en-US"/>
        </w:rPr>
        <w:drawing>
          <wp:inline distT="0" distB="0" distL="0" distR="0" wp14:anchorId="1424FA13" wp14:editId="699A70A9">
            <wp:extent cx="5943600" cy="2641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a:extLst>
                        <a:ext uri="{28A0092B-C50C-407E-A947-70E740481C1C}">
                          <a14:useLocalDpi xmlns:a14="http://schemas.microsoft.com/office/drawing/2010/main" val="0"/>
                        </a:ext>
                      </a:extLst>
                    </a:blip>
                    <a:stretch>
                      <a:fillRect/>
                    </a:stretch>
                  </pic:blipFill>
                  <pic:spPr>
                    <a:xfrm>
                      <a:off x="0" y="0"/>
                      <a:ext cx="5943600" cy="2641600"/>
                    </a:xfrm>
                    <a:prstGeom prst="rect">
                      <a:avLst/>
                    </a:prstGeom>
                  </pic:spPr>
                </pic:pic>
              </a:graphicData>
            </a:graphic>
          </wp:inline>
        </w:drawing>
      </w:r>
    </w:p>
    <w:p w14:paraId="299A00FF" w14:textId="416D913B" w:rsidR="004B7DE8" w:rsidRDefault="004B7DE8" w:rsidP="004B7DE8">
      <w:pPr>
        <w:pStyle w:val="Caption"/>
      </w:pPr>
      <w:bookmarkStart w:id="40" w:name="_Ref50706167"/>
      <w:r w:rsidRPr="009D0FDD">
        <w:t xml:space="preserve">Figure </w:t>
      </w:r>
      <w:fldSimple w:instr=" SEQ Figure \* ARABIC ">
        <w:r w:rsidR="00F03B5A">
          <w:rPr>
            <w:noProof/>
          </w:rPr>
          <w:t>4</w:t>
        </w:r>
      </w:fldSimple>
      <w:bookmarkEnd w:id="40"/>
      <w:r>
        <w:t xml:space="preserve"> COVID-19 deaths per million residents for the top 5 and bottom 5 emerging market</w:t>
      </w:r>
      <w:r w:rsidR="00134A40">
        <w:t xml:space="preserve"> countries</w:t>
      </w:r>
      <w:r>
        <w:t xml:space="preserve"> as per the end of April 2020</w:t>
      </w:r>
      <w:r w:rsidR="00134A40">
        <w:t xml:space="preserve"> (</w:t>
      </w:r>
      <w:r w:rsidR="00A222C9">
        <w:t xml:space="preserve">out of the </w:t>
      </w:r>
      <w:r w:rsidR="00134A40">
        <w:t>full sample)</w:t>
      </w:r>
      <w:r>
        <w:t>. Data source: JHU CSSE.</w:t>
      </w:r>
    </w:p>
    <w:p w14:paraId="627F4214" w14:textId="77777777" w:rsidR="00134A40" w:rsidRDefault="00134A40" w:rsidP="00134A40">
      <w:r>
        <w:rPr>
          <w:noProof/>
          <w:lang w:eastAsia="en-US"/>
        </w:rPr>
        <w:lastRenderedPageBreak/>
        <w:drawing>
          <wp:inline distT="0" distB="0" distL="0" distR="0" wp14:anchorId="56704DA5" wp14:editId="2D5F9DB7">
            <wp:extent cx="5943600" cy="2641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5">
                      <a:extLst>
                        <a:ext uri="{28A0092B-C50C-407E-A947-70E740481C1C}">
                          <a14:useLocalDpi xmlns:a14="http://schemas.microsoft.com/office/drawing/2010/main" val="0"/>
                        </a:ext>
                      </a:extLst>
                    </a:blip>
                    <a:stretch>
                      <a:fillRect/>
                    </a:stretch>
                  </pic:blipFill>
                  <pic:spPr>
                    <a:xfrm>
                      <a:off x="0" y="0"/>
                      <a:ext cx="5943600" cy="2641600"/>
                    </a:xfrm>
                    <a:prstGeom prst="rect">
                      <a:avLst/>
                    </a:prstGeom>
                  </pic:spPr>
                </pic:pic>
              </a:graphicData>
            </a:graphic>
          </wp:inline>
        </w:drawing>
      </w:r>
    </w:p>
    <w:p w14:paraId="4716F2E0" w14:textId="3402E5ED" w:rsidR="00134A40" w:rsidRDefault="00134A40" w:rsidP="00134A40">
      <w:pPr>
        <w:pStyle w:val="Caption"/>
      </w:pPr>
      <w:bookmarkStart w:id="41" w:name="_Ref51508845"/>
      <w:r>
        <w:t xml:space="preserve">Figure </w:t>
      </w:r>
      <w:fldSimple w:instr=" SEQ Figure \* ARABIC ">
        <w:r w:rsidR="00F03B5A">
          <w:rPr>
            <w:noProof/>
          </w:rPr>
          <w:t>5</w:t>
        </w:r>
      </w:fldSimple>
      <w:bookmarkEnd w:id="41"/>
      <w:r w:rsidRPr="00A1751A">
        <w:t>: Announced 2020 COVID-related fiscal stimulus</w:t>
      </w:r>
      <w:r>
        <w:t xml:space="preserve"> of emerging market countries (</w:t>
      </w:r>
      <w:r w:rsidR="00A64EAE">
        <w:t>full</w:t>
      </w:r>
      <w:r>
        <w:t xml:space="preserve"> sample)</w:t>
      </w:r>
      <w:r w:rsidRPr="00A1751A">
        <w:t>. COVID-19 fiscal stimulus data taken from the IMF COVID policy tracker.</w:t>
      </w:r>
    </w:p>
    <w:p w14:paraId="74157D84" w14:textId="777D16C7" w:rsidR="00A64EAE" w:rsidRDefault="00A64EAE" w:rsidP="00A64EAE"/>
    <w:p w14:paraId="6873F3B6" w14:textId="77777777" w:rsidR="00A64EAE" w:rsidRDefault="00A64EAE" w:rsidP="00A64EAE">
      <w:r>
        <w:rPr>
          <w:noProof/>
          <w:lang w:eastAsia="en-US"/>
        </w:rPr>
        <w:drawing>
          <wp:inline distT="0" distB="0" distL="0" distR="0" wp14:anchorId="59BB208F" wp14:editId="7ADCFF8A">
            <wp:extent cx="5943600" cy="2641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6">
                      <a:extLst>
                        <a:ext uri="{28A0092B-C50C-407E-A947-70E740481C1C}">
                          <a14:useLocalDpi xmlns:a14="http://schemas.microsoft.com/office/drawing/2010/main" val="0"/>
                        </a:ext>
                      </a:extLst>
                    </a:blip>
                    <a:stretch>
                      <a:fillRect/>
                    </a:stretch>
                  </pic:blipFill>
                  <pic:spPr>
                    <a:xfrm>
                      <a:off x="0" y="0"/>
                      <a:ext cx="5943600" cy="2641600"/>
                    </a:xfrm>
                    <a:prstGeom prst="rect">
                      <a:avLst/>
                    </a:prstGeom>
                  </pic:spPr>
                </pic:pic>
              </a:graphicData>
            </a:graphic>
          </wp:inline>
        </w:drawing>
      </w:r>
    </w:p>
    <w:p w14:paraId="435973C5" w14:textId="033BD78C" w:rsidR="00A64EAE" w:rsidRPr="00BA24F5" w:rsidRDefault="00A64EAE" w:rsidP="00A64EAE">
      <w:pPr>
        <w:pStyle w:val="Caption"/>
      </w:pPr>
      <w:bookmarkStart w:id="42" w:name="_Ref51512117"/>
      <w:r>
        <w:t xml:space="preserve">Figure </w:t>
      </w:r>
      <w:fldSimple w:instr=" SEQ Figure \* ARABIC ">
        <w:r w:rsidR="00F03B5A">
          <w:rPr>
            <w:noProof/>
          </w:rPr>
          <w:t>6</w:t>
        </w:r>
      </w:fldSimple>
      <w:bookmarkEnd w:id="42"/>
      <w:r w:rsidRPr="00D5048D">
        <w:t>: Change in international reserve holdings</w:t>
      </w:r>
      <w:r>
        <w:t xml:space="preserve"> by emerging market economies</w:t>
      </w:r>
      <w:r w:rsidRPr="00D5048D">
        <w:t xml:space="preserve"> between the end of February 2020 and the end of April 2020 as a share of 2019 GDP</w:t>
      </w:r>
      <w:r>
        <w:t xml:space="preserve"> (full sample).</w:t>
      </w:r>
      <w:r w:rsidRPr="00D5048D">
        <w:t xml:space="preserve"> </w:t>
      </w:r>
      <w:r w:rsidRPr="00BA24F5">
        <w:t>Data source: IMF.</w:t>
      </w:r>
    </w:p>
    <w:p w14:paraId="14DFCACE" w14:textId="6B48BDA1" w:rsidR="00A64EAE" w:rsidRDefault="00A64EAE" w:rsidP="00A64EAE"/>
    <w:p w14:paraId="69D34208" w14:textId="77777777" w:rsidR="00E245E9" w:rsidRDefault="00E245E9" w:rsidP="00E245E9">
      <w:pPr>
        <w:keepNext/>
      </w:pPr>
      <w:r>
        <w:rPr>
          <w:noProof/>
          <w:lang w:eastAsia="en-US"/>
        </w:rPr>
        <w:lastRenderedPageBreak/>
        <w:drawing>
          <wp:inline distT="0" distB="0" distL="0" distR="0" wp14:anchorId="56C643F5" wp14:editId="0F29E3E0">
            <wp:extent cx="5943600" cy="4622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7">
                      <a:extLst>
                        <a:ext uri="{28A0092B-C50C-407E-A947-70E740481C1C}">
                          <a14:useLocalDpi xmlns:a14="http://schemas.microsoft.com/office/drawing/2010/main" val="0"/>
                        </a:ext>
                      </a:extLst>
                    </a:blip>
                    <a:stretch>
                      <a:fillRect/>
                    </a:stretch>
                  </pic:blipFill>
                  <pic:spPr>
                    <a:xfrm>
                      <a:off x="0" y="0"/>
                      <a:ext cx="5943600" cy="4622800"/>
                    </a:xfrm>
                    <a:prstGeom prst="rect">
                      <a:avLst/>
                    </a:prstGeom>
                  </pic:spPr>
                </pic:pic>
              </a:graphicData>
            </a:graphic>
          </wp:inline>
        </w:drawing>
      </w:r>
    </w:p>
    <w:p w14:paraId="689928FC" w14:textId="25F0E4E7" w:rsidR="00E245E9" w:rsidRDefault="00E245E9" w:rsidP="00E245E9">
      <w:pPr>
        <w:pStyle w:val="Caption"/>
      </w:pPr>
      <w:bookmarkStart w:id="43" w:name="_Ref51525236"/>
      <w:r>
        <w:t xml:space="preserve">Figure </w:t>
      </w:r>
      <w:fldSimple w:instr=" SEQ Figure \* ARABIC ">
        <w:r w:rsidR="00F03B5A">
          <w:rPr>
            <w:noProof/>
          </w:rPr>
          <w:t>7</w:t>
        </w:r>
      </w:fldSimple>
      <w:bookmarkEnd w:id="43"/>
      <w:r w:rsidRPr="00BA24F5">
        <w:t>: Development of sovereign 5-year CDS spreads of emerging market economies from January 2020 to April 2020</w:t>
      </w:r>
      <w:r>
        <w:t xml:space="preserve"> (full sample)</w:t>
      </w:r>
      <w:r w:rsidRPr="00BA24F5">
        <w:t>. Data source: Eikon Refinitiv.</w:t>
      </w:r>
    </w:p>
    <w:p w14:paraId="609FB442" w14:textId="773EAACD" w:rsidR="00E245E9" w:rsidRDefault="00E245E9" w:rsidP="00A64EAE"/>
    <w:p w14:paraId="1090B329" w14:textId="77777777" w:rsidR="00B91314" w:rsidRDefault="00B91314" w:rsidP="00B91314">
      <w:pPr>
        <w:pStyle w:val="Caption"/>
      </w:pPr>
      <w:bookmarkStart w:id="44" w:name="_Ref52015427"/>
      <w:r>
        <w:rPr>
          <w:noProof/>
          <w:lang w:eastAsia="en-US"/>
        </w:rPr>
        <w:lastRenderedPageBreak/>
        <w:drawing>
          <wp:inline distT="0" distB="0" distL="0" distR="0" wp14:anchorId="2E383C80" wp14:editId="516D36F7">
            <wp:extent cx="5943600" cy="4622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8">
                      <a:extLst>
                        <a:ext uri="{28A0092B-C50C-407E-A947-70E740481C1C}">
                          <a14:useLocalDpi xmlns:a14="http://schemas.microsoft.com/office/drawing/2010/main" val="0"/>
                        </a:ext>
                      </a:extLst>
                    </a:blip>
                    <a:stretch>
                      <a:fillRect/>
                    </a:stretch>
                  </pic:blipFill>
                  <pic:spPr>
                    <a:xfrm>
                      <a:off x="0" y="0"/>
                      <a:ext cx="5943600" cy="4622800"/>
                    </a:xfrm>
                    <a:prstGeom prst="rect">
                      <a:avLst/>
                    </a:prstGeom>
                  </pic:spPr>
                </pic:pic>
              </a:graphicData>
            </a:graphic>
          </wp:inline>
        </w:drawing>
      </w:r>
    </w:p>
    <w:p w14:paraId="2F4BA917" w14:textId="0A6D9DF3" w:rsidR="000C1224" w:rsidRPr="000C1224" w:rsidRDefault="00B91314" w:rsidP="00A222C9">
      <w:pPr>
        <w:pStyle w:val="Caption"/>
      </w:pPr>
      <w:bookmarkStart w:id="45" w:name="_Ref52015926"/>
      <w:r>
        <w:t xml:space="preserve">Figure </w:t>
      </w:r>
      <w:fldSimple w:instr=" SEQ Figure \* ARABIC ">
        <w:r w:rsidR="00F03B5A">
          <w:rPr>
            <w:noProof/>
          </w:rPr>
          <w:t>8</w:t>
        </w:r>
      </w:fldSimple>
      <w:bookmarkEnd w:id="44"/>
      <w:bookmarkEnd w:id="45"/>
      <w:r>
        <w:t xml:space="preserve">: </w:t>
      </w:r>
      <w:r w:rsidRPr="00FB2583">
        <w:t>Development of sovereign 5-year CDS spreads of advanced economies from January 2020 to April 2020. Data source: Eikon Refinitiv</w:t>
      </w:r>
      <w:r>
        <w:t>.</w:t>
      </w:r>
    </w:p>
    <w:p w14:paraId="6418A226" w14:textId="216F51DF" w:rsidR="001A36B5" w:rsidRPr="009D0FDD" w:rsidRDefault="001A36B5">
      <w:pPr>
        <w:rPr>
          <w:i/>
          <w:iCs/>
          <w:color w:val="44546A" w:themeColor="text2"/>
          <w:sz w:val="18"/>
          <w:szCs w:val="18"/>
        </w:rPr>
      </w:pPr>
    </w:p>
    <w:p w14:paraId="72AD3431" w14:textId="77777777" w:rsidR="009C3DCA" w:rsidRDefault="009C3DCA" w:rsidP="009C3DCA">
      <w:pPr>
        <w:pBdr>
          <w:top w:val="single" w:sz="4" w:space="1" w:color="auto"/>
          <w:left w:val="single" w:sz="4" w:space="4" w:color="auto"/>
          <w:bottom w:val="single" w:sz="4" w:space="1" w:color="auto"/>
          <w:right w:val="single" w:sz="4" w:space="4" w:color="auto"/>
        </w:pBdr>
      </w:pPr>
      <w:r w:rsidRPr="009C3DCA">
        <w:t>Argentina</w:t>
      </w:r>
      <w:r>
        <w:t xml:space="preserve">, </w:t>
      </w:r>
      <w:r w:rsidRPr="009C3DCA">
        <w:t>Bahrain</w:t>
      </w:r>
      <w:r>
        <w:t xml:space="preserve">, </w:t>
      </w:r>
      <w:r w:rsidRPr="009C3DCA">
        <w:t>Brazil</w:t>
      </w:r>
      <w:r>
        <w:t xml:space="preserve">, </w:t>
      </w:r>
      <w:r w:rsidRPr="009C3DCA">
        <w:t>Chile</w:t>
      </w:r>
      <w:r>
        <w:t xml:space="preserve">, </w:t>
      </w:r>
      <w:r w:rsidRPr="009C3DCA">
        <w:t>China</w:t>
      </w:r>
      <w:r>
        <w:t xml:space="preserve">, </w:t>
      </w:r>
      <w:r w:rsidRPr="009C3DCA">
        <w:t>Colombia</w:t>
      </w:r>
      <w:r>
        <w:t xml:space="preserve">, </w:t>
      </w:r>
      <w:r w:rsidRPr="009C3DCA">
        <w:t>Czechia</w:t>
      </w:r>
      <w:r>
        <w:t xml:space="preserve">, </w:t>
      </w:r>
      <w:r w:rsidRPr="009C3DCA">
        <w:t>Dominican Republic</w:t>
      </w:r>
      <w:r>
        <w:t xml:space="preserve">, </w:t>
      </w:r>
      <w:r w:rsidRPr="009C3DCA">
        <w:t>Egypt</w:t>
      </w:r>
      <w:r>
        <w:t xml:space="preserve">, </w:t>
      </w:r>
      <w:r w:rsidRPr="009C3DCA">
        <w:t>Ghana</w:t>
      </w:r>
      <w:r>
        <w:t xml:space="preserve">, </w:t>
      </w:r>
      <w:r w:rsidRPr="009C3DCA">
        <w:t>Hungary</w:t>
      </w:r>
      <w:r>
        <w:t xml:space="preserve">, </w:t>
      </w:r>
      <w:r w:rsidRPr="009C3DCA">
        <w:t>India</w:t>
      </w:r>
      <w:r>
        <w:t xml:space="preserve">, </w:t>
      </w:r>
      <w:r w:rsidRPr="009C3DCA">
        <w:t>Indonesia</w:t>
      </w:r>
      <w:r>
        <w:t xml:space="preserve">, </w:t>
      </w:r>
      <w:r w:rsidRPr="009C3DCA">
        <w:t>Kazakhstan</w:t>
      </w:r>
      <w:r>
        <w:t xml:space="preserve">, </w:t>
      </w:r>
      <w:r w:rsidRPr="009C3DCA">
        <w:t>Malaysia</w:t>
      </w:r>
      <w:r>
        <w:t xml:space="preserve">, </w:t>
      </w:r>
      <w:r w:rsidRPr="009C3DCA">
        <w:t>Mexico</w:t>
      </w:r>
      <w:r>
        <w:t xml:space="preserve">, </w:t>
      </w:r>
      <w:r w:rsidRPr="009C3DCA">
        <w:t>Panama</w:t>
      </w:r>
      <w:r>
        <w:t xml:space="preserve">, </w:t>
      </w:r>
      <w:r w:rsidRPr="009C3DCA">
        <w:t>Peru</w:t>
      </w:r>
      <w:r>
        <w:t xml:space="preserve">, </w:t>
      </w:r>
      <w:r w:rsidRPr="009C3DCA">
        <w:t>Philippines</w:t>
      </w:r>
      <w:r>
        <w:t xml:space="preserve">, </w:t>
      </w:r>
      <w:r w:rsidRPr="009C3DCA">
        <w:t>Poland</w:t>
      </w:r>
      <w:r>
        <w:t xml:space="preserve">, </w:t>
      </w:r>
      <w:r w:rsidRPr="009C3DCA">
        <w:t>Qatar</w:t>
      </w:r>
      <w:r>
        <w:t xml:space="preserve">, </w:t>
      </w:r>
      <w:r w:rsidRPr="009C3DCA">
        <w:t>Romania</w:t>
      </w:r>
      <w:r>
        <w:t xml:space="preserve">, </w:t>
      </w:r>
      <w:r w:rsidRPr="009C3DCA">
        <w:t>Russia</w:t>
      </w:r>
      <w:r>
        <w:t xml:space="preserve">, </w:t>
      </w:r>
      <w:r w:rsidRPr="009C3DCA">
        <w:t>Saudi Arabia</w:t>
      </w:r>
      <w:r>
        <w:t xml:space="preserve">, </w:t>
      </w:r>
      <w:r w:rsidRPr="009C3DCA">
        <w:t>South Africa</w:t>
      </w:r>
      <w:r>
        <w:t xml:space="preserve">, </w:t>
      </w:r>
      <w:r w:rsidRPr="009C3DCA">
        <w:t>Sri Lanka</w:t>
      </w:r>
      <w:r>
        <w:t xml:space="preserve">, </w:t>
      </w:r>
      <w:r w:rsidRPr="009C3DCA">
        <w:t>Thailand</w:t>
      </w:r>
      <w:r>
        <w:t xml:space="preserve">, </w:t>
      </w:r>
      <w:r w:rsidRPr="009C3DCA">
        <w:t>Turkey</w:t>
      </w:r>
      <w:r>
        <w:t xml:space="preserve">, </w:t>
      </w:r>
      <w:r w:rsidRPr="009C3DCA">
        <w:t>Ukraine</w:t>
      </w:r>
      <w:r>
        <w:t xml:space="preserve">, </w:t>
      </w:r>
      <w:r w:rsidRPr="009C3DCA">
        <w:t>Uruguay</w:t>
      </w:r>
    </w:p>
    <w:p w14:paraId="2FDCF2B3" w14:textId="3110D3F1" w:rsidR="00491848" w:rsidRPr="009D0FDD" w:rsidRDefault="00491848" w:rsidP="00491848">
      <w:pPr>
        <w:pStyle w:val="Caption"/>
        <w:keepNext/>
      </w:pPr>
      <w:bookmarkStart w:id="46" w:name="_Ref51843096"/>
      <w:r w:rsidRPr="009D0FDD">
        <w:t xml:space="preserve">Table </w:t>
      </w:r>
      <w:fldSimple w:instr=" SEQ Table \* ARABIC ">
        <w:r w:rsidR="00F03B5A">
          <w:rPr>
            <w:noProof/>
          </w:rPr>
          <w:t>1</w:t>
        </w:r>
      </w:fldSimple>
      <w:bookmarkEnd w:id="46"/>
      <w:r>
        <w:t xml:space="preserve">: List of the 30 emerging markets </w:t>
      </w:r>
      <w:r w:rsidR="00FE4F3F">
        <w:t xml:space="preserve">which constitute our </w:t>
      </w:r>
      <w:r w:rsidR="00496B69">
        <w:t>“</w:t>
      </w:r>
      <w:r w:rsidR="00B91314">
        <w:t>full</w:t>
      </w:r>
      <w:r w:rsidR="00496B69">
        <w:t xml:space="preserve">” </w:t>
      </w:r>
      <w:r w:rsidR="00FE4F3F">
        <w:t>sample</w:t>
      </w:r>
      <w:r w:rsidR="00496B69">
        <w:t>. This sample is used</w:t>
      </w:r>
      <w:r w:rsidR="00FE4F3F">
        <w:t xml:space="preserve"> to train the model in the first stage. The 30 countries were selected based on the criteri</w:t>
      </w:r>
      <w:r w:rsidR="00A222C9">
        <w:t>on</w:t>
      </w:r>
      <w:r w:rsidR="00FE4F3F">
        <w:t xml:space="preserve"> of </w:t>
      </w:r>
      <w:proofErr w:type="spellStart"/>
      <w:r w:rsidR="00FE4F3F">
        <w:t>investibility</w:t>
      </w:r>
      <w:proofErr w:type="spellEnd"/>
      <w:r w:rsidR="00FE4F3F">
        <w:t xml:space="preserve"> (as defined by the inclusion in the JP Morgan Chase EMBI index) and data availability. </w:t>
      </w:r>
    </w:p>
    <w:p w14:paraId="0AD8C2A3" w14:textId="38AFB00C" w:rsidR="00A222C9" w:rsidRDefault="00A222C9" w:rsidP="00491848">
      <w:r>
        <w:br w:type="page"/>
      </w:r>
    </w:p>
    <w:tbl>
      <w:tblPr>
        <w:tblStyle w:val="TableGrid"/>
        <w:tblW w:w="0" w:type="auto"/>
        <w:tblLook w:val="04A0" w:firstRow="1" w:lastRow="0" w:firstColumn="1" w:lastColumn="0" w:noHBand="0" w:noVBand="1"/>
      </w:tblPr>
      <w:tblGrid>
        <w:gridCol w:w="3116"/>
        <w:gridCol w:w="3117"/>
        <w:gridCol w:w="3117"/>
      </w:tblGrid>
      <w:tr w:rsidR="00FE4F3F" w14:paraId="11405F51" w14:textId="77777777" w:rsidTr="00FE4F3F">
        <w:tc>
          <w:tcPr>
            <w:tcW w:w="3116" w:type="dxa"/>
          </w:tcPr>
          <w:p w14:paraId="18B41054" w14:textId="545956EC" w:rsidR="00FE4F3F" w:rsidRPr="003046EF" w:rsidRDefault="00FE4F3F" w:rsidP="00473A37">
            <w:pPr>
              <w:rPr>
                <w:lang w:val="de-CH"/>
              </w:rPr>
            </w:pPr>
            <w:r w:rsidRPr="003046EF">
              <w:rPr>
                <w:lang w:val="de-CH"/>
              </w:rPr>
              <w:lastRenderedPageBreak/>
              <w:t>Eurozone (33.3</w:t>
            </w:r>
            <w:r w:rsidR="00FA20B8" w:rsidRPr="003046EF">
              <w:rPr>
                <w:lang w:val="de-CH"/>
              </w:rPr>
              <w:t>%</w:t>
            </w:r>
            <w:r w:rsidRPr="003046EF">
              <w:rPr>
                <w:lang w:val="de-CH"/>
              </w:rPr>
              <w:t>)</w:t>
            </w:r>
            <w:r w:rsidR="003046EF" w:rsidRPr="003046EF">
              <w:rPr>
                <w:lang w:val="de-CH"/>
              </w:rPr>
              <w:t xml:space="preserve">, 2019 GDP in </w:t>
            </w:r>
            <w:r w:rsidR="00A222C9" w:rsidRPr="003046EF">
              <w:rPr>
                <w:lang w:val="de-CH"/>
              </w:rPr>
              <w:t>Million</w:t>
            </w:r>
            <w:r w:rsidR="003046EF" w:rsidRPr="003046EF">
              <w:rPr>
                <w:lang w:val="de-CH"/>
              </w:rPr>
              <w:t xml:space="preserve"> USD: 13</w:t>
            </w:r>
            <w:r w:rsidR="003046EF">
              <w:rPr>
                <w:lang w:val="de-CH"/>
              </w:rPr>
              <w:t>,</w:t>
            </w:r>
            <w:r w:rsidR="003046EF" w:rsidRPr="003046EF">
              <w:rPr>
                <w:lang w:val="de-CH"/>
              </w:rPr>
              <w:t>264</w:t>
            </w:r>
            <w:r w:rsidR="003046EF">
              <w:rPr>
                <w:lang w:val="de-CH"/>
              </w:rPr>
              <w:t>,</w:t>
            </w:r>
            <w:r w:rsidR="003046EF" w:rsidRPr="003046EF">
              <w:rPr>
                <w:lang w:val="de-CH"/>
              </w:rPr>
              <w:t>737</w:t>
            </w:r>
          </w:p>
        </w:tc>
        <w:tc>
          <w:tcPr>
            <w:tcW w:w="3117" w:type="dxa"/>
          </w:tcPr>
          <w:p w14:paraId="4EE32D2C" w14:textId="67D90C9D" w:rsidR="00FE4F3F" w:rsidRPr="003046EF" w:rsidRDefault="00FE4F3F" w:rsidP="00473A37">
            <w:pPr>
              <w:rPr>
                <w:lang w:val="de-CH"/>
              </w:rPr>
            </w:pPr>
            <w:r w:rsidRPr="003046EF">
              <w:rPr>
                <w:lang w:val="de-CH"/>
              </w:rPr>
              <w:t>Japan (12.8%)</w:t>
            </w:r>
            <w:r w:rsidR="003046EF" w:rsidRPr="003046EF">
              <w:rPr>
                <w:lang w:val="de-CH"/>
              </w:rPr>
              <w:t xml:space="preserve">, 2019 GDP in </w:t>
            </w:r>
            <w:proofErr w:type="spellStart"/>
            <w:r w:rsidR="003046EF" w:rsidRPr="003046EF">
              <w:rPr>
                <w:lang w:val="de-CH"/>
              </w:rPr>
              <w:t>million</w:t>
            </w:r>
            <w:proofErr w:type="spellEnd"/>
            <w:r w:rsidR="003046EF" w:rsidRPr="003046EF">
              <w:rPr>
                <w:lang w:val="de-CH"/>
              </w:rPr>
              <w:t xml:space="preserve"> USD: 5</w:t>
            </w:r>
            <w:r w:rsidR="003046EF">
              <w:rPr>
                <w:lang w:val="de-CH"/>
              </w:rPr>
              <w:t>,</w:t>
            </w:r>
            <w:r w:rsidR="003046EF" w:rsidRPr="003046EF">
              <w:rPr>
                <w:lang w:val="de-CH"/>
              </w:rPr>
              <w:t>081</w:t>
            </w:r>
            <w:r w:rsidR="003046EF">
              <w:rPr>
                <w:lang w:val="de-CH"/>
              </w:rPr>
              <w:t>,</w:t>
            </w:r>
            <w:r w:rsidR="003046EF" w:rsidRPr="003046EF">
              <w:rPr>
                <w:lang w:val="de-CH"/>
              </w:rPr>
              <w:t>770</w:t>
            </w:r>
          </w:p>
        </w:tc>
        <w:tc>
          <w:tcPr>
            <w:tcW w:w="3117" w:type="dxa"/>
          </w:tcPr>
          <w:p w14:paraId="7C48D5D6" w14:textId="52D982FA" w:rsidR="003046EF" w:rsidRDefault="00FE4F3F" w:rsidP="00473A37">
            <w:r>
              <w:t>US (53.9%)</w:t>
            </w:r>
            <w:r w:rsidR="003046EF">
              <w:t xml:space="preserve">, 2019 GDP in million USD: </w:t>
            </w:r>
            <w:r w:rsidR="003046EF" w:rsidRPr="003046EF">
              <w:t>21</w:t>
            </w:r>
            <w:r w:rsidR="003046EF">
              <w:t>,</w:t>
            </w:r>
            <w:r w:rsidR="003046EF" w:rsidRPr="003046EF">
              <w:t>427</w:t>
            </w:r>
            <w:r w:rsidR="003046EF">
              <w:t>,</w:t>
            </w:r>
            <w:r w:rsidR="003046EF" w:rsidRPr="003046EF">
              <w:t>700</w:t>
            </w:r>
          </w:p>
        </w:tc>
      </w:tr>
      <w:tr w:rsidR="00FE4F3F" w14:paraId="662169CB" w14:textId="77777777" w:rsidTr="00FE4F3F">
        <w:tc>
          <w:tcPr>
            <w:tcW w:w="3116" w:type="dxa"/>
          </w:tcPr>
          <w:p w14:paraId="6D95618B" w14:textId="59F87920" w:rsidR="00FE4F3F" w:rsidRPr="00496B69" w:rsidRDefault="00473A37" w:rsidP="00473A37">
            <w:pPr>
              <w:rPr>
                <w:rFonts w:ascii="Arial" w:hAnsi="Arial" w:cs="Arial"/>
                <w:color w:val="000000"/>
                <w:sz w:val="22"/>
                <w:szCs w:val="22"/>
              </w:rPr>
            </w:pPr>
            <w:r w:rsidRPr="00473A37">
              <w:rPr>
                <w:rFonts w:ascii="Arial" w:hAnsi="Arial" w:cs="Arial"/>
                <w:color w:val="000000"/>
                <w:sz w:val="22"/>
                <w:szCs w:val="22"/>
              </w:rPr>
              <w:t xml:space="preserve">Germany, France Greece, Ireland, Belgium, Spain, Netherlands, Austria, Cyprus, Estonia, Italy, Latvia, Lithuania, Malta, Portugal, Slovenia, Slovakia, Finland; </w:t>
            </w:r>
          </w:p>
        </w:tc>
        <w:tc>
          <w:tcPr>
            <w:tcW w:w="3117" w:type="dxa"/>
          </w:tcPr>
          <w:p w14:paraId="16CBF767" w14:textId="77777777" w:rsidR="00FE4F3F" w:rsidRDefault="00FE4F3F" w:rsidP="00473A37"/>
        </w:tc>
        <w:tc>
          <w:tcPr>
            <w:tcW w:w="3117" w:type="dxa"/>
          </w:tcPr>
          <w:p w14:paraId="29DEDF18" w14:textId="77777777" w:rsidR="00FE4F3F" w:rsidRDefault="00FE4F3F" w:rsidP="00473A37"/>
        </w:tc>
      </w:tr>
    </w:tbl>
    <w:p w14:paraId="2E38D4F7" w14:textId="3126902A" w:rsidR="00FE4F3F" w:rsidRDefault="00496B69" w:rsidP="00496B69">
      <w:pPr>
        <w:pStyle w:val="Caption"/>
      </w:pPr>
      <w:bookmarkStart w:id="47" w:name="_Ref51843134"/>
      <w:r>
        <w:t xml:space="preserve">Table </w:t>
      </w:r>
      <w:fldSimple w:instr=" SEQ Table \* ARABIC ">
        <w:r w:rsidR="00F03B5A">
          <w:rPr>
            <w:noProof/>
          </w:rPr>
          <w:t>2</w:t>
        </w:r>
      </w:fldSimple>
      <w:bookmarkEnd w:id="47"/>
      <w:r>
        <w:t xml:space="preserve">: Weights of countries in the global factor are in brakes. The weights are constructed by dividing the country’s 2019 GDP by all 20 countries’ combined 2019 GDP. Luxemburg is not included in the Eurozone as no CDS data was available for it. </w:t>
      </w:r>
    </w:p>
    <w:p w14:paraId="4DAF1588" w14:textId="77777777" w:rsidR="00FE4F3F" w:rsidRPr="009D0FDD" w:rsidRDefault="00FE4F3F" w:rsidP="00491848"/>
    <w:tbl>
      <w:tblPr>
        <w:tblW w:w="9321"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300"/>
        <w:gridCol w:w="1439"/>
        <w:gridCol w:w="1300"/>
        <w:gridCol w:w="1300"/>
        <w:gridCol w:w="1300"/>
        <w:gridCol w:w="1378"/>
        <w:gridCol w:w="1304"/>
      </w:tblGrid>
      <w:tr w:rsidR="006D22E5" w:rsidRPr="009D0FDD" w14:paraId="729CE156" w14:textId="77777777" w:rsidTr="00FE4F3F">
        <w:trPr>
          <w:trHeight w:val="300"/>
        </w:trPr>
        <w:tc>
          <w:tcPr>
            <w:tcW w:w="1300" w:type="dxa"/>
            <w:tcBorders>
              <w:top w:val="single" w:sz="4" w:space="0" w:color="auto"/>
              <w:bottom w:val="single" w:sz="4" w:space="0" w:color="auto"/>
            </w:tcBorders>
            <w:shd w:val="clear" w:color="auto" w:fill="auto"/>
            <w:noWrap/>
            <w:vAlign w:val="bottom"/>
            <w:hideMark/>
          </w:tcPr>
          <w:p w14:paraId="1DD6DC9A" w14:textId="77777777" w:rsidR="006D22E5" w:rsidRPr="009D0FDD" w:rsidRDefault="006D22E5" w:rsidP="008C1512">
            <w:pPr>
              <w:rPr>
                <w:rFonts w:ascii="Arial" w:hAnsi="Arial" w:cs="Arial"/>
                <w:b/>
                <w:bCs/>
                <w:color w:val="000000"/>
                <w:sz w:val="22"/>
                <w:szCs w:val="22"/>
              </w:rPr>
            </w:pPr>
            <w:r w:rsidRPr="009D0FDD">
              <w:rPr>
                <w:rFonts w:ascii="Arial" w:hAnsi="Arial" w:cs="Arial"/>
                <w:b/>
                <w:bCs/>
                <w:color w:val="000000"/>
                <w:sz w:val="22"/>
                <w:szCs w:val="22"/>
              </w:rPr>
              <w:t>Africa</w:t>
            </w:r>
          </w:p>
        </w:tc>
        <w:tc>
          <w:tcPr>
            <w:tcW w:w="1439" w:type="dxa"/>
            <w:tcBorders>
              <w:top w:val="single" w:sz="4" w:space="0" w:color="auto"/>
              <w:bottom w:val="single" w:sz="4" w:space="0" w:color="auto"/>
            </w:tcBorders>
            <w:shd w:val="clear" w:color="auto" w:fill="auto"/>
            <w:noWrap/>
            <w:vAlign w:val="bottom"/>
            <w:hideMark/>
          </w:tcPr>
          <w:p w14:paraId="56D9D417" w14:textId="77777777" w:rsidR="006D22E5" w:rsidRPr="009D0FDD" w:rsidRDefault="006D22E5" w:rsidP="008C1512">
            <w:pPr>
              <w:rPr>
                <w:rFonts w:ascii="Arial" w:hAnsi="Arial" w:cs="Arial"/>
                <w:b/>
                <w:bCs/>
                <w:color w:val="000000"/>
                <w:sz w:val="22"/>
                <w:szCs w:val="22"/>
              </w:rPr>
            </w:pPr>
            <w:proofErr w:type="spellStart"/>
            <w:r w:rsidRPr="009D0FDD">
              <w:rPr>
                <w:rFonts w:ascii="Arial" w:hAnsi="Arial" w:cs="Arial"/>
                <w:b/>
                <w:bCs/>
                <w:color w:val="000000"/>
                <w:sz w:val="22"/>
                <w:szCs w:val="22"/>
              </w:rPr>
              <w:t>CentralAsia</w:t>
            </w:r>
            <w:proofErr w:type="spellEnd"/>
          </w:p>
        </w:tc>
        <w:tc>
          <w:tcPr>
            <w:tcW w:w="1300" w:type="dxa"/>
            <w:tcBorders>
              <w:top w:val="single" w:sz="4" w:space="0" w:color="auto"/>
              <w:bottom w:val="single" w:sz="4" w:space="0" w:color="auto"/>
            </w:tcBorders>
            <w:shd w:val="clear" w:color="auto" w:fill="auto"/>
            <w:noWrap/>
            <w:vAlign w:val="bottom"/>
            <w:hideMark/>
          </w:tcPr>
          <w:p w14:paraId="7DAA4F84" w14:textId="77777777" w:rsidR="006D22E5" w:rsidRPr="009D0FDD" w:rsidRDefault="006D22E5" w:rsidP="008C1512">
            <w:pPr>
              <w:rPr>
                <w:rFonts w:ascii="Arial" w:hAnsi="Arial" w:cs="Arial"/>
                <w:b/>
                <w:bCs/>
                <w:color w:val="000000"/>
                <w:sz w:val="22"/>
                <w:szCs w:val="22"/>
              </w:rPr>
            </w:pPr>
            <w:proofErr w:type="spellStart"/>
            <w:r w:rsidRPr="009D0FDD">
              <w:rPr>
                <w:rFonts w:ascii="Arial" w:hAnsi="Arial" w:cs="Arial"/>
                <w:b/>
                <w:bCs/>
                <w:color w:val="000000"/>
                <w:sz w:val="22"/>
                <w:szCs w:val="22"/>
              </w:rPr>
              <w:t>EastAsia</w:t>
            </w:r>
            <w:proofErr w:type="spellEnd"/>
          </w:p>
        </w:tc>
        <w:tc>
          <w:tcPr>
            <w:tcW w:w="1300" w:type="dxa"/>
            <w:tcBorders>
              <w:top w:val="single" w:sz="4" w:space="0" w:color="auto"/>
              <w:bottom w:val="single" w:sz="4" w:space="0" w:color="auto"/>
            </w:tcBorders>
            <w:shd w:val="clear" w:color="auto" w:fill="auto"/>
            <w:noWrap/>
            <w:vAlign w:val="bottom"/>
            <w:hideMark/>
          </w:tcPr>
          <w:p w14:paraId="09B98101" w14:textId="77777777" w:rsidR="006D22E5" w:rsidRPr="009D0FDD" w:rsidRDefault="006D22E5" w:rsidP="008C1512">
            <w:pPr>
              <w:rPr>
                <w:rFonts w:ascii="Arial" w:hAnsi="Arial" w:cs="Arial"/>
                <w:b/>
                <w:bCs/>
                <w:color w:val="000000"/>
                <w:sz w:val="22"/>
                <w:szCs w:val="22"/>
              </w:rPr>
            </w:pPr>
            <w:r w:rsidRPr="009D0FDD">
              <w:rPr>
                <w:rFonts w:ascii="Arial" w:hAnsi="Arial" w:cs="Arial"/>
                <w:b/>
                <w:bCs/>
                <w:color w:val="000000"/>
                <w:sz w:val="22"/>
                <w:szCs w:val="22"/>
              </w:rPr>
              <w:t>Europe</w:t>
            </w:r>
          </w:p>
        </w:tc>
        <w:tc>
          <w:tcPr>
            <w:tcW w:w="1300" w:type="dxa"/>
            <w:tcBorders>
              <w:top w:val="single" w:sz="4" w:space="0" w:color="auto"/>
              <w:bottom w:val="single" w:sz="4" w:space="0" w:color="auto"/>
            </w:tcBorders>
            <w:shd w:val="clear" w:color="auto" w:fill="auto"/>
            <w:noWrap/>
            <w:vAlign w:val="bottom"/>
            <w:hideMark/>
          </w:tcPr>
          <w:p w14:paraId="2C96B531" w14:textId="77777777" w:rsidR="006D22E5" w:rsidRPr="009D0FDD" w:rsidRDefault="006D22E5" w:rsidP="008C1512">
            <w:pPr>
              <w:rPr>
                <w:rFonts w:ascii="Arial" w:hAnsi="Arial" w:cs="Arial"/>
                <w:b/>
                <w:bCs/>
                <w:color w:val="000000"/>
                <w:sz w:val="22"/>
                <w:szCs w:val="22"/>
              </w:rPr>
            </w:pPr>
            <w:r w:rsidRPr="009D0FDD">
              <w:rPr>
                <w:rFonts w:ascii="Arial" w:hAnsi="Arial" w:cs="Arial"/>
                <w:b/>
                <w:bCs/>
                <w:color w:val="000000"/>
                <w:sz w:val="22"/>
                <w:szCs w:val="22"/>
              </w:rPr>
              <w:t>LATAM</w:t>
            </w:r>
          </w:p>
        </w:tc>
        <w:tc>
          <w:tcPr>
            <w:tcW w:w="1378" w:type="dxa"/>
            <w:tcBorders>
              <w:top w:val="single" w:sz="4" w:space="0" w:color="auto"/>
              <w:bottom w:val="single" w:sz="4" w:space="0" w:color="auto"/>
            </w:tcBorders>
            <w:shd w:val="clear" w:color="auto" w:fill="auto"/>
            <w:noWrap/>
            <w:vAlign w:val="bottom"/>
            <w:hideMark/>
          </w:tcPr>
          <w:p w14:paraId="2CB1EAA0" w14:textId="77777777" w:rsidR="006D22E5" w:rsidRPr="009D0FDD" w:rsidRDefault="006D22E5" w:rsidP="008C1512">
            <w:pPr>
              <w:rPr>
                <w:rFonts w:ascii="Arial" w:hAnsi="Arial" w:cs="Arial"/>
                <w:b/>
                <w:bCs/>
                <w:color w:val="000000"/>
                <w:sz w:val="22"/>
                <w:szCs w:val="22"/>
              </w:rPr>
            </w:pPr>
            <w:proofErr w:type="spellStart"/>
            <w:r w:rsidRPr="009D0FDD">
              <w:rPr>
                <w:rFonts w:ascii="Arial" w:hAnsi="Arial" w:cs="Arial"/>
                <w:b/>
                <w:bCs/>
                <w:color w:val="000000"/>
                <w:sz w:val="22"/>
                <w:szCs w:val="22"/>
              </w:rPr>
              <w:t>MiddleEast</w:t>
            </w:r>
            <w:proofErr w:type="spellEnd"/>
          </w:p>
        </w:tc>
        <w:tc>
          <w:tcPr>
            <w:tcW w:w="1304" w:type="dxa"/>
            <w:tcBorders>
              <w:top w:val="single" w:sz="4" w:space="0" w:color="auto"/>
              <w:bottom w:val="single" w:sz="4" w:space="0" w:color="auto"/>
            </w:tcBorders>
            <w:shd w:val="clear" w:color="auto" w:fill="auto"/>
            <w:noWrap/>
            <w:vAlign w:val="bottom"/>
            <w:hideMark/>
          </w:tcPr>
          <w:p w14:paraId="4082BD17" w14:textId="3FB66D92" w:rsidR="006D22E5" w:rsidRPr="009D0FDD" w:rsidRDefault="006D22E5" w:rsidP="008C1512">
            <w:pPr>
              <w:rPr>
                <w:rFonts w:ascii="Arial" w:hAnsi="Arial" w:cs="Arial"/>
                <w:b/>
                <w:bCs/>
                <w:color w:val="000000"/>
                <w:sz w:val="22"/>
                <w:szCs w:val="22"/>
              </w:rPr>
            </w:pPr>
            <w:proofErr w:type="spellStart"/>
            <w:r w:rsidRPr="009D0FDD">
              <w:rPr>
                <w:rFonts w:ascii="Arial" w:hAnsi="Arial" w:cs="Arial"/>
                <w:b/>
                <w:bCs/>
                <w:color w:val="000000"/>
                <w:sz w:val="22"/>
                <w:szCs w:val="22"/>
              </w:rPr>
              <w:t>SouthAsia</w:t>
            </w:r>
            <w:proofErr w:type="spellEnd"/>
          </w:p>
        </w:tc>
      </w:tr>
      <w:tr w:rsidR="006D22E5" w:rsidRPr="009D0FDD" w14:paraId="00F0089B" w14:textId="77777777" w:rsidTr="00FE4F3F">
        <w:trPr>
          <w:trHeight w:val="300"/>
        </w:trPr>
        <w:tc>
          <w:tcPr>
            <w:tcW w:w="1300" w:type="dxa"/>
            <w:tcBorders>
              <w:top w:val="single" w:sz="4" w:space="0" w:color="auto"/>
            </w:tcBorders>
            <w:shd w:val="clear" w:color="auto" w:fill="auto"/>
            <w:noWrap/>
            <w:hideMark/>
          </w:tcPr>
          <w:p w14:paraId="077D931C" w14:textId="77777777" w:rsidR="006D22E5" w:rsidRPr="009D0FDD" w:rsidRDefault="006D22E5" w:rsidP="008C1512">
            <w:pPr>
              <w:rPr>
                <w:rFonts w:ascii="Arial" w:hAnsi="Arial" w:cs="Arial"/>
                <w:color w:val="000000"/>
                <w:sz w:val="22"/>
                <w:szCs w:val="22"/>
              </w:rPr>
            </w:pPr>
            <w:r w:rsidRPr="009D0FDD">
              <w:rPr>
                <w:rFonts w:ascii="Arial" w:hAnsi="Arial" w:cs="Arial"/>
                <w:color w:val="000000"/>
                <w:sz w:val="22"/>
                <w:szCs w:val="22"/>
              </w:rPr>
              <w:t>Egypt</w:t>
            </w:r>
          </w:p>
        </w:tc>
        <w:tc>
          <w:tcPr>
            <w:tcW w:w="1439" w:type="dxa"/>
            <w:tcBorders>
              <w:top w:val="single" w:sz="4" w:space="0" w:color="auto"/>
            </w:tcBorders>
            <w:shd w:val="clear" w:color="auto" w:fill="auto"/>
            <w:noWrap/>
            <w:hideMark/>
          </w:tcPr>
          <w:p w14:paraId="77815E2E" w14:textId="77777777" w:rsidR="006D22E5" w:rsidRPr="009D0FDD" w:rsidRDefault="006D22E5" w:rsidP="008C1512">
            <w:pPr>
              <w:rPr>
                <w:rFonts w:ascii="Arial" w:hAnsi="Arial" w:cs="Arial"/>
                <w:color w:val="000000"/>
                <w:sz w:val="22"/>
                <w:szCs w:val="22"/>
              </w:rPr>
            </w:pPr>
            <w:r w:rsidRPr="009D0FDD">
              <w:rPr>
                <w:rFonts w:ascii="Arial" w:hAnsi="Arial" w:cs="Arial"/>
                <w:color w:val="000000"/>
                <w:sz w:val="22"/>
                <w:szCs w:val="22"/>
              </w:rPr>
              <w:t>Kazakhstan</w:t>
            </w:r>
          </w:p>
        </w:tc>
        <w:tc>
          <w:tcPr>
            <w:tcW w:w="1300" w:type="dxa"/>
            <w:tcBorders>
              <w:top w:val="single" w:sz="4" w:space="0" w:color="auto"/>
            </w:tcBorders>
            <w:shd w:val="clear" w:color="auto" w:fill="auto"/>
            <w:noWrap/>
            <w:hideMark/>
          </w:tcPr>
          <w:p w14:paraId="3906EFB7" w14:textId="77777777" w:rsidR="006D22E5" w:rsidRPr="009D0FDD" w:rsidRDefault="006D22E5" w:rsidP="008C1512">
            <w:pPr>
              <w:rPr>
                <w:rFonts w:ascii="Arial" w:hAnsi="Arial" w:cs="Arial"/>
                <w:color w:val="000000"/>
                <w:sz w:val="22"/>
                <w:szCs w:val="22"/>
              </w:rPr>
            </w:pPr>
            <w:r w:rsidRPr="009D0FDD">
              <w:rPr>
                <w:rFonts w:ascii="Arial" w:hAnsi="Arial" w:cs="Arial"/>
                <w:color w:val="000000"/>
                <w:sz w:val="22"/>
                <w:szCs w:val="22"/>
              </w:rPr>
              <w:t>China</w:t>
            </w:r>
          </w:p>
        </w:tc>
        <w:tc>
          <w:tcPr>
            <w:tcW w:w="1300" w:type="dxa"/>
            <w:tcBorders>
              <w:top w:val="single" w:sz="4" w:space="0" w:color="auto"/>
            </w:tcBorders>
            <w:shd w:val="clear" w:color="auto" w:fill="auto"/>
            <w:noWrap/>
            <w:hideMark/>
          </w:tcPr>
          <w:p w14:paraId="5A2713A0" w14:textId="77777777" w:rsidR="006D22E5" w:rsidRPr="009D0FDD" w:rsidRDefault="006D22E5" w:rsidP="008C1512">
            <w:pPr>
              <w:rPr>
                <w:rFonts w:ascii="Arial" w:hAnsi="Arial" w:cs="Arial"/>
                <w:color w:val="000000"/>
                <w:sz w:val="22"/>
                <w:szCs w:val="22"/>
              </w:rPr>
            </w:pPr>
            <w:r w:rsidRPr="009D0FDD">
              <w:rPr>
                <w:rFonts w:ascii="Arial" w:hAnsi="Arial" w:cs="Arial"/>
                <w:color w:val="000000"/>
                <w:sz w:val="22"/>
                <w:szCs w:val="22"/>
              </w:rPr>
              <w:t>Czechia</w:t>
            </w:r>
          </w:p>
        </w:tc>
        <w:tc>
          <w:tcPr>
            <w:tcW w:w="1300" w:type="dxa"/>
            <w:tcBorders>
              <w:top w:val="single" w:sz="4" w:space="0" w:color="auto"/>
            </w:tcBorders>
            <w:shd w:val="clear" w:color="auto" w:fill="auto"/>
            <w:noWrap/>
            <w:hideMark/>
          </w:tcPr>
          <w:p w14:paraId="2828BA4B" w14:textId="77777777" w:rsidR="006D22E5" w:rsidRPr="009D0FDD" w:rsidRDefault="006D22E5" w:rsidP="008C1512">
            <w:pPr>
              <w:rPr>
                <w:rFonts w:ascii="Arial" w:hAnsi="Arial" w:cs="Arial"/>
                <w:color w:val="000000"/>
                <w:sz w:val="22"/>
                <w:szCs w:val="22"/>
              </w:rPr>
            </w:pPr>
            <w:r w:rsidRPr="009D0FDD">
              <w:rPr>
                <w:rFonts w:ascii="Arial" w:hAnsi="Arial" w:cs="Arial"/>
                <w:color w:val="000000"/>
                <w:sz w:val="22"/>
                <w:szCs w:val="22"/>
              </w:rPr>
              <w:t>Argentina</w:t>
            </w:r>
          </w:p>
        </w:tc>
        <w:tc>
          <w:tcPr>
            <w:tcW w:w="1378" w:type="dxa"/>
            <w:tcBorders>
              <w:top w:val="single" w:sz="4" w:space="0" w:color="auto"/>
            </w:tcBorders>
            <w:shd w:val="clear" w:color="auto" w:fill="auto"/>
            <w:noWrap/>
            <w:hideMark/>
          </w:tcPr>
          <w:p w14:paraId="3D7F8891" w14:textId="77777777" w:rsidR="006D22E5" w:rsidRPr="009D0FDD" w:rsidRDefault="006D22E5" w:rsidP="008C1512">
            <w:pPr>
              <w:rPr>
                <w:rFonts w:ascii="Arial" w:hAnsi="Arial" w:cs="Arial"/>
                <w:color w:val="000000"/>
                <w:sz w:val="22"/>
                <w:szCs w:val="22"/>
              </w:rPr>
            </w:pPr>
            <w:r w:rsidRPr="009D0FDD">
              <w:rPr>
                <w:rFonts w:ascii="Arial" w:hAnsi="Arial" w:cs="Arial"/>
                <w:color w:val="000000"/>
                <w:sz w:val="22"/>
                <w:szCs w:val="22"/>
              </w:rPr>
              <w:t>Bahrain</w:t>
            </w:r>
          </w:p>
        </w:tc>
        <w:tc>
          <w:tcPr>
            <w:tcW w:w="1304" w:type="dxa"/>
            <w:tcBorders>
              <w:top w:val="single" w:sz="4" w:space="0" w:color="auto"/>
            </w:tcBorders>
            <w:shd w:val="clear" w:color="auto" w:fill="auto"/>
            <w:noWrap/>
            <w:hideMark/>
          </w:tcPr>
          <w:p w14:paraId="60A6FACA" w14:textId="77777777" w:rsidR="006D22E5" w:rsidRPr="009D0FDD" w:rsidRDefault="006D22E5" w:rsidP="008C1512">
            <w:pPr>
              <w:rPr>
                <w:rFonts w:ascii="Arial" w:hAnsi="Arial" w:cs="Arial"/>
                <w:color w:val="000000"/>
                <w:sz w:val="22"/>
                <w:szCs w:val="22"/>
              </w:rPr>
            </w:pPr>
            <w:r w:rsidRPr="009D0FDD">
              <w:rPr>
                <w:rFonts w:ascii="Arial" w:hAnsi="Arial" w:cs="Arial"/>
                <w:color w:val="000000"/>
                <w:sz w:val="22"/>
                <w:szCs w:val="22"/>
              </w:rPr>
              <w:t>Sri Lanka</w:t>
            </w:r>
          </w:p>
        </w:tc>
      </w:tr>
      <w:tr w:rsidR="006D22E5" w:rsidRPr="009D0FDD" w14:paraId="1879E870" w14:textId="77777777" w:rsidTr="008C1512">
        <w:trPr>
          <w:trHeight w:val="300"/>
        </w:trPr>
        <w:tc>
          <w:tcPr>
            <w:tcW w:w="1300" w:type="dxa"/>
            <w:shd w:val="clear" w:color="auto" w:fill="auto"/>
            <w:noWrap/>
            <w:hideMark/>
          </w:tcPr>
          <w:p w14:paraId="1386C108" w14:textId="77777777" w:rsidR="006D22E5" w:rsidRPr="009D0FDD" w:rsidRDefault="006D22E5" w:rsidP="008C1512">
            <w:pPr>
              <w:rPr>
                <w:rFonts w:ascii="Arial" w:hAnsi="Arial" w:cs="Arial"/>
                <w:color w:val="000000"/>
                <w:sz w:val="22"/>
                <w:szCs w:val="22"/>
              </w:rPr>
            </w:pPr>
            <w:r w:rsidRPr="009D0FDD">
              <w:rPr>
                <w:rFonts w:ascii="Arial" w:hAnsi="Arial" w:cs="Arial"/>
                <w:color w:val="000000"/>
                <w:sz w:val="22"/>
                <w:szCs w:val="22"/>
              </w:rPr>
              <w:t>Ghana</w:t>
            </w:r>
          </w:p>
        </w:tc>
        <w:tc>
          <w:tcPr>
            <w:tcW w:w="1439" w:type="dxa"/>
            <w:shd w:val="clear" w:color="auto" w:fill="auto"/>
            <w:noWrap/>
            <w:hideMark/>
          </w:tcPr>
          <w:p w14:paraId="33A81584" w14:textId="77777777" w:rsidR="006D22E5" w:rsidRPr="009D0FDD" w:rsidRDefault="006D22E5" w:rsidP="008C1512">
            <w:pPr>
              <w:rPr>
                <w:rFonts w:ascii="Arial" w:hAnsi="Arial" w:cs="Arial"/>
                <w:color w:val="000000"/>
                <w:sz w:val="22"/>
                <w:szCs w:val="22"/>
              </w:rPr>
            </w:pPr>
            <w:r w:rsidRPr="009D0FDD">
              <w:rPr>
                <w:rFonts w:ascii="Arial" w:hAnsi="Arial" w:cs="Arial"/>
                <w:color w:val="000000"/>
                <w:sz w:val="22"/>
                <w:szCs w:val="22"/>
              </w:rPr>
              <w:t>Russia</w:t>
            </w:r>
          </w:p>
        </w:tc>
        <w:tc>
          <w:tcPr>
            <w:tcW w:w="1300" w:type="dxa"/>
            <w:shd w:val="clear" w:color="auto" w:fill="auto"/>
            <w:noWrap/>
            <w:hideMark/>
          </w:tcPr>
          <w:p w14:paraId="524E447A" w14:textId="77777777" w:rsidR="006D22E5" w:rsidRPr="009D0FDD" w:rsidRDefault="006D22E5" w:rsidP="008C1512">
            <w:pPr>
              <w:rPr>
                <w:rFonts w:ascii="Arial" w:hAnsi="Arial" w:cs="Arial"/>
                <w:color w:val="000000"/>
                <w:sz w:val="22"/>
                <w:szCs w:val="22"/>
              </w:rPr>
            </w:pPr>
            <w:r w:rsidRPr="009D0FDD">
              <w:rPr>
                <w:rFonts w:ascii="Arial" w:hAnsi="Arial" w:cs="Arial"/>
                <w:color w:val="000000"/>
                <w:sz w:val="22"/>
                <w:szCs w:val="22"/>
              </w:rPr>
              <w:t>Indonesia</w:t>
            </w:r>
          </w:p>
        </w:tc>
        <w:tc>
          <w:tcPr>
            <w:tcW w:w="1300" w:type="dxa"/>
            <w:shd w:val="clear" w:color="auto" w:fill="auto"/>
            <w:noWrap/>
            <w:hideMark/>
          </w:tcPr>
          <w:p w14:paraId="1FA5E483" w14:textId="77777777" w:rsidR="006D22E5" w:rsidRPr="009D0FDD" w:rsidRDefault="006D22E5" w:rsidP="008C1512">
            <w:pPr>
              <w:rPr>
                <w:rFonts w:ascii="Arial" w:hAnsi="Arial" w:cs="Arial"/>
                <w:color w:val="000000"/>
                <w:sz w:val="22"/>
                <w:szCs w:val="22"/>
              </w:rPr>
            </w:pPr>
            <w:r w:rsidRPr="009D0FDD">
              <w:rPr>
                <w:rFonts w:ascii="Arial" w:hAnsi="Arial" w:cs="Arial"/>
                <w:color w:val="000000"/>
                <w:sz w:val="22"/>
                <w:szCs w:val="22"/>
              </w:rPr>
              <w:t>Hungary</w:t>
            </w:r>
          </w:p>
        </w:tc>
        <w:tc>
          <w:tcPr>
            <w:tcW w:w="1300" w:type="dxa"/>
            <w:shd w:val="clear" w:color="auto" w:fill="auto"/>
            <w:noWrap/>
            <w:hideMark/>
          </w:tcPr>
          <w:p w14:paraId="3A3C2BD7" w14:textId="77777777" w:rsidR="006D22E5" w:rsidRPr="009D0FDD" w:rsidRDefault="006D22E5" w:rsidP="008C1512">
            <w:pPr>
              <w:rPr>
                <w:rFonts w:ascii="Arial" w:hAnsi="Arial" w:cs="Arial"/>
                <w:color w:val="000000"/>
                <w:sz w:val="22"/>
                <w:szCs w:val="22"/>
              </w:rPr>
            </w:pPr>
            <w:r w:rsidRPr="009D0FDD">
              <w:rPr>
                <w:rFonts w:ascii="Arial" w:hAnsi="Arial" w:cs="Arial"/>
                <w:color w:val="000000"/>
                <w:sz w:val="22"/>
                <w:szCs w:val="22"/>
              </w:rPr>
              <w:t>Brazil</w:t>
            </w:r>
          </w:p>
        </w:tc>
        <w:tc>
          <w:tcPr>
            <w:tcW w:w="1378" w:type="dxa"/>
            <w:shd w:val="clear" w:color="auto" w:fill="auto"/>
            <w:noWrap/>
            <w:hideMark/>
          </w:tcPr>
          <w:p w14:paraId="316A9E10" w14:textId="77777777" w:rsidR="006D22E5" w:rsidRPr="009D0FDD" w:rsidRDefault="006D22E5" w:rsidP="008C1512">
            <w:pPr>
              <w:rPr>
                <w:rFonts w:ascii="Arial" w:hAnsi="Arial" w:cs="Arial"/>
                <w:color w:val="000000"/>
                <w:sz w:val="22"/>
                <w:szCs w:val="22"/>
              </w:rPr>
            </w:pPr>
            <w:r w:rsidRPr="009D0FDD">
              <w:rPr>
                <w:rFonts w:ascii="Arial" w:hAnsi="Arial" w:cs="Arial"/>
                <w:color w:val="000000"/>
                <w:sz w:val="22"/>
                <w:szCs w:val="22"/>
              </w:rPr>
              <w:t>Qatar</w:t>
            </w:r>
          </w:p>
        </w:tc>
        <w:tc>
          <w:tcPr>
            <w:tcW w:w="1304" w:type="dxa"/>
            <w:shd w:val="clear" w:color="auto" w:fill="auto"/>
            <w:noWrap/>
            <w:hideMark/>
          </w:tcPr>
          <w:p w14:paraId="623EA62D" w14:textId="77777777" w:rsidR="006D22E5" w:rsidRPr="009D0FDD" w:rsidRDefault="006D22E5" w:rsidP="008C1512">
            <w:pPr>
              <w:rPr>
                <w:rFonts w:ascii="Arial" w:hAnsi="Arial" w:cs="Arial"/>
                <w:color w:val="000000"/>
                <w:sz w:val="22"/>
                <w:szCs w:val="22"/>
              </w:rPr>
            </w:pPr>
            <w:r w:rsidRPr="009D0FDD">
              <w:rPr>
                <w:rFonts w:ascii="Arial" w:hAnsi="Arial" w:cs="Arial"/>
                <w:color w:val="000000"/>
                <w:sz w:val="22"/>
                <w:szCs w:val="22"/>
              </w:rPr>
              <w:t>India</w:t>
            </w:r>
          </w:p>
        </w:tc>
      </w:tr>
      <w:tr w:rsidR="006D22E5" w:rsidRPr="009D0FDD" w14:paraId="0DCF230A" w14:textId="77777777" w:rsidTr="008C1512">
        <w:trPr>
          <w:trHeight w:val="300"/>
        </w:trPr>
        <w:tc>
          <w:tcPr>
            <w:tcW w:w="1300" w:type="dxa"/>
            <w:shd w:val="clear" w:color="auto" w:fill="auto"/>
            <w:noWrap/>
            <w:hideMark/>
          </w:tcPr>
          <w:p w14:paraId="17D6CD3B" w14:textId="77777777" w:rsidR="006D22E5" w:rsidRPr="009D0FDD" w:rsidRDefault="006D22E5" w:rsidP="008C1512">
            <w:pPr>
              <w:rPr>
                <w:rFonts w:ascii="Arial" w:hAnsi="Arial" w:cs="Arial"/>
                <w:color w:val="000000"/>
                <w:sz w:val="22"/>
                <w:szCs w:val="22"/>
              </w:rPr>
            </w:pPr>
            <w:r w:rsidRPr="009D0FDD">
              <w:rPr>
                <w:rFonts w:ascii="Arial" w:hAnsi="Arial" w:cs="Arial"/>
                <w:color w:val="000000"/>
                <w:sz w:val="22"/>
                <w:szCs w:val="22"/>
              </w:rPr>
              <w:t>South Africa</w:t>
            </w:r>
          </w:p>
        </w:tc>
        <w:tc>
          <w:tcPr>
            <w:tcW w:w="1439" w:type="dxa"/>
            <w:shd w:val="clear" w:color="auto" w:fill="auto"/>
            <w:noWrap/>
            <w:vAlign w:val="bottom"/>
            <w:hideMark/>
          </w:tcPr>
          <w:p w14:paraId="268C2148" w14:textId="77777777" w:rsidR="006D22E5" w:rsidRPr="009D0FDD" w:rsidRDefault="006D22E5" w:rsidP="008C1512">
            <w:pPr>
              <w:rPr>
                <w:rFonts w:ascii="Arial" w:hAnsi="Arial" w:cs="Arial"/>
                <w:color w:val="000000"/>
                <w:sz w:val="22"/>
                <w:szCs w:val="22"/>
              </w:rPr>
            </w:pPr>
          </w:p>
        </w:tc>
        <w:tc>
          <w:tcPr>
            <w:tcW w:w="1300" w:type="dxa"/>
            <w:shd w:val="clear" w:color="auto" w:fill="auto"/>
            <w:noWrap/>
            <w:hideMark/>
          </w:tcPr>
          <w:p w14:paraId="68E5A09E" w14:textId="77777777" w:rsidR="006D22E5" w:rsidRPr="009D0FDD" w:rsidRDefault="006D22E5" w:rsidP="008C1512">
            <w:pPr>
              <w:rPr>
                <w:rFonts w:ascii="Arial" w:hAnsi="Arial" w:cs="Arial"/>
                <w:color w:val="000000"/>
                <w:sz w:val="22"/>
                <w:szCs w:val="22"/>
              </w:rPr>
            </w:pPr>
            <w:r w:rsidRPr="009D0FDD">
              <w:rPr>
                <w:rFonts w:ascii="Arial" w:hAnsi="Arial" w:cs="Arial"/>
                <w:color w:val="000000"/>
                <w:sz w:val="22"/>
                <w:szCs w:val="22"/>
              </w:rPr>
              <w:t>Malaysia</w:t>
            </w:r>
          </w:p>
        </w:tc>
        <w:tc>
          <w:tcPr>
            <w:tcW w:w="1300" w:type="dxa"/>
            <w:shd w:val="clear" w:color="auto" w:fill="auto"/>
            <w:noWrap/>
            <w:hideMark/>
          </w:tcPr>
          <w:p w14:paraId="4C4FC8F4" w14:textId="77777777" w:rsidR="006D22E5" w:rsidRPr="009D0FDD" w:rsidRDefault="006D22E5" w:rsidP="008C1512">
            <w:pPr>
              <w:rPr>
                <w:rFonts w:ascii="Arial" w:hAnsi="Arial" w:cs="Arial"/>
                <w:color w:val="000000"/>
                <w:sz w:val="22"/>
                <w:szCs w:val="22"/>
              </w:rPr>
            </w:pPr>
            <w:r w:rsidRPr="009D0FDD">
              <w:rPr>
                <w:rFonts w:ascii="Arial" w:hAnsi="Arial" w:cs="Arial"/>
                <w:color w:val="000000"/>
                <w:sz w:val="22"/>
                <w:szCs w:val="22"/>
              </w:rPr>
              <w:t>Poland</w:t>
            </w:r>
          </w:p>
        </w:tc>
        <w:tc>
          <w:tcPr>
            <w:tcW w:w="1300" w:type="dxa"/>
            <w:shd w:val="clear" w:color="auto" w:fill="auto"/>
            <w:noWrap/>
            <w:hideMark/>
          </w:tcPr>
          <w:p w14:paraId="2BDD26A3" w14:textId="77777777" w:rsidR="006D22E5" w:rsidRPr="009D0FDD" w:rsidRDefault="006D22E5" w:rsidP="008C1512">
            <w:pPr>
              <w:rPr>
                <w:rFonts w:ascii="Arial" w:hAnsi="Arial" w:cs="Arial"/>
                <w:color w:val="000000"/>
                <w:sz w:val="22"/>
                <w:szCs w:val="22"/>
              </w:rPr>
            </w:pPr>
            <w:r w:rsidRPr="009D0FDD">
              <w:rPr>
                <w:rFonts w:ascii="Arial" w:hAnsi="Arial" w:cs="Arial"/>
                <w:color w:val="000000"/>
                <w:sz w:val="22"/>
                <w:szCs w:val="22"/>
              </w:rPr>
              <w:t>Chile</w:t>
            </w:r>
          </w:p>
        </w:tc>
        <w:tc>
          <w:tcPr>
            <w:tcW w:w="2682" w:type="dxa"/>
            <w:gridSpan w:val="2"/>
            <w:shd w:val="clear" w:color="auto" w:fill="auto"/>
            <w:noWrap/>
            <w:hideMark/>
          </w:tcPr>
          <w:p w14:paraId="5E200791" w14:textId="77777777" w:rsidR="006D22E5" w:rsidRPr="009D0FDD" w:rsidRDefault="006D22E5" w:rsidP="008C1512">
            <w:pPr>
              <w:rPr>
                <w:rFonts w:ascii="Arial" w:hAnsi="Arial" w:cs="Arial"/>
                <w:color w:val="000000"/>
                <w:sz w:val="22"/>
                <w:szCs w:val="22"/>
              </w:rPr>
            </w:pPr>
            <w:r w:rsidRPr="009D0FDD">
              <w:rPr>
                <w:rFonts w:ascii="Arial" w:hAnsi="Arial" w:cs="Arial"/>
                <w:color w:val="000000"/>
                <w:sz w:val="22"/>
                <w:szCs w:val="22"/>
              </w:rPr>
              <w:t>Saudi Arabia</w:t>
            </w:r>
          </w:p>
        </w:tc>
      </w:tr>
      <w:tr w:rsidR="006D22E5" w:rsidRPr="009D0FDD" w14:paraId="507ADE2D" w14:textId="77777777" w:rsidTr="008C1512">
        <w:trPr>
          <w:trHeight w:val="300"/>
        </w:trPr>
        <w:tc>
          <w:tcPr>
            <w:tcW w:w="1300" w:type="dxa"/>
            <w:shd w:val="clear" w:color="auto" w:fill="auto"/>
            <w:noWrap/>
            <w:vAlign w:val="bottom"/>
            <w:hideMark/>
          </w:tcPr>
          <w:p w14:paraId="5E7FF68C" w14:textId="77777777" w:rsidR="006D22E5" w:rsidRPr="009D0FDD" w:rsidRDefault="006D22E5" w:rsidP="008C1512">
            <w:pPr>
              <w:rPr>
                <w:rFonts w:ascii="Arial" w:hAnsi="Arial" w:cs="Arial"/>
                <w:color w:val="000000"/>
                <w:sz w:val="22"/>
                <w:szCs w:val="22"/>
              </w:rPr>
            </w:pPr>
            <w:r w:rsidRPr="009D0FDD">
              <w:rPr>
                <w:rFonts w:ascii="Arial" w:hAnsi="Arial" w:cs="Arial"/>
                <w:color w:val="000000"/>
                <w:sz w:val="22"/>
                <w:szCs w:val="22"/>
              </w:rPr>
              <w:t> </w:t>
            </w:r>
          </w:p>
        </w:tc>
        <w:tc>
          <w:tcPr>
            <w:tcW w:w="1439" w:type="dxa"/>
            <w:shd w:val="clear" w:color="auto" w:fill="auto"/>
            <w:noWrap/>
            <w:vAlign w:val="bottom"/>
            <w:hideMark/>
          </w:tcPr>
          <w:p w14:paraId="6E223060" w14:textId="77777777" w:rsidR="006D22E5" w:rsidRPr="009D0FDD" w:rsidRDefault="006D22E5" w:rsidP="008C1512">
            <w:pPr>
              <w:rPr>
                <w:rFonts w:ascii="Arial" w:hAnsi="Arial" w:cs="Arial"/>
                <w:color w:val="000000"/>
                <w:sz w:val="22"/>
                <w:szCs w:val="22"/>
              </w:rPr>
            </w:pPr>
          </w:p>
        </w:tc>
        <w:tc>
          <w:tcPr>
            <w:tcW w:w="1300" w:type="dxa"/>
            <w:shd w:val="clear" w:color="auto" w:fill="auto"/>
            <w:noWrap/>
            <w:hideMark/>
          </w:tcPr>
          <w:p w14:paraId="30A6B2B6" w14:textId="77777777" w:rsidR="006D22E5" w:rsidRPr="009D0FDD" w:rsidRDefault="006D22E5" w:rsidP="008C1512">
            <w:pPr>
              <w:rPr>
                <w:rFonts w:ascii="Arial" w:hAnsi="Arial" w:cs="Arial"/>
                <w:color w:val="000000"/>
                <w:sz w:val="22"/>
                <w:szCs w:val="22"/>
              </w:rPr>
            </w:pPr>
            <w:r w:rsidRPr="009D0FDD">
              <w:rPr>
                <w:rFonts w:ascii="Arial" w:hAnsi="Arial" w:cs="Arial"/>
                <w:color w:val="000000"/>
                <w:sz w:val="22"/>
                <w:szCs w:val="22"/>
              </w:rPr>
              <w:t>Philippines</w:t>
            </w:r>
          </w:p>
        </w:tc>
        <w:tc>
          <w:tcPr>
            <w:tcW w:w="1300" w:type="dxa"/>
            <w:shd w:val="clear" w:color="auto" w:fill="auto"/>
            <w:noWrap/>
            <w:hideMark/>
          </w:tcPr>
          <w:p w14:paraId="0622AFE3" w14:textId="77777777" w:rsidR="006D22E5" w:rsidRPr="009D0FDD" w:rsidRDefault="006D22E5" w:rsidP="008C1512">
            <w:pPr>
              <w:rPr>
                <w:rFonts w:ascii="Arial" w:hAnsi="Arial" w:cs="Arial"/>
                <w:color w:val="000000"/>
                <w:sz w:val="22"/>
                <w:szCs w:val="22"/>
              </w:rPr>
            </w:pPr>
            <w:r w:rsidRPr="009D0FDD">
              <w:rPr>
                <w:rFonts w:ascii="Arial" w:hAnsi="Arial" w:cs="Arial"/>
                <w:color w:val="000000"/>
                <w:sz w:val="22"/>
                <w:szCs w:val="22"/>
              </w:rPr>
              <w:t>Romania</w:t>
            </w:r>
          </w:p>
        </w:tc>
        <w:tc>
          <w:tcPr>
            <w:tcW w:w="1300" w:type="dxa"/>
            <w:shd w:val="clear" w:color="auto" w:fill="auto"/>
            <w:noWrap/>
            <w:hideMark/>
          </w:tcPr>
          <w:p w14:paraId="7BC23AAE" w14:textId="77777777" w:rsidR="006D22E5" w:rsidRPr="009D0FDD" w:rsidRDefault="006D22E5" w:rsidP="008C1512">
            <w:pPr>
              <w:rPr>
                <w:rFonts w:ascii="Arial" w:hAnsi="Arial" w:cs="Arial"/>
                <w:color w:val="000000"/>
                <w:sz w:val="22"/>
                <w:szCs w:val="22"/>
              </w:rPr>
            </w:pPr>
            <w:r w:rsidRPr="009D0FDD">
              <w:rPr>
                <w:rFonts w:ascii="Arial" w:hAnsi="Arial" w:cs="Arial"/>
                <w:color w:val="000000"/>
                <w:sz w:val="22"/>
                <w:szCs w:val="22"/>
              </w:rPr>
              <w:t>Colombia</w:t>
            </w:r>
          </w:p>
        </w:tc>
        <w:tc>
          <w:tcPr>
            <w:tcW w:w="1378" w:type="dxa"/>
            <w:shd w:val="clear" w:color="auto" w:fill="auto"/>
            <w:noWrap/>
            <w:vAlign w:val="bottom"/>
            <w:hideMark/>
          </w:tcPr>
          <w:p w14:paraId="65520D49" w14:textId="77777777" w:rsidR="006D22E5" w:rsidRPr="009D0FDD" w:rsidRDefault="006D22E5" w:rsidP="008C1512">
            <w:pPr>
              <w:rPr>
                <w:rFonts w:ascii="Arial" w:hAnsi="Arial" w:cs="Arial"/>
                <w:color w:val="000000"/>
                <w:sz w:val="22"/>
                <w:szCs w:val="22"/>
              </w:rPr>
            </w:pPr>
          </w:p>
        </w:tc>
        <w:tc>
          <w:tcPr>
            <w:tcW w:w="1304" w:type="dxa"/>
            <w:shd w:val="clear" w:color="auto" w:fill="auto"/>
            <w:noWrap/>
            <w:vAlign w:val="bottom"/>
            <w:hideMark/>
          </w:tcPr>
          <w:p w14:paraId="17D48EE6" w14:textId="77777777" w:rsidR="006D22E5" w:rsidRPr="009D0FDD" w:rsidRDefault="006D22E5" w:rsidP="008C1512">
            <w:pPr>
              <w:rPr>
                <w:rFonts w:ascii="Arial" w:hAnsi="Arial" w:cs="Arial"/>
                <w:color w:val="000000"/>
                <w:sz w:val="22"/>
                <w:szCs w:val="22"/>
              </w:rPr>
            </w:pPr>
            <w:r w:rsidRPr="009D0FDD">
              <w:rPr>
                <w:rFonts w:ascii="Arial" w:hAnsi="Arial" w:cs="Arial"/>
                <w:color w:val="000000"/>
                <w:sz w:val="22"/>
                <w:szCs w:val="22"/>
              </w:rPr>
              <w:t> </w:t>
            </w:r>
          </w:p>
        </w:tc>
      </w:tr>
      <w:tr w:rsidR="006D22E5" w:rsidRPr="009D0FDD" w14:paraId="30653E27" w14:textId="77777777" w:rsidTr="008C1512">
        <w:trPr>
          <w:trHeight w:val="300"/>
        </w:trPr>
        <w:tc>
          <w:tcPr>
            <w:tcW w:w="1300" w:type="dxa"/>
            <w:shd w:val="clear" w:color="auto" w:fill="auto"/>
            <w:noWrap/>
            <w:vAlign w:val="bottom"/>
            <w:hideMark/>
          </w:tcPr>
          <w:p w14:paraId="14AA4F46" w14:textId="77777777" w:rsidR="006D22E5" w:rsidRPr="009D0FDD" w:rsidRDefault="006D22E5" w:rsidP="008C1512">
            <w:pPr>
              <w:rPr>
                <w:rFonts w:ascii="Arial" w:hAnsi="Arial" w:cs="Arial"/>
                <w:color w:val="000000"/>
                <w:sz w:val="22"/>
                <w:szCs w:val="22"/>
              </w:rPr>
            </w:pPr>
            <w:r w:rsidRPr="009D0FDD">
              <w:rPr>
                <w:rFonts w:ascii="Arial" w:hAnsi="Arial" w:cs="Arial"/>
                <w:color w:val="000000"/>
                <w:sz w:val="22"/>
                <w:szCs w:val="22"/>
              </w:rPr>
              <w:t> </w:t>
            </w:r>
          </w:p>
        </w:tc>
        <w:tc>
          <w:tcPr>
            <w:tcW w:w="1439" w:type="dxa"/>
            <w:shd w:val="clear" w:color="auto" w:fill="auto"/>
            <w:noWrap/>
            <w:vAlign w:val="bottom"/>
            <w:hideMark/>
          </w:tcPr>
          <w:p w14:paraId="64AFEB9F" w14:textId="77777777" w:rsidR="006D22E5" w:rsidRPr="009D0FDD" w:rsidRDefault="006D22E5" w:rsidP="008C1512">
            <w:pPr>
              <w:rPr>
                <w:rFonts w:ascii="Arial" w:hAnsi="Arial" w:cs="Arial"/>
                <w:color w:val="000000"/>
                <w:sz w:val="22"/>
                <w:szCs w:val="22"/>
              </w:rPr>
            </w:pPr>
          </w:p>
        </w:tc>
        <w:tc>
          <w:tcPr>
            <w:tcW w:w="1300" w:type="dxa"/>
            <w:shd w:val="clear" w:color="auto" w:fill="auto"/>
            <w:noWrap/>
            <w:hideMark/>
          </w:tcPr>
          <w:p w14:paraId="4BEF1FA2" w14:textId="77777777" w:rsidR="006D22E5" w:rsidRPr="009D0FDD" w:rsidRDefault="006D22E5" w:rsidP="008C1512">
            <w:pPr>
              <w:rPr>
                <w:rFonts w:ascii="Arial" w:hAnsi="Arial" w:cs="Arial"/>
                <w:color w:val="000000"/>
                <w:sz w:val="22"/>
                <w:szCs w:val="22"/>
              </w:rPr>
            </w:pPr>
            <w:r w:rsidRPr="009D0FDD">
              <w:rPr>
                <w:rFonts w:ascii="Arial" w:hAnsi="Arial" w:cs="Arial"/>
                <w:color w:val="000000"/>
                <w:sz w:val="22"/>
                <w:szCs w:val="22"/>
              </w:rPr>
              <w:t>Thailand</w:t>
            </w:r>
          </w:p>
        </w:tc>
        <w:tc>
          <w:tcPr>
            <w:tcW w:w="1300" w:type="dxa"/>
            <w:shd w:val="clear" w:color="auto" w:fill="auto"/>
            <w:noWrap/>
            <w:hideMark/>
          </w:tcPr>
          <w:p w14:paraId="2F9D60C5" w14:textId="77777777" w:rsidR="006D22E5" w:rsidRPr="009D0FDD" w:rsidRDefault="006D22E5" w:rsidP="008C1512">
            <w:pPr>
              <w:rPr>
                <w:rFonts w:ascii="Arial" w:hAnsi="Arial" w:cs="Arial"/>
                <w:color w:val="000000"/>
                <w:sz w:val="22"/>
                <w:szCs w:val="22"/>
              </w:rPr>
            </w:pPr>
            <w:r w:rsidRPr="009D0FDD">
              <w:rPr>
                <w:rFonts w:ascii="Arial" w:hAnsi="Arial" w:cs="Arial"/>
                <w:color w:val="000000"/>
                <w:sz w:val="22"/>
                <w:szCs w:val="22"/>
              </w:rPr>
              <w:t>Turkey</w:t>
            </w:r>
          </w:p>
        </w:tc>
        <w:tc>
          <w:tcPr>
            <w:tcW w:w="2678" w:type="dxa"/>
            <w:gridSpan w:val="2"/>
            <w:shd w:val="clear" w:color="auto" w:fill="auto"/>
            <w:noWrap/>
            <w:hideMark/>
          </w:tcPr>
          <w:p w14:paraId="43963404" w14:textId="77777777" w:rsidR="006D22E5" w:rsidRPr="009D0FDD" w:rsidRDefault="006D22E5" w:rsidP="008C1512">
            <w:pPr>
              <w:rPr>
                <w:rFonts w:ascii="Arial" w:hAnsi="Arial" w:cs="Arial"/>
                <w:color w:val="000000"/>
                <w:sz w:val="22"/>
                <w:szCs w:val="22"/>
              </w:rPr>
            </w:pPr>
            <w:r w:rsidRPr="009D0FDD">
              <w:rPr>
                <w:rFonts w:ascii="Arial" w:hAnsi="Arial" w:cs="Arial"/>
                <w:color w:val="000000"/>
                <w:sz w:val="22"/>
                <w:szCs w:val="22"/>
              </w:rPr>
              <w:t>Dominican Republic</w:t>
            </w:r>
          </w:p>
        </w:tc>
        <w:tc>
          <w:tcPr>
            <w:tcW w:w="1304" w:type="dxa"/>
            <w:shd w:val="clear" w:color="auto" w:fill="auto"/>
            <w:noWrap/>
            <w:vAlign w:val="bottom"/>
            <w:hideMark/>
          </w:tcPr>
          <w:p w14:paraId="74565E1C" w14:textId="77777777" w:rsidR="006D22E5" w:rsidRPr="009D0FDD" w:rsidRDefault="006D22E5" w:rsidP="008C1512">
            <w:pPr>
              <w:rPr>
                <w:rFonts w:ascii="Arial" w:hAnsi="Arial" w:cs="Arial"/>
                <w:color w:val="000000"/>
                <w:sz w:val="22"/>
                <w:szCs w:val="22"/>
              </w:rPr>
            </w:pPr>
            <w:r w:rsidRPr="009D0FDD">
              <w:rPr>
                <w:rFonts w:ascii="Arial" w:hAnsi="Arial" w:cs="Arial"/>
                <w:color w:val="000000"/>
                <w:sz w:val="22"/>
                <w:szCs w:val="22"/>
              </w:rPr>
              <w:t> </w:t>
            </w:r>
          </w:p>
        </w:tc>
      </w:tr>
      <w:tr w:rsidR="006D22E5" w:rsidRPr="009D0FDD" w14:paraId="35C5D87C" w14:textId="77777777" w:rsidTr="008C1512">
        <w:trPr>
          <w:trHeight w:val="300"/>
        </w:trPr>
        <w:tc>
          <w:tcPr>
            <w:tcW w:w="1300" w:type="dxa"/>
            <w:shd w:val="clear" w:color="auto" w:fill="auto"/>
            <w:noWrap/>
            <w:vAlign w:val="bottom"/>
            <w:hideMark/>
          </w:tcPr>
          <w:p w14:paraId="370E19E3" w14:textId="77777777" w:rsidR="006D22E5" w:rsidRPr="009D0FDD" w:rsidRDefault="006D22E5" w:rsidP="008C1512">
            <w:pPr>
              <w:rPr>
                <w:rFonts w:ascii="Arial" w:hAnsi="Arial" w:cs="Arial"/>
                <w:color w:val="000000"/>
                <w:sz w:val="22"/>
                <w:szCs w:val="22"/>
              </w:rPr>
            </w:pPr>
            <w:r w:rsidRPr="009D0FDD">
              <w:rPr>
                <w:rFonts w:ascii="Arial" w:hAnsi="Arial" w:cs="Arial"/>
                <w:color w:val="000000"/>
                <w:sz w:val="22"/>
                <w:szCs w:val="22"/>
              </w:rPr>
              <w:t> </w:t>
            </w:r>
          </w:p>
        </w:tc>
        <w:tc>
          <w:tcPr>
            <w:tcW w:w="1439" w:type="dxa"/>
            <w:shd w:val="clear" w:color="auto" w:fill="auto"/>
            <w:noWrap/>
            <w:vAlign w:val="bottom"/>
            <w:hideMark/>
          </w:tcPr>
          <w:p w14:paraId="3303EA63" w14:textId="77777777" w:rsidR="006D22E5" w:rsidRPr="009D0FDD" w:rsidRDefault="006D22E5" w:rsidP="008C1512">
            <w:pPr>
              <w:rPr>
                <w:rFonts w:ascii="Arial" w:hAnsi="Arial" w:cs="Arial"/>
                <w:color w:val="000000"/>
                <w:sz w:val="22"/>
                <w:szCs w:val="22"/>
              </w:rPr>
            </w:pPr>
          </w:p>
        </w:tc>
        <w:tc>
          <w:tcPr>
            <w:tcW w:w="1300" w:type="dxa"/>
            <w:shd w:val="clear" w:color="auto" w:fill="auto"/>
            <w:noWrap/>
            <w:vAlign w:val="bottom"/>
            <w:hideMark/>
          </w:tcPr>
          <w:p w14:paraId="3843B866" w14:textId="77777777" w:rsidR="006D22E5" w:rsidRPr="009D0FDD" w:rsidRDefault="006D22E5" w:rsidP="008C1512">
            <w:pPr>
              <w:rPr>
                <w:rFonts w:ascii="Times New Roman" w:hAnsi="Times New Roman"/>
                <w:sz w:val="20"/>
                <w:szCs w:val="20"/>
              </w:rPr>
            </w:pPr>
          </w:p>
        </w:tc>
        <w:tc>
          <w:tcPr>
            <w:tcW w:w="1300" w:type="dxa"/>
            <w:shd w:val="clear" w:color="auto" w:fill="auto"/>
            <w:noWrap/>
            <w:hideMark/>
          </w:tcPr>
          <w:p w14:paraId="1905F221" w14:textId="77777777" w:rsidR="006D22E5" w:rsidRPr="009D0FDD" w:rsidRDefault="006D22E5" w:rsidP="008C1512">
            <w:pPr>
              <w:rPr>
                <w:rFonts w:ascii="Arial" w:hAnsi="Arial" w:cs="Arial"/>
                <w:color w:val="000000"/>
                <w:sz w:val="22"/>
                <w:szCs w:val="22"/>
              </w:rPr>
            </w:pPr>
            <w:r w:rsidRPr="009D0FDD">
              <w:rPr>
                <w:rFonts w:ascii="Arial" w:hAnsi="Arial" w:cs="Arial"/>
                <w:color w:val="000000"/>
                <w:sz w:val="22"/>
                <w:szCs w:val="22"/>
              </w:rPr>
              <w:t>Ukraine</w:t>
            </w:r>
          </w:p>
        </w:tc>
        <w:tc>
          <w:tcPr>
            <w:tcW w:w="1300" w:type="dxa"/>
            <w:shd w:val="clear" w:color="auto" w:fill="auto"/>
            <w:noWrap/>
            <w:hideMark/>
          </w:tcPr>
          <w:p w14:paraId="1426A3FF" w14:textId="77777777" w:rsidR="006D22E5" w:rsidRPr="009D0FDD" w:rsidRDefault="006D22E5" w:rsidP="008C1512">
            <w:pPr>
              <w:rPr>
                <w:rFonts w:ascii="Arial" w:hAnsi="Arial" w:cs="Arial"/>
                <w:color w:val="000000"/>
                <w:sz w:val="22"/>
                <w:szCs w:val="22"/>
              </w:rPr>
            </w:pPr>
            <w:r w:rsidRPr="009D0FDD">
              <w:rPr>
                <w:rFonts w:ascii="Arial" w:hAnsi="Arial" w:cs="Arial"/>
                <w:color w:val="000000"/>
                <w:sz w:val="22"/>
                <w:szCs w:val="22"/>
              </w:rPr>
              <w:t>Mexico</w:t>
            </w:r>
          </w:p>
        </w:tc>
        <w:tc>
          <w:tcPr>
            <w:tcW w:w="1378" w:type="dxa"/>
            <w:shd w:val="clear" w:color="auto" w:fill="auto"/>
            <w:noWrap/>
            <w:vAlign w:val="bottom"/>
            <w:hideMark/>
          </w:tcPr>
          <w:p w14:paraId="296E3678" w14:textId="77777777" w:rsidR="006D22E5" w:rsidRPr="009D0FDD" w:rsidRDefault="006D22E5" w:rsidP="008C1512">
            <w:pPr>
              <w:rPr>
                <w:rFonts w:ascii="Arial" w:hAnsi="Arial" w:cs="Arial"/>
                <w:color w:val="000000"/>
                <w:sz w:val="22"/>
                <w:szCs w:val="22"/>
              </w:rPr>
            </w:pPr>
          </w:p>
        </w:tc>
        <w:tc>
          <w:tcPr>
            <w:tcW w:w="1304" w:type="dxa"/>
            <w:shd w:val="clear" w:color="auto" w:fill="auto"/>
            <w:noWrap/>
            <w:vAlign w:val="bottom"/>
            <w:hideMark/>
          </w:tcPr>
          <w:p w14:paraId="042C625A" w14:textId="77777777" w:rsidR="006D22E5" w:rsidRPr="009D0FDD" w:rsidRDefault="006D22E5" w:rsidP="008C1512">
            <w:pPr>
              <w:rPr>
                <w:rFonts w:ascii="Arial" w:hAnsi="Arial" w:cs="Arial"/>
                <w:color w:val="000000"/>
                <w:sz w:val="22"/>
                <w:szCs w:val="22"/>
              </w:rPr>
            </w:pPr>
            <w:r w:rsidRPr="009D0FDD">
              <w:rPr>
                <w:rFonts w:ascii="Arial" w:hAnsi="Arial" w:cs="Arial"/>
                <w:color w:val="000000"/>
                <w:sz w:val="22"/>
                <w:szCs w:val="22"/>
              </w:rPr>
              <w:t> </w:t>
            </w:r>
          </w:p>
        </w:tc>
      </w:tr>
      <w:tr w:rsidR="006D22E5" w:rsidRPr="009D0FDD" w14:paraId="5F81C3C3" w14:textId="77777777" w:rsidTr="008C1512">
        <w:trPr>
          <w:trHeight w:val="300"/>
        </w:trPr>
        <w:tc>
          <w:tcPr>
            <w:tcW w:w="1300" w:type="dxa"/>
            <w:shd w:val="clear" w:color="auto" w:fill="auto"/>
            <w:noWrap/>
            <w:vAlign w:val="bottom"/>
            <w:hideMark/>
          </w:tcPr>
          <w:p w14:paraId="020ED2F6" w14:textId="77777777" w:rsidR="006D22E5" w:rsidRPr="009D0FDD" w:rsidRDefault="006D22E5" w:rsidP="008C1512">
            <w:pPr>
              <w:rPr>
                <w:rFonts w:ascii="Arial" w:hAnsi="Arial" w:cs="Arial"/>
                <w:color w:val="000000"/>
                <w:sz w:val="22"/>
                <w:szCs w:val="22"/>
              </w:rPr>
            </w:pPr>
            <w:r w:rsidRPr="009D0FDD">
              <w:rPr>
                <w:rFonts w:ascii="Arial" w:hAnsi="Arial" w:cs="Arial"/>
                <w:color w:val="000000"/>
                <w:sz w:val="22"/>
                <w:szCs w:val="22"/>
              </w:rPr>
              <w:t> </w:t>
            </w:r>
          </w:p>
        </w:tc>
        <w:tc>
          <w:tcPr>
            <w:tcW w:w="1439" w:type="dxa"/>
            <w:shd w:val="clear" w:color="auto" w:fill="auto"/>
            <w:noWrap/>
            <w:vAlign w:val="bottom"/>
            <w:hideMark/>
          </w:tcPr>
          <w:p w14:paraId="0DBFC68A" w14:textId="77777777" w:rsidR="006D22E5" w:rsidRPr="009D0FDD" w:rsidRDefault="006D22E5" w:rsidP="008C1512">
            <w:pPr>
              <w:rPr>
                <w:rFonts w:ascii="Arial" w:hAnsi="Arial" w:cs="Arial"/>
                <w:color w:val="000000"/>
                <w:sz w:val="22"/>
                <w:szCs w:val="22"/>
              </w:rPr>
            </w:pPr>
          </w:p>
        </w:tc>
        <w:tc>
          <w:tcPr>
            <w:tcW w:w="1300" w:type="dxa"/>
            <w:shd w:val="clear" w:color="auto" w:fill="auto"/>
            <w:noWrap/>
            <w:vAlign w:val="bottom"/>
            <w:hideMark/>
          </w:tcPr>
          <w:p w14:paraId="11306532" w14:textId="77777777" w:rsidR="006D22E5" w:rsidRPr="009D0FDD" w:rsidRDefault="006D22E5" w:rsidP="008C1512">
            <w:pPr>
              <w:rPr>
                <w:rFonts w:ascii="Times New Roman" w:hAnsi="Times New Roman"/>
                <w:sz w:val="20"/>
                <w:szCs w:val="20"/>
              </w:rPr>
            </w:pPr>
          </w:p>
        </w:tc>
        <w:tc>
          <w:tcPr>
            <w:tcW w:w="1300" w:type="dxa"/>
            <w:shd w:val="clear" w:color="auto" w:fill="auto"/>
            <w:noWrap/>
            <w:vAlign w:val="bottom"/>
            <w:hideMark/>
          </w:tcPr>
          <w:p w14:paraId="08A6D71B" w14:textId="77777777" w:rsidR="006D22E5" w:rsidRPr="009D0FDD" w:rsidRDefault="006D22E5" w:rsidP="008C1512">
            <w:pPr>
              <w:rPr>
                <w:rFonts w:ascii="Times New Roman" w:hAnsi="Times New Roman"/>
                <w:sz w:val="20"/>
                <w:szCs w:val="20"/>
              </w:rPr>
            </w:pPr>
          </w:p>
        </w:tc>
        <w:tc>
          <w:tcPr>
            <w:tcW w:w="1300" w:type="dxa"/>
            <w:shd w:val="clear" w:color="auto" w:fill="auto"/>
            <w:noWrap/>
            <w:hideMark/>
          </w:tcPr>
          <w:p w14:paraId="0396D32C" w14:textId="77777777" w:rsidR="006D22E5" w:rsidRPr="009D0FDD" w:rsidRDefault="006D22E5" w:rsidP="008C1512">
            <w:pPr>
              <w:rPr>
                <w:rFonts w:ascii="Arial" w:hAnsi="Arial" w:cs="Arial"/>
                <w:color w:val="000000"/>
                <w:sz w:val="22"/>
                <w:szCs w:val="22"/>
              </w:rPr>
            </w:pPr>
            <w:r w:rsidRPr="009D0FDD">
              <w:rPr>
                <w:rFonts w:ascii="Arial" w:hAnsi="Arial" w:cs="Arial"/>
                <w:color w:val="000000"/>
                <w:sz w:val="22"/>
                <w:szCs w:val="22"/>
              </w:rPr>
              <w:t>Panama</w:t>
            </w:r>
          </w:p>
        </w:tc>
        <w:tc>
          <w:tcPr>
            <w:tcW w:w="1378" w:type="dxa"/>
            <w:shd w:val="clear" w:color="auto" w:fill="auto"/>
            <w:noWrap/>
            <w:vAlign w:val="bottom"/>
            <w:hideMark/>
          </w:tcPr>
          <w:p w14:paraId="4C2FE07A" w14:textId="77777777" w:rsidR="006D22E5" w:rsidRPr="009D0FDD" w:rsidRDefault="006D22E5" w:rsidP="008C1512">
            <w:pPr>
              <w:rPr>
                <w:rFonts w:ascii="Arial" w:hAnsi="Arial" w:cs="Arial"/>
                <w:color w:val="000000"/>
                <w:sz w:val="22"/>
                <w:szCs w:val="22"/>
              </w:rPr>
            </w:pPr>
          </w:p>
        </w:tc>
        <w:tc>
          <w:tcPr>
            <w:tcW w:w="1304" w:type="dxa"/>
            <w:shd w:val="clear" w:color="auto" w:fill="auto"/>
            <w:noWrap/>
            <w:vAlign w:val="bottom"/>
            <w:hideMark/>
          </w:tcPr>
          <w:p w14:paraId="63C38993" w14:textId="77777777" w:rsidR="006D22E5" w:rsidRPr="009D0FDD" w:rsidRDefault="006D22E5" w:rsidP="008C1512">
            <w:pPr>
              <w:rPr>
                <w:rFonts w:ascii="Arial" w:hAnsi="Arial" w:cs="Arial"/>
                <w:color w:val="000000"/>
                <w:sz w:val="22"/>
                <w:szCs w:val="22"/>
              </w:rPr>
            </w:pPr>
            <w:r w:rsidRPr="009D0FDD">
              <w:rPr>
                <w:rFonts w:ascii="Arial" w:hAnsi="Arial" w:cs="Arial"/>
                <w:color w:val="000000"/>
                <w:sz w:val="22"/>
                <w:szCs w:val="22"/>
              </w:rPr>
              <w:t> </w:t>
            </w:r>
          </w:p>
        </w:tc>
      </w:tr>
      <w:tr w:rsidR="006D22E5" w:rsidRPr="009D0FDD" w14:paraId="2E94DD31" w14:textId="77777777" w:rsidTr="008C1512">
        <w:trPr>
          <w:trHeight w:val="300"/>
        </w:trPr>
        <w:tc>
          <w:tcPr>
            <w:tcW w:w="1300" w:type="dxa"/>
            <w:shd w:val="clear" w:color="auto" w:fill="auto"/>
            <w:noWrap/>
            <w:vAlign w:val="bottom"/>
            <w:hideMark/>
          </w:tcPr>
          <w:p w14:paraId="103FF73E" w14:textId="77777777" w:rsidR="006D22E5" w:rsidRPr="009D0FDD" w:rsidRDefault="006D22E5" w:rsidP="008C1512">
            <w:pPr>
              <w:rPr>
                <w:rFonts w:ascii="Arial" w:hAnsi="Arial" w:cs="Arial"/>
                <w:color w:val="000000"/>
                <w:sz w:val="22"/>
                <w:szCs w:val="22"/>
              </w:rPr>
            </w:pPr>
            <w:r w:rsidRPr="009D0FDD">
              <w:rPr>
                <w:rFonts w:ascii="Arial" w:hAnsi="Arial" w:cs="Arial"/>
                <w:color w:val="000000"/>
                <w:sz w:val="22"/>
                <w:szCs w:val="22"/>
              </w:rPr>
              <w:t> </w:t>
            </w:r>
          </w:p>
        </w:tc>
        <w:tc>
          <w:tcPr>
            <w:tcW w:w="1439" w:type="dxa"/>
            <w:shd w:val="clear" w:color="auto" w:fill="auto"/>
            <w:noWrap/>
            <w:vAlign w:val="bottom"/>
            <w:hideMark/>
          </w:tcPr>
          <w:p w14:paraId="00FCD27B" w14:textId="77777777" w:rsidR="006D22E5" w:rsidRPr="009D0FDD" w:rsidRDefault="006D22E5" w:rsidP="008C1512">
            <w:pPr>
              <w:rPr>
                <w:rFonts w:ascii="Arial" w:hAnsi="Arial" w:cs="Arial"/>
                <w:color w:val="000000"/>
                <w:sz w:val="22"/>
                <w:szCs w:val="22"/>
              </w:rPr>
            </w:pPr>
          </w:p>
        </w:tc>
        <w:tc>
          <w:tcPr>
            <w:tcW w:w="1300" w:type="dxa"/>
            <w:shd w:val="clear" w:color="auto" w:fill="auto"/>
            <w:noWrap/>
            <w:vAlign w:val="bottom"/>
            <w:hideMark/>
          </w:tcPr>
          <w:p w14:paraId="7E235AB3" w14:textId="77777777" w:rsidR="006D22E5" w:rsidRPr="009D0FDD" w:rsidRDefault="006D22E5" w:rsidP="008C1512">
            <w:pPr>
              <w:rPr>
                <w:rFonts w:ascii="Times New Roman" w:hAnsi="Times New Roman"/>
                <w:sz w:val="20"/>
                <w:szCs w:val="20"/>
              </w:rPr>
            </w:pPr>
          </w:p>
        </w:tc>
        <w:tc>
          <w:tcPr>
            <w:tcW w:w="1300" w:type="dxa"/>
            <w:shd w:val="clear" w:color="auto" w:fill="auto"/>
            <w:noWrap/>
            <w:vAlign w:val="bottom"/>
            <w:hideMark/>
          </w:tcPr>
          <w:p w14:paraId="2D5B70B4" w14:textId="77777777" w:rsidR="006D22E5" w:rsidRPr="009D0FDD" w:rsidRDefault="006D22E5" w:rsidP="008C1512">
            <w:pPr>
              <w:rPr>
                <w:rFonts w:ascii="Times New Roman" w:hAnsi="Times New Roman"/>
                <w:sz w:val="20"/>
                <w:szCs w:val="20"/>
              </w:rPr>
            </w:pPr>
          </w:p>
        </w:tc>
        <w:tc>
          <w:tcPr>
            <w:tcW w:w="1300" w:type="dxa"/>
            <w:shd w:val="clear" w:color="auto" w:fill="auto"/>
            <w:noWrap/>
            <w:hideMark/>
          </w:tcPr>
          <w:p w14:paraId="27FF6928" w14:textId="77777777" w:rsidR="006D22E5" w:rsidRPr="009D0FDD" w:rsidRDefault="006D22E5" w:rsidP="008C1512">
            <w:pPr>
              <w:rPr>
                <w:rFonts w:ascii="Arial" w:hAnsi="Arial" w:cs="Arial"/>
                <w:color w:val="000000"/>
                <w:sz w:val="22"/>
                <w:szCs w:val="22"/>
              </w:rPr>
            </w:pPr>
            <w:r w:rsidRPr="009D0FDD">
              <w:rPr>
                <w:rFonts w:ascii="Arial" w:hAnsi="Arial" w:cs="Arial"/>
                <w:color w:val="000000"/>
                <w:sz w:val="22"/>
                <w:szCs w:val="22"/>
              </w:rPr>
              <w:t>Peru</w:t>
            </w:r>
          </w:p>
        </w:tc>
        <w:tc>
          <w:tcPr>
            <w:tcW w:w="1378" w:type="dxa"/>
            <w:shd w:val="clear" w:color="auto" w:fill="auto"/>
            <w:noWrap/>
            <w:vAlign w:val="bottom"/>
            <w:hideMark/>
          </w:tcPr>
          <w:p w14:paraId="0C71ED1D" w14:textId="77777777" w:rsidR="006D22E5" w:rsidRPr="009D0FDD" w:rsidRDefault="006D22E5" w:rsidP="008C1512">
            <w:pPr>
              <w:rPr>
                <w:rFonts w:ascii="Arial" w:hAnsi="Arial" w:cs="Arial"/>
                <w:color w:val="000000"/>
                <w:sz w:val="22"/>
                <w:szCs w:val="22"/>
              </w:rPr>
            </w:pPr>
          </w:p>
        </w:tc>
        <w:tc>
          <w:tcPr>
            <w:tcW w:w="1304" w:type="dxa"/>
            <w:shd w:val="clear" w:color="auto" w:fill="auto"/>
            <w:noWrap/>
            <w:vAlign w:val="bottom"/>
            <w:hideMark/>
          </w:tcPr>
          <w:p w14:paraId="09A23340" w14:textId="77777777" w:rsidR="006D22E5" w:rsidRPr="009D0FDD" w:rsidRDefault="006D22E5" w:rsidP="008C1512">
            <w:pPr>
              <w:rPr>
                <w:rFonts w:ascii="Arial" w:hAnsi="Arial" w:cs="Arial"/>
                <w:color w:val="000000"/>
                <w:sz w:val="22"/>
                <w:szCs w:val="22"/>
              </w:rPr>
            </w:pPr>
            <w:r w:rsidRPr="009D0FDD">
              <w:rPr>
                <w:rFonts w:ascii="Arial" w:hAnsi="Arial" w:cs="Arial"/>
                <w:color w:val="000000"/>
                <w:sz w:val="22"/>
                <w:szCs w:val="22"/>
              </w:rPr>
              <w:t> </w:t>
            </w:r>
          </w:p>
        </w:tc>
      </w:tr>
      <w:tr w:rsidR="006D22E5" w:rsidRPr="009D0FDD" w14:paraId="4D3969C4" w14:textId="77777777" w:rsidTr="008C1512">
        <w:trPr>
          <w:trHeight w:val="320"/>
        </w:trPr>
        <w:tc>
          <w:tcPr>
            <w:tcW w:w="1300" w:type="dxa"/>
            <w:shd w:val="clear" w:color="auto" w:fill="auto"/>
            <w:noWrap/>
            <w:vAlign w:val="bottom"/>
            <w:hideMark/>
          </w:tcPr>
          <w:p w14:paraId="1FF66A75" w14:textId="77777777" w:rsidR="006D22E5" w:rsidRPr="009D0FDD" w:rsidRDefault="006D22E5" w:rsidP="008C1512">
            <w:pPr>
              <w:rPr>
                <w:rFonts w:ascii="Arial" w:hAnsi="Arial" w:cs="Arial"/>
                <w:color w:val="000000"/>
                <w:sz w:val="22"/>
                <w:szCs w:val="22"/>
              </w:rPr>
            </w:pPr>
            <w:r w:rsidRPr="009D0FDD">
              <w:rPr>
                <w:rFonts w:ascii="Arial" w:hAnsi="Arial" w:cs="Arial"/>
                <w:color w:val="000000"/>
                <w:sz w:val="22"/>
                <w:szCs w:val="22"/>
              </w:rPr>
              <w:t> </w:t>
            </w:r>
          </w:p>
        </w:tc>
        <w:tc>
          <w:tcPr>
            <w:tcW w:w="1439" w:type="dxa"/>
            <w:shd w:val="clear" w:color="auto" w:fill="auto"/>
            <w:noWrap/>
            <w:vAlign w:val="bottom"/>
            <w:hideMark/>
          </w:tcPr>
          <w:p w14:paraId="4B5ED32F" w14:textId="77777777" w:rsidR="006D22E5" w:rsidRPr="009D0FDD" w:rsidRDefault="006D22E5" w:rsidP="008C1512">
            <w:pPr>
              <w:rPr>
                <w:rFonts w:ascii="Arial" w:hAnsi="Arial" w:cs="Arial"/>
                <w:color w:val="000000"/>
                <w:sz w:val="22"/>
                <w:szCs w:val="22"/>
              </w:rPr>
            </w:pPr>
            <w:r w:rsidRPr="009D0FDD">
              <w:rPr>
                <w:rFonts w:ascii="Arial" w:hAnsi="Arial" w:cs="Arial"/>
                <w:color w:val="000000"/>
                <w:sz w:val="22"/>
                <w:szCs w:val="22"/>
              </w:rPr>
              <w:t> </w:t>
            </w:r>
          </w:p>
        </w:tc>
        <w:tc>
          <w:tcPr>
            <w:tcW w:w="1300" w:type="dxa"/>
            <w:shd w:val="clear" w:color="auto" w:fill="auto"/>
            <w:noWrap/>
            <w:vAlign w:val="bottom"/>
            <w:hideMark/>
          </w:tcPr>
          <w:p w14:paraId="0FD89342" w14:textId="77777777" w:rsidR="006D22E5" w:rsidRPr="009D0FDD" w:rsidRDefault="006D22E5" w:rsidP="008C1512">
            <w:pPr>
              <w:rPr>
                <w:rFonts w:ascii="Arial" w:hAnsi="Arial" w:cs="Arial"/>
                <w:color w:val="000000"/>
                <w:sz w:val="22"/>
                <w:szCs w:val="22"/>
              </w:rPr>
            </w:pPr>
            <w:r w:rsidRPr="009D0FDD">
              <w:rPr>
                <w:rFonts w:ascii="Arial" w:hAnsi="Arial" w:cs="Arial"/>
                <w:color w:val="000000"/>
                <w:sz w:val="22"/>
                <w:szCs w:val="22"/>
              </w:rPr>
              <w:t> </w:t>
            </w:r>
          </w:p>
        </w:tc>
        <w:tc>
          <w:tcPr>
            <w:tcW w:w="1300" w:type="dxa"/>
            <w:shd w:val="clear" w:color="auto" w:fill="auto"/>
            <w:noWrap/>
            <w:vAlign w:val="bottom"/>
            <w:hideMark/>
          </w:tcPr>
          <w:p w14:paraId="02961503" w14:textId="77777777" w:rsidR="006D22E5" w:rsidRPr="009D0FDD" w:rsidRDefault="006D22E5" w:rsidP="008C1512">
            <w:pPr>
              <w:rPr>
                <w:rFonts w:ascii="Arial" w:hAnsi="Arial" w:cs="Arial"/>
                <w:color w:val="000000"/>
                <w:sz w:val="22"/>
                <w:szCs w:val="22"/>
              </w:rPr>
            </w:pPr>
            <w:r w:rsidRPr="009D0FDD">
              <w:rPr>
                <w:rFonts w:ascii="Arial" w:hAnsi="Arial" w:cs="Arial"/>
                <w:color w:val="000000"/>
                <w:sz w:val="22"/>
                <w:szCs w:val="22"/>
              </w:rPr>
              <w:t> </w:t>
            </w:r>
          </w:p>
        </w:tc>
        <w:tc>
          <w:tcPr>
            <w:tcW w:w="1300" w:type="dxa"/>
            <w:shd w:val="clear" w:color="auto" w:fill="auto"/>
            <w:noWrap/>
            <w:hideMark/>
          </w:tcPr>
          <w:p w14:paraId="52B0B2E2" w14:textId="77777777" w:rsidR="006D22E5" w:rsidRPr="009D0FDD" w:rsidRDefault="006D22E5" w:rsidP="008C1512">
            <w:pPr>
              <w:rPr>
                <w:rFonts w:ascii="Arial" w:hAnsi="Arial" w:cs="Arial"/>
                <w:color w:val="000000"/>
                <w:sz w:val="22"/>
                <w:szCs w:val="22"/>
              </w:rPr>
            </w:pPr>
            <w:r w:rsidRPr="009D0FDD">
              <w:rPr>
                <w:rFonts w:ascii="Arial" w:hAnsi="Arial" w:cs="Arial"/>
                <w:color w:val="000000"/>
                <w:sz w:val="22"/>
                <w:szCs w:val="22"/>
              </w:rPr>
              <w:t>Uruguay</w:t>
            </w:r>
          </w:p>
        </w:tc>
        <w:tc>
          <w:tcPr>
            <w:tcW w:w="1378" w:type="dxa"/>
            <w:shd w:val="clear" w:color="auto" w:fill="auto"/>
            <w:noWrap/>
            <w:vAlign w:val="bottom"/>
            <w:hideMark/>
          </w:tcPr>
          <w:p w14:paraId="5FCB7B0B" w14:textId="77777777" w:rsidR="006D22E5" w:rsidRPr="009D0FDD" w:rsidRDefault="006D22E5" w:rsidP="008C1512">
            <w:pPr>
              <w:rPr>
                <w:rFonts w:ascii="Arial" w:hAnsi="Arial" w:cs="Arial"/>
                <w:color w:val="000000"/>
                <w:sz w:val="22"/>
                <w:szCs w:val="22"/>
              </w:rPr>
            </w:pPr>
            <w:r w:rsidRPr="009D0FDD">
              <w:rPr>
                <w:rFonts w:ascii="Arial" w:hAnsi="Arial" w:cs="Arial"/>
                <w:color w:val="000000"/>
                <w:sz w:val="22"/>
                <w:szCs w:val="22"/>
              </w:rPr>
              <w:t> </w:t>
            </w:r>
          </w:p>
        </w:tc>
        <w:tc>
          <w:tcPr>
            <w:tcW w:w="1304" w:type="dxa"/>
            <w:shd w:val="clear" w:color="auto" w:fill="auto"/>
            <w:noWrap/>
            <w:vAlign w:val="bottom"/>
            <w:hideMark/>
          </w:tcPr>
          <w:p w14:paraId="1C3C37E7" w14:textId="77777777" w:rsidR="006D22E5" w:rsidRPr="009D0FDD" w:rsidRDefault="006D22E5" w:rsidP="008C1512">
            <w:pPr>
              <w:rPr>
                <w:rFonts w:ascii="Arial" w:hAnsi="Arial" w:cs="Arial"/>
                <w:color w:val="000000"/>
                <w:sz w:val="22"/>
                <w:szCs w:val="22"/>
              </w:rPr>
            </w:pPr>
            <w:r w:rsidRPr="009D0FDD">
              <w:rPr>
                <w:rFonts w:ascii="Arial" w:hAnsi="Arial" w:cs="Arial"/>
                <w:color w:val="000000"/>
                <w:sz w:val="22"/>
                <w:szCs w:val="22"/>
              </w:rPr>
              <w:t> </w:t>
            </w:r>
          </w:p>
        </w:tc>
      </w:tr>
    </w:tbl>
    <w:p w14:paraId="2E9B5DAB" w14:textId="5E9B9E0A" w:rsidR="006D22E5" w:rsidRPr="00491848" w:rsidRDefault="00491848" w:rsidP="00491848">
      <w:pPr>
        <w:pStyle w:val="Caption"/>
        <w:keepNext/>
      </w:pPr>
      <w:bookmarkStart w:id="48" w:name="_Ref51847080"/>
      <w:r w:rsidRPr="00491848">
        <w:t xml:space="preserve">Table </w:t>
      </w:r>
      <w:fldSimple w:instr=" SEQ Table \* ARABIC ">
        <w:r w:rsidR="00F03B5A">
          <w:rPr>
            <w:noProof/>
          </w:rPr>
          <w:t>3</w:t>
        </w:r>
      </w:fldSimple>
      <w:bookmarkEnd w:id="48"/>
      <w:r>
        <w:t xml:space="preserve">: Classification </w:t>
      </w:r>
      <w:r w:rsidR="007C3E73">
        <w:t xml:space="preserve">of large sample into </w:t>
      </w:r>
      <w:r>
        <w:t>geographic groups. These groups are used to calculate the regional factors in the first-stage regression.</w:t>
      </w:r>
      <w:r w:rsidR="00496B69">
        <w:t xml:space="preserve"> </w:t>
      </w:r>
      <w:r w:rsidR="003046EF">
        <w:t xml:space="preserve">Example for China: Indonesia’s weight is [Indonesia GDP / (GDP of Indonesia, Malaysia, Philippines, Thailand]. Malaysia’s weight is [Malaysia GDP / (GDP of Indonesia, Malaysia, Philippines, </w:t>
      </w:r>
      <w:proofErr w:type="gramStart"/>
      <w:r w:rsidR="003046EF">
        <w:t>Thailand ]</w:t>
      </w:r>
      <w:proofErr w:type="gramEnd"/>
      <w:r w:rsidR="003046EF">
        <w:t>.</w:t>
      </w:r>
    </w:p>
    <w:p w14:paraId="6D2C1DBF" w14:textId="77777777" w:rsidR="007317F4" w:rsidRPr="009D0FDD" w:rsidRDefault="007317F4" w:rsidP="00E771B5"/>
    <w:p w14:paraId="512C28ED" w14:textId="63530171" w:rsidR="00672BE8" w:rsidRPr="009D0FDD" w:rsidRDefault="00B57DB8" w:rsidP="00672BE8">
      <w:pPr>
        <w:keepNext/>
      </w:pPr>
      <w:r>
        <w:rPr>
          <w:noProof/>
        </w:rPr>
        <w:drawing>
          <wp:inline distT="0" distB="0" distL="0" distR="0" wp14:anchorId="2D2DAA94" wp14:editId="329D9B13">
            <wp:extent cx="5943600" cy="26003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p>
    <w:p w14:paraId="257FF794" w14:textId="15A46AFC" w:rsidR="00672BE8" w:rsidRPr="009D0FDD" w:rsidRDefault="00672BE8" w:rsidP="00672BE8">
      <w:pPr>
        <w:pStyle w:val="Caption"/>
      </w:pPr>
      <w:bookmarkStart w:id="49" w:name="_Ref50753532"/>
      <w:r w:rsidRPr="009D0FDD">
        <w:t xml:space="preserve">Figure </w:t>
      </w:r>
      <w:fldSimple w:instr=" SEQ Figure \* ARABIC ">
        <w:r w:rsidR="00F03B5A">
          <w:rPr>
            <w:noProof/>
          </w:rPr>
          <w:t>9</w:t>
        </w:r>
      </w:fldSimple>
      <w:bookmarkEnd w:id="49"/>
      <w:r w:rsidR="00491848">
        <w:t>:</w:t>
      </w:r>
      <w:r w:rsidR="007C3E73">
        <w:t xml:space="preserve"> Left side shows scatterplot of global betas vs</w:t>
      </w:r>
      <w:r w:rsidRPr="009D0FDD">
        <w:t xml:space="preserve"> </w:t>
      </w:r>
      <w:r w:rsidR="007C3E73">
        <w:t>p</w:t>
      </w:r>
      <w:r w:rsidRPr="009D0FDD">
        <w:t>u</w:t>
      </w:r>
      <w:bookmarkStart w:id="50" w:name="_Ref50753525"/>
      <w:r w:rsidRPr="009D0FDD">
        <w:t>blic</w:t>
      </w:r>
      <w:r w:rsidR="007C3E73">
        <w:t xml:space="preserve"> d</w:t>
      </w:r>
      <w:r w:rsidRPr="009D0FDD">
        <w:t>ebt/GDP</w:t>
      </w:r>
      <w:r w:rsidR="007C3E73">
        <w:t xml:space="preserve"> </w:t>
      </w:r>
      <w:r w:rsidR="00A222C9">
        <w:t>(</w:t>
      </w:r>
      <w:r w:rsidR="00B91314">
        <w:t>full</w:t>
      </w:r>
      <w:r w:rsidR="007C3E73">
        <w:t xml:space="preserve"> sample</w:t>
      </w:r>
      <w:r w:rsidR="00A222C9">
        <w:t>)</w:t>
      </w:r>
      <w:r w:rsidR="007C3E73">
        <w:t>.</w:t>
      </w:r>
      <w:r w:rsidR="007C3E73" w:rsidRPr="007C3E73">
        <w:t xml:space="preserve"> </w:t>
      </w:r>
      <w:r w:rsidR="007C3E73">
        <w:t>Right side shows regional betas vs</w:t>
      </w:r>
      <w:r w:rsidR="007C3E73" w:rsidRPr="009D0FDD">
        <w:t xml:space="preserve"> </w:t>
      </w:r>
      <w:r w:rsidR="007C3E73">
        <w:t>p</w:t>
      </w:r>
      <w:r w:rsidR="007C3E73" w:rsidRPr="009D0FDD">
        <w:t xml:space="preserve">ublic </w:t>
      </w:r>
      <w:r w:rsidR="007C3E73">
        <w:t>d</w:t>
      </w:r>
      <w:r w:rsidR="007C3E73" w:rsidRPr="009D0FDD">
        <w:t>ebt/GDP</w:t>
      </w:r>
      <w:r w:rsidR="007C3E73">
        <w:t xml:space="preserve"> for the</w:t>
      </w:r>
      <w:r w:rsidR="00A222C9">
        <w:t xml:space="preserve"> (full</w:t>
      </w:r>
      <w:r w:rsidR="007C3E73">
        <w:t xml:space="preserve"> sample</w:t>
      </w:r>
      <w:r w:rsidR="00A222C9">
        <w:t>)</w:t>
      </w:r>
      <w:r w:rsidR="007C3E73">
        <w:t xml:space="preserve">. </w:t>
      </w:r>
      <w:bookmarkEnd w:id="50"/>
      <w:r w:rsidR="007C3E73">
        <w:t xml:space="preserve">Debt/GDP ratios are </w:t>
      </w:r>
      <w:r w:rsidR="00491848">
        <w:t xml:space="preserve">5-year </w:t>
      </w:r>
      <w:r w:rsidR="007C3E73">
        <w:t xml:space="preserve">averages over the period </w:t>
      </w:r>
      <w:r w:rsidR="00491848">
        <w:t>2014-2018</w:t>
      </w:r>
      <w:r w:rsidR="007C3E73">
        <w:t>. The betas are estimated over the period 2014 to June 2019.</w:t>
      </w:r>
      <w:r w:rsidR="00491848">
        <w:t xml:space="preserve"> Data source for </w:t>
      </w:r>
      <w:r w:rsidR="007C3E73">
        <w:t>d</w:t>
      </w:r>
      <w:r w:rsidR="00491848">
        <w:t>ebt measures: IMF.</w:t>
      </w:r>
    </w:p>
    <w:p w14:paraId="4C33A84E" w14:textId="59DFB7CB" w:rsidR="006A3375" w:rsidRPr="009D0FDD" w:rsidRDefault="006A3375" w:rsidP="006A3375"/>
    <w:p w14:paraId="72CA92D1" w14:textId="77777777" w:rsidR="006D22E5" w:rsidRPr="009D0FDD" w:rsidRDefault="006A3375" w:rsidP="006D22E5">
      <w:pPr>
        <w:keepNext/>
      </w:pPr>
      <w:r w:rsidRPr="009D0FDD">
        <w:rPr>
          <w:noProof/>
          <w:lang w:eastAsia="en-US"/>
        </w:rPr>
        <w:lastRenderedPageBreak/>
        <w:drawing>
          <wp:inline distT="0" distB="0" distL="0" distR="0" wp14:anchorId="7DF5AFF1" wp14:editId="4125AFAC">
            <wp:extent cx="5943600" cy="2311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311400"/>
                    </a:xfrm>
                    <a:prstGeom prst="rect">
                      <a:avLst/>
                    </a:prstGeom>
                  </pic:spPr>
                </pic:pic>
              </a:graphicData>
            </a:graphic>
          </wp:inline>
        </w:drawing>
      </w:r>
    </w:p>
    <w:p w14:paraId="747DD516" w14:textId="4CC15D03" w:rsidR="00BE02D8" w:rsidRDefault="006D22E5" w:rsidP="006D22E5">
      <w:pPr>
        <w:pStyle w:val="Caption"/>
      </w:pPr>
      <w:bookmarkStart w:id="51" w:name="_Ref50755356"/>
      <w:r w:rsidRPr="009D0FDD">
        <w:t xml:space="preserve">Figure </w:t>
      </w:r>
      <w:fldSimple w:instr=" SEQ Figure \* ARABIC ">
        <w:r w:rsidR="00F03B5A">
          <w:rPr>
            <w:noProof/>
          </w:rPr>
          <w:t>10</w:t>
        </w:r>
      </w:fldSimple>
      <w:bookmarkEnd w:id="51"/>
      <w:r w:rsidR="00491848">
        <w:t>:</w:t>
      </w:r>
      <w:r w:rsidRPr="009D0FDD">
        <w:t xml:space="preserve"> Announced 2020 COVID-related fiscal stimulus versus global and regional betas</w:t>
      </w:r>
      <w:r w:rsidR="00B91314">
        <w:t xml:space="preserve">. The betas are estimated over the period 2014 to June 2019 (full sample). Data on fiscal stimulus is from the IMF COVID response policy tracker. </w:t>
      </w:r>
    </w:p>
    <w:p w14:paraId="0EDF2934" w14:textId="77777777" w:rsidR="00BE02D8" w:rsidRPr="00BE02D8" w:rsidRDefault="00BE02D8" w:rsidP="00BE02D8"/>
    <w:p w14:paraId="6A899A98" w14:textId="4899D4FD" w:rsidR="0008240D" w:rsidRPr="009D0FDD" w:rsidRDefault="008D194A" w:rsidP="0008240D">
      <w:pPr>
        <w:keepNext/>
      </w:pPr>
      <w:r>
        <w:rPr>
          <w:rFonts w:ascii="Arial" w:hAnsi="Arial" w:cs="Arial"/>
          <w:noProof/>
        </w:rPr>
        <w:drawing>
          <wp:inline distT="0" distB="0" distL="0" distR="0" wp14:anchorId="7A6E0C1D" wp14:editId="1A0B8FD6">
            <wp:extent cx="5943600" cy="41605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5943600" cy="4160520"/>
                    </a:xfrm>
                    <a:prstGeom prst="rect">
                      <a:avLst/>
                    </a:prstGeom>
                  </pic:spPr>
                </pic:pic>
              </a:graphicData>
            </a:graphic>
          </wp:inline>
        </w:drawing>
      </w:r>
    </w:p>
    <w:p w14:paraId="5C8110AB" w14:textId="72881409" w:rsidR="00E33DB5" w:rsidRDefault="0008240D" w:rsidP="0008240D">
      <w:pPr>
        <w:pStyle w:val="Caption"/>
      </w:pPr>
      <w:bookmarkStart w:id="52" w:name="_Ref50756264"/>
      <w:bookmarkStart w:id="53" w:name="_Ref50994625"/>
      <w:r w:rsidRPr="009D0FDD">
        <w:t xml:space="preserve">Figure </w:t>
      </w:r>
      <w:fldSimple w:instr=" SEQ Figure \* ARABIC ">
        <w:r w:rsidR="00F03B5A">
          <w:rPr>
            <w:noProof/>
          </w:rPr>
          <w:t>11</w:t>
        </w:r>
      </w:fldSimple>
      <w:bookmarkEnd w:id="52"/>
      <w:r w:rsidR="00491848">
        <w:t>:</w:t>
      </w:r>
      <w:r w:rsidRPr="009D0FDD">
        <w:t xml:space="preserve"> Emerging market spread</w:t>
      </w:r>
      <w:r w:rsidR="00A222C9">
        <w:t xml:space="preserve"> development</w:t>
      </w:r>
      <w:r w:rsidRPr="009D0FDD">
        <w:t>, July 2019- June 2020</w:t>
      </w:r>
      <w:bookmarkEnd w:id="53"/>
      <w:r w:rsidR="00B01669">
        <w:t xml:space="preserve"> (reduced sample). </w:t>
      </w:r>
    </w:p>
    <w:p w14:paraId="3DFCC6A6" w14:textId="77777777" w:rsidR="009A1F4D" w:rsidRPr="009A1F4D" w:rsidRDefault="009A1F4D" w:rsidP="009A1F4D"/>
    <w:p w14:paraId="43E7C6FD" w14:textId="77777777" w:rsidR="009A1F4D" w:rsidRDefault="009A1F4D" w:rsidP="009A1F4D">
      <w:r>
        <w:rPr>
          <w:noProof/>
          <w:lang w:eastAsia="en-US"/>
        </w:rPr>
        <w:lastRenderedPageBreak/>
        <w:drawing>
          <wp:inline distT="0" distB="0" distL="0" distR="0" wp14:anchorId="41644340" wp14:editId="3E74D4E7">
            <wp:extent cx="5943600" cy="260032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p>
    <w:p w14:paraId="2DC9BA71" w14:textId="6B8CB4E4" w:rsidR="009A1F4D" w:rsidRDefault="009A1F4D" w:rsidP="009A1F4D">
      <w:pPr>
        <w:pStyle w:val="Caption"/>
      </w:pPr>
      <w:bookmarkStart w:id="54" w:name="_Ref52016588"/>
      <w:r>
        <w:t xml:space="preserve">Figure </w:t>
      </w:r>
      <w:fldSimple w:instr=" SEQ Figure \* ARABIC ">
        <w:r w:rsidR="00F03B5A">
          <w:rPr>
            <w:noProof/>
          </w:rPr>
          <w:t>12</w:t>
        </w:r>
      </w:fldSimple>
      <w:bookmarkEnd w:id="54"/>
      <w:r>
        <w:t>: Actual vs fitted values before COVID (July 2019 to January 2020). These are the ten countries for which the correlation coefficient between actual vs fitted values are below 0.25. That is, the model do</w:t>
      </w:r>
      <w:r w:rsidR="00A222C9">
        <w:t>es</w:t>
      </w:r>
      <w:r>
        <w:t xml:space="preserve"> not do a very good job at predicting the actual values. Therefore, these countries are removed from the full sample and won’t be used for the second-stage regressions.</w:t>
      </w:r>
    </w:p>
    <w:p w14:paraId="2F02556C" w14:textId="77777777" w:rsidR="009A1F4D" w:rsidRDefault="009A1F4D" w:rsidP="009A1F4D"/>
    <w:p w14:paraId="0793D7F2" w14:textId="77777777" w:rsidR="009A1F4D" w:rsidRDefault="009A1F4D" w:rsidP="009A1F4D">
      <w:r>
        <w:rPr>
          <w:noProof/>
          <w:lang w:eastAsia="en-US"/>
        </w:rPr>
        <w:drawing>
          <wp:inline distT="0" distB="0" distL="0" distR="0" wp14:anchorId="231875EA" wp14:editId="7C705D3C">
            <wp:extent cx="5943600" cy="260032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p>
    <w:p w14:paraId="4DD00BDF" w14:textId="287D085F" w:rsidR="009A1F4D" w:rsidRPr="006B4ED9" w:rsidRDefault="009A1F4D" w:rsidP="009A1F4D">
      <w:pPr>
        <w:pStyle w:val="Caption"/>
      </w:pPr>
      <w:bookmarkStart w:id="55" w:name="_Ref52016604"/>
      <w:r>
        <w:t xml:space="preserve">Figure </w:t>
      </w:r>
      <w:fldSimple w:instr=" SEQ Figure \* ARABIC ">
        <w:r w:rsidR="00F03B5A">
          <w:rPr>
            <w:noProof/>
          </w:rPr>
          <w:t>13</w:t>
        </w:r>
      </w:fldSimple>
      <w:bookmarkEnd w:id="55"/>
      <w:r>
        <w:t xml:space="preserve">: Actual vs fitted values before COVOID (July 2019 to January 2020). These are the 20 countries that constitute the </w:t>
      </w:r>
      <w:r w:rsidR="00E74D82">
        <w:t>“</w:t>
      </w:r>
      <w:r>
        <w:t>reduced sample</w:t>
      </w:r>
      <w:r w:rsidR="00E74D82">
        <w:t xml:space="preserve">” </w:t>
      </w:r>
      <w:r>
        <w:t xml:space="preserve">that is used to run the second-stage regression. </w:t>
      </w:r>
    </w:p>
    <w:p w14:paraId="71BAFABE" w14:textId="2D32320D" w:rsidR="008C1512" w:rsidRPr="009D0FDD" w:rsidRDefault="008C1512" w:rsidP="008C1512"/>
    <w:p w14:paraId="2F233E01" w14:textId="77777777" w:rsidR="008C1512" w:rsidRPr="009D0FDD" w:rsidRDefault="008C1512" w:rsidP="008C1512">
      <w:pPr>
        <w:keepNext/>
      </w:pPr>
      <w:r w:rsidRPr="009D0FDD">
        <w:rPr>
          <w:noProof/>
          <w:lang w:eastAsia="en-US"/>
        </w:rPr>
        <w:lastRenderedPageBreak/>
        <w:drawing>
          <wp:inline distT="0" distB="0" distL="0" distR="0" wp14:anchorId="5C8EEC28" wp14:editId="5FDE71EF">
            <wp:extent cx="5943600" cy="2311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311400"/>
                    </a:xfrm>
                    <a:prstGeom prst="rect">
                      <a:avLst/>
                    </a:prstGeom>
                  </pic:spPr>
                </pic:pic>
              </a:graphicData>
            </a:graphic>
          </wp:inline>
        </w:drawing>
      </w:r>
    </w:p>
    <w:p w14:paraId="79B6ED44" w14:textId="613C5DDE" w:rsidR="008C1512" w:rsidRDefault="008C1512" w:rsidP="008C1512">
      <w:pPr>
        <w:pStyle w:val="Caption"/>
      </w:pPr>
      <w:bookmarkStart w:id="56" w:name="_Ref50805219"/>
      <w:r w:rsidRPr="009D0FDD">
        <w:t xml:space="preserve">Figure </w:t>
      </w:r>
      <w:fldSimple w:instr=" SEQ Figure \* ARABIC ">
        <w:r w:rsidR="00F03B5A">
          <w:rPr>
            <w:noProof/>
          </w:rPr>
          <w:t>14</w:t>
        </w:r>
      </w:fldSimple>
      <w:bookmarkEnd w:id="56"/>
      <w:r w:rsidR="00491848">
        <w:t>:</w:t>
      </w:r>
      <w:r w:rsidRPr="009D0FDD">
        <w:t xml:space="preserve"> Emerging Market average COVID residual</w:t>
      </w:r>
      <w:r w:rsidR="00B01669">
        <w:t xml:space="preserve"> (reduced sample)</w:t>
      </w:r>
      <w:r w:rsidR="00E862EB">
        <w:t>.</w:t>
      </w:r>
    </w:p>
    <w:p w14:paraId="17EFF5D3" w14:textId="56CEA1F3" w:rsidR="00F00363" w:rsidRDefault="00F00363" w:rsidP="00F00363"/>
    <w:tbl>
      <w:tblPr>
        <w:tblStyle w:val="TableGrid"/>
        <w:tblW w:w="0" w:type="auto"/>
        <w:tblLook w:val="04A0" w:firstRow="1" w:lastRow="0" w:firstColumn="1" w:lastColumn="0" w:noHBand="0" w:noVBand="1"/>
      </w:tblPr>
      <w:tblGrid>
        <w:gridCol w:w="4675"/>
        <w:gridCol w:w="4675"/>
      </w:tblGrid>
      <w:tr w:rsidR="009A1F4D" w14:paraId="62A573B2" w14:textId="77777777" w:rsidTr="009A1F4D">
        <w:tc>
          <w:tcPr>
            <w:tcW w:w="4675" w:type="dxa"/>
          </w:tcPr>
          <w:p w14:paraId="13E7610B" w14:textId="0B62EB9B" w:rsidR="009A1F4D" w:rsidRPr="00E862EB" w:rsidRDefault="009A1F4D" w:rsidP="00F00363">
            <w:pPr>
              <w:rPr>
                <w:b/>
                <w:bCs/>
              </w:rPr>
            </w:pPr>
            <w:r w:rsidRPr="00E862EB">
              <w:rPr>
                <w:b/>
                <w:bCs/>
              </w:rPr>
              <w:t>10 countries to drop from full sample</w:t>
            </w:r>
          </w:p>
        </w:tc>
        <w:tc>
          <w:tcPr>
            <w:tcW w:w="4675" w:type="dxa"/>
          </w:tcPr>
          <w:p w14:paraId="2E829546" w14:textId="7C01CA10" w:rsidR="009A1F4D" w:rsidRPr="00E862EB" w:rsidRDefault="009A1F4D" w:rsidP="00F00363">
            <w:pPr>
              <w:rPr>
                <w:b/>
                <w:bCs/>
              </w:rPr>
            </w:pPr>
            <w:r w:rsidRPr="00E862EB">
              <w:rPr>
                <w:b/>
                <w:bCs/>
              </w:rPr>
              <w:t>20 countries</w:t>
            </w:r>
            <w:r w:rsidR="00F03B5A">
              <w:rPr>
                <w:b/>
                <w:bCs/>
              </w:rPr>
              <w:t xml:space="preserve"> </w:t>
            </w:r>
            <w:proofErr w:type="spellStart"/>
            <w:r w:rsidR="00F03B5A">
              <w:rPr>
                <w:b/>
                <w:bCs/>
              </w:rPr>
              <w:t>ro</w:t>
            </w:r>
            <w:proofErr w:type="spellEnd"/>
            <w:r w:rsidR="00F03B5A">
              <w:rPr>
                <w:b/>
                <w:bCs/>
              </w:rPr>
              <w:t xml:space="preserve"> remain</w:t>
            </w:r>
            <w:r w:rsidRPr="00E862EB">
              <w:rPr>
                <w:b/>
                <w:bCs/>
              </w:rPr>
              <w:t xml:space="preserve"> in reduced sample</w:t>
            </w:r>
          </w:p>
        </w:tc>
      </w:tr>
      <w:tr w:rsidR="009A1F4D" w14:paraId="1D0E6095" w14:textId="77777777" w:rsidTr="009A1F4D">
        <w:tc>
          <w:tcPr>
            <w:tcW w:w="4675" w:type="dxa"/>
          </w:tcPr>
          <w:p w14:paraId="005468A2" w14:textId="6BB1CD68" w:rsidR="009A1F4D" w:rsidRDefault="009A1F4D" w:rsidP="009A1F4D">
            <w:r>
              <w:t>Argentina, Ghana, Hungary, Kazakhstan, Poland, Romania, Sri Lanka, Ukraine, India, Czechia</w:t>
            </w:r>
          </w:p>
        </w:tc>
        <w:tc>
          <w:tcPr>
            <w:tcW w:w="4675" w:type="dxa"/>
          </w:tcPr>
          <w:p w14:paraId="413EB0B8" w14:textId="6669E1C5" w:rsidR="009A1F4D" w:rsidRDefault="009A1F4D" w:rsidP="009A1F4D">
            <w:r>
              <w:t>Bahrain, Brazil, Chile, China, Colombia, Dominican Republic, Egypt, Indonesia, Malaysia, Mexico, Panama, Peru, Philippines, Qatar, Russia, Saudi Arabia, South Africa, Turkey, Uruguay, Thailand</w:t>
            </w:r>
          </w:p>
        </w:tc>
      </w:tr>
    </w:tbl>
    <w:p w14:paraId="5027D2CC" w14:textId="3D3EE36C" w:rsidR="009A1F4D" w:rsidRDefault="009A1F4D" w:rsidP="009A1F4D">
      <w:pPr>
        <w:pStyle w:val="Caption"/>
      </w:pPr>
      <w:bookmarkStart w:id="57" w:name="_Ref52018089"/>
      <w:r>
        <w:t xml:space="preserve">Table </w:t>
      </w:r>
      <w:fldSimple w:instr=" SEQ Table \* ARABIC ">
        <w:r w:rsidR="00F03B5A">
          <w:rPr>
            <w:noProof/>
          </w:rPr>
          <w:t>4</w:t>
        </w:r>
      </w:fldSimple>
      <w:bookmarkEnd w:id="57"/>
      <w:r>
        <w:t xml:space="preserve">: List of 20 emerging markets that constitute our reduced sample that we use to run the second stage regressions. The 20 countries were obtained after deleting 10 countries from the full sample based on low correlation coefficients between actual vs fitted values over the pre COVID period July 2019 to </w:t>
      </w:r>
      <w:r w:rsidR="00A222C9">
        <w:t>February</w:t>
      </w:r>
      <w:r>
        <w:t xml:space="preserve"> 2020.</w:t>
      </w:r>
    </w:p>
    <w:p w14:paraId="43BB8248" w14:textId="77777777" w:rsidR="009A1F4D" w:rsidRDefault="009A1F4D" w:rsidP="00F00363"/>
    <w:p w14:paraId="3BC6DFCF" w14:textId="46F70766" w:rsidR="00F00363" w:rsidRDefault="00F00363" w:rsidP="00F00363">
      <w:pPr>
        <w:pStyle w:val="Caption"/>
      </w:pPr>
      <w:r>
        <w:rPr>
          <w:noProof/>
          <w:lang w:eastAsia="en-US"/>
        </w:rPr>
        <w:lastRenderedPageBreak/>
        <w:drawing>
          <wp:inline distT="0" distB="0" distL="0" distR="0" wp14:anchorId="1F07AFB6" wp14:editId="04ECA3F9">
            <wp:extent cx="5943600" cy="76917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bookmarkStart w:id="58" w:name="_Ref50991147"/>
      <w:r w:rsidR="00B01669" w:rsidRPr="00B01669">
        <w:t xml:space="preserve"> </w:t>
      </w:r>
      <w:r w:rsidR="00B01669">
        <w:t xml:space="preserve">Table </w:t>
      </w:r>
      <w:fldSimple w:instr=" SEQ Table \* ARABIC ">
        <w:r w:rsidR="00F03B5A">
          <w:rPr>
            <w:noProof/>
          </w:rPr>
          <w:t>5</w:t>
        </w:r>
      </w:fldSimple>
      <w:bookmarkEnd w:id="58"/>
      <w:r w:rsidR="00B01669" w:rsidRPr="006702A7">
        <w:t>:</w:t>
      </w:r>
      <w:r w:rsidR="00B01669" w:rsidRPr="009F50C4">
        <w:t xml:space="preserve"> Sovereign spread COVID residual, </w:t>
      </w:r>
      <w:r w:rsidR="00B01669">
        <w:t>reduced</w:t>
      </w:r>
      <w:r w:rsidR="00B01669" w:rsidRPr="009F50C4">
        <w:t xml:space="preserve"> sample</w:t>
      </w:r>
      <w:r w:rsidR="00B01669">
        <w:t xml:space="preserve">, </w:t>
      </w:r>
      <w:r w:rsidR="00B01669" w:rsidRPr="009F50C4">
        <w:t>March 2020</w:t>
      </w:r>
      <w:r w:rsidR="00B01669">
        <w:t xml:space="preserve"> pandemic period</w:t>
      </w:r>
      <w:r w:rsidR="00E862EB">
        <w:t>.</w:t>
      </w:r>
    </w:p>
    <w:p w14:paraId="0919CA79" w14:textId="107B8A7A" w:rsidR="00B01669" w:rsidRDefault="00F00363" w:rsidP="00B01669">
      <w:pPr>
        <w:pStyle w:val="Caption"/>
        <w:keepNext/>
      </w:pPr>
      <w:r>
        <w:rPr>
          <w:noProof/>
          <w:lang w:eastAsia="en-US"/>
        </w:rPr>
        <w:lastRenderedPageBreak/>
        <w:drawing>
          <wp:inline distT="0" distB="0" distL="0" distR="0" wp14:anchorId="055B4C8B" wp14:editId="1A94361B">
            <wp:extent cx="5943600" cy="76917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bookmarkStart w:id="59" w:name="_Ref50991117"/>
      <w:bookmarkStart w:id="60" w:name="_Ref50991112"/>
      <w:r w:rsidR="00B01669" w:rsidRPr="00B01669">
        <w:t xml:space="preserve"> </w:t>
      </w:r>
      <w:r w:rsidR="00B01669">
        <w:t xml:space="preserve">Table </w:t>
      </w:r>
      <w:fldSimple w:instr=" SEQ Table \* ARABIC ">
        <w:r w:rsidR="00F03B5A">
          <w:rPr>
            <w:noProof/>
          </w:rPr>
          <w:t>6</w:t>
        </w:r>
      </w:fldSimple>
      <w:bookmarkEnd w:id="59"/>
      <w:r w:rsidR="00B01669" w:rsidRPr="009F50C4">
        <w:t xml:space="preserve"> Panel Analysis on Daily CDS spread change, </w:t>
      </w:r>
      <w:r w:rsidR="00B01669">
        <w:t>reduced</w:t>
      </w:r>
      <w:r w:rsidR="00B01669" w:rsidRPr="009F50C4">
        <w:t xml:space="preserve"> sample</w:t>
      </w:r>
      <w:bookmarkEnd w:id="60"/>
      <w:r w:rsidR="00B01669">
        <w:t>, March 2020</w:t>
      </w:r>
      <w:r w:rsidR="00E862EB">
        <w:t xml:space="preserve"> pandemic period.</w:t>
      </w:r>
    </w:p>
    <w:p w14:paraId="0C9BAD77" w14:textId="4B5A64A1" w:rsidR="008A6C43" w:rsidRPr="009D0FDD" w:rsidRDefault="00E862EB">
      <w:r>
        <w:br w:type="page"/>
      </w:r>
    </w:p>
    <w:p w14:paraId="3AC848AB" w14:textId="5BB7DC77" w:rsidR="008A6C43" w:rsidRPr="009D0FDD" w:rsidRDefault="008A6C43" w:rsidP="008A6C43">
      <w:pPr>
        <w:pStyle w:val="Heading1"/>
        <w:numPr>
          <w:ilvl w:val="0"/>
          <w:numId w:val="0"/>
        </w:numPr>
        <w:ind w:left="432"/>
      </w:pPr>
      <w:bookmarkStart w:id="61" w:name="_Toc52018944"/>
      <w:r w:rsidRPr="009D0FDD">
        <w:lastRenderedPageBreak/>
        <w:t>Bibliography</w:t>
      </w:r>
      <w:bookmarkEnd w:id="61"/>
    </w:p>
    <w:p w14:paraId="26DA32DD" w14:textId="2AF8BED1" w:rsidR="0043121A" w:rsidRPr="00C16E80" w:rsidRDefault="0043121A" w:rsidP="00C16E80">
      <w:pPr>
        <w:rPr>
          <w:rFonts w:cstheme="minorHAnsi"/>
          <w:shd w:val="clear" w:color="auto" w:fill="FFFFFF"/>
        </w:rPr>
      </w:pPr>
      <w:r w:rsidRPr="00C16E80">
        <w:rPr>
          <w:rFonts w:cstheme="minorHAnsi"/>
          <w:shd w:val="clear" w:color="auto" w:fill="FFFFFF"/>
        </w:rPr>
        <w:t xml:space="preserve">Ahmed, S., Coulibaly, B., &amp; </w:t>
      </w:r>
      <w:proofErr w:type="spellStart"/>
      <w:r w:rsidRPr="00C16E80">
        <w:rPr>
          <w:rFonts w:cstheme="minorHAnsi"/>
          <w:shd w:val="clear" w:color="auto" w:fill="FFFFFF"/>
        </w:rPr>
        <w:t>Zlate</w:t>
      </w:r>
      <w:proofErr w:type="spellEnd"/>
      <w:r w:rsidRPr="00C16E80">
        <w:rPr>
          <w:rFonts w:cstheme="minorHAnsi"/>
          <w:shd w:val="clear" w:color="auto" w:fill="FFFFFF"/>
        </w:rPr>
        <w:t xml:space="preserve">, A. (2017). International financial spillovers to emerging market economies: How important are economic </w:t>
      </w:r>
      <w:proofErr w:type="gramStart"/>
      <w:r w:rsidRPr="00C16E80">
        <w:rPr>
          <w:rFonts w:cstheme="minorHAnsi"/>
          <w:shd w:val="clear" w:color="auto" w:fill="FFFFFF"/>
        </w:rPr>
        <w:t>fundamentals?.</w:t>
      </w:r>
      <w:proofErr w:type="gramEnd"/>
      <w:r w:rsidRPr="00C16E80">
        <w:rPr>
          <w:rStyle w:val="apple-converted-space"/>
          <w:rFonts w:cstheme="minorHAnsi"/>
          <w:color w:val="222222"/>
          <w:shd w:val="clear" w:color="auto" w:fill="FFFFFF"/>
        </w:rPr>
        <w:t xml:space="preserve"> </w:t>
      </w:r>
      <w:r w:rsidRPr="00C16E80">
        <w:rPr>
          <w:rFonts w:cstheme="minorHAnsi"/>
          <w:i/>
          <w:iCs/>
        </w:rPr>
        <w:t>Journal of International Money and Finance</w:t>
      </w:r>
      <w:r w:rsidRPr="00C16E80">
        <w:rPr>
          <w:rFonts w:cstheme="minorHAnsi"/>
          <w:shd w:val="clear" w:color="auto" w:fill="FFFFFF"/>
        </w:rPr>
        <w:t>,</w:t>
      </w:r>
      <w:r w:rsidRPr="00C16E80">
        <w:rPr>
          <w:rStyle w:val="apple-converted-space"/>
          <w:rFonts w:cstheme="minorHAnsi"/>
          <w:color w:val="222222"/>
          <w:shd w:val="clear" w:color="auto" w:fill="FFFFFF"/>
        </w:rPr>
        <w:t xml:space="preserve"> </w:t>
      </w:r>
      <w:r w:rsidRPr="00C16E80">
        <w:rPr>
          <w:rFonts w:cstheme="minorHAnsi"/>
          <w:i/>
          <w:iCs/>
        </w:rPr>
        <w:t>76</w:t>
      </w:r>
      <w:r w:rsidRPr="00C16E80">
        <w:rPr>
          <w:rFonts w:cstheme="minorHAnsi"/>
          <w:shd w:val="clear" w:color="auto" w:fill="FFFFFF"/>
        </w:rPr>
        <w:t>, 133-152.</w:t>
      </w:r>
    </w:p>
    <w:p w14:paraId="23BD1286" w14:textId="277C53CE" w:rsidR="00C16E80" w:rsidRPr="00C16E80" w:rsidRDefault="00C16E80" w:rsidP="00C16E80">
      <w:pPr>
        <w:rPr>
          <w:rFonts w:cstheme="minorHAnsi"/>
          <w:shd w:val="clear" w:color="auto" w:fill="FFFFFF"/>
        </w:rPr>
      </w:pPr>
    </w:p>
    <w:p w14:paraId="67A7D75B" w14:textId="4E323729" w:rsidR="00C16E80" w:rsidRPr="006E25AE" w:rsidRDefault="00C16E80" w:rsidP="00C16E80">
      <w:pPr>
        <w:rPr>
          <w:rFonts w:cstheme="minorHAnsi"/>
          <w:i/>
          <w:iCs/>
          <w:color w:val="222222"/>
          <w:shd w:val="clear" w:color="auto" w:fill="FFFFFF"/>
        </w:rPr>
      </w:pPr>
      <w:proofErr w:type="spellStart"/>
      <w:r w:rsidRPr="00C16E80">
        <w:rPr>
          <w:rFonts w:cstheme="minorHAnsi"/>
          <w:color w:val="222222"/>
          <w:shd w:val="clear" w:color="auto" w:fill="FFFFFF"/>
        </w:rPr>
        <w:t>Alberola</w:t>
      </w:r>
      <w:proofErr w:type="spellEnd"/>
      <w:r w:rsidRPr="00C16E80">
        <w:rPr>
          <w:rFonts w:cstheme="minorHAnsi"/>
          <w:color w:val="222222"/>
          <w:shd w:val="clear" w:color="auto" w:fill="FFFFFF"/>
        </w:rPr>
        <w:t xml:space="preserve">-Ila, E., Arslan, Y., Cheng, G., &amp; </w:t>
      </w:r>
      <w:proofErr w:type="spellStart"/>
      <w:r w:rsidRPr="00C16E80">
        <w:rPr>
          <w:rFonts w:cstheme="minorHAnsi"/>
          <w:color w:val="222222"/>
          <w:shd w:val="clear" w:color="auto" w:fill="FFFFFF"/>
        </w:rPr>
        <w:t>Moessner</w:t>
      </w:r>
      <w:proofErr w:type="spellEnd"/>
      <w:r w:rsidRPr="00C16E80">
        <w:rPr>
          <w:rFonts w:cstheme="minorHAnsi"/>
          <w:color w:val="222222"/>
          <w:shd w:val="clear" w:color="auto" w:fill="FFFFFF"/>
        </w:rPr>
        <w:t>, R. (2020).</w:t>
      </w:r>
      <w:r w:rsidRPr="00C16E80">
        <w:rPr>
          <w:rStyle w:val="apple-converted-space"/>
          <w:rFonts w:cstheme="minorHAnsi"/>
          <w:color w:val="222222"/>
          <w:shd w:val="clear" w:color="auto" w:fill="FFFFFF"/>
        </w:rPr>
        <w:t xml:space="preserve"> </w:t>
      </w:r>
      <w:r w:rsidRPr="006E25AE">
        <w:rPr>
          <w:rFonts w:cstheme="minorHAnsi"/>
          <w:color w:val="222222"/>
        </w:rPr>
        <w:t>The fiscal response to the Covid-19 crisis in advanced and emerging market economie</w:t>
      </w:r>
      <w:r w:rsidRPr="00C16E80">
        <w:rPr>
          <w:rFonts w:cstheme="minorHAnsi"/>
          <w:i/>
          <w:iCs/>
          <w:color w:val="222222"/>
        </w:rPr>
        <w:t>s</w:t>
      </w:r>
      <w:r w:rsidRPr="00C16E80">
        <w:rPr>
          <w:rStyle w:val="apple-converted-space"/>
          <w:rFonts w:cstheme="minorHAnsi"/>
          <w:color w:val="222222"/>
          <w:shd w:val="clear" w:color="auto" w:fill="FFFFFF"/>
        </w:rPr>
        <w:t xml:space="preserve"> </w:t>
      </w:r>
      <w:r w:rsidRPr="00C16E80">
        <w:rPr>
          <w:rFonts w:cstheme="minorHAnsi"/>
          <w:color w:val="222222"/>
          <w:shd w:val="clear" w:color="auto" w:fill="FFFFFF"/>
        </w:rPr>
        <w:t xml:space="preserve">(No. 23). </w:t>
      </w:r>
      <w:r w:rsidRPr="006E25AE">
        <w:rPr>
          <w:rFonts w:cstheme="minorHAnsi"/>
          <w:i/>
          <w:iCs/>
          <w:color w:val="222222"/>
          <w:shd w:val="clear" w:color="auto" w:fill="FFFFFF"/>
        </w:rPr>
        <w:t>Bank for International Settlements.</w:t>
      </w:r>
    </w:p>
    <w:p w14:paraId="777B0113" w14:textId="44E5264B" w:rsidR="00A21671" w:rsidRPr="00AB115B" w:rsidRDefault="00A21671" w:rsidP="00C16E80">
      <w:pPr>
        <w:rPr>
          <w:rFonts w:cstheme="minorHAnsi"/>
          <w:shd w:val="clear" w:color="auto" w:fill="FFFFFF"/>
        </w:rPr>
      </w:pPr>
    </w:p>
    <w:p w14:paraId="25FAF6C5" w14:textId="6EE3D8BA" w:rsidR="00A21671" w:rsidRPr="00AB115B" w:rsidRDefault="00A21671" w:rsidP="00C16E80">
      <w:pPr>
        <w:rPr>
          <w:rFonts w:cstheme="minorHAnsi"/>
          <w:shd w:val="clear" w:color="auto" w:fill="FFFFFF"/>
        </w:rPr>
      </w:pPr>
      <w:r w:rsidRPr="00A21671">
        <w:rPr>
          <w:rFonts w:cstheme="minorHAnsi"/>
          <w:shd w:val="clear" w:color="auto" w:fill="FFFFFF"/>
        </w:rPr>
        <w:t xml:space="preserve">Bi, H. (2012). Sovereign default risk premia, fiscal limits, and fiscal policy. </w:t>
      </w:r>
      <w:r w:rsidRPr="00E4358B">
        <w:rPr>
          <w:rFonts w:cstheme="minorHAnsi"/>
          <w:i/>
          <w:iCs/>
          <w:shd w:val="clear" w:color="auto" w:fill="FFFFFF"/>
        </w:rPr>
        <w:t>European</w:t>
      </w:r>
      <w:r w:rsidR="002267CD" w:rsidRPr="002267CD">
        <w:rPr>
          <w:rFonts w:ascii="Arial" w:hAnsi="Arial" w:cs="Arial"/>
          <w:color w:val="222222"/>
          <w:sz w:val="20"/>
          <w:szCs w:val="20"/>
          <w:shd w:val="clear" w:color="auto" w:fill="FFFFFF"/>
          <w:lang w:val="en-CH"/>
        </w:rPr>
        <w:t> </w:t>
      </w:r>
      <w:r w:rsidRPr="00E4358B">
        <w:rPr>
          <w:rFonts w:cstheme="minorHAnsi"/>
          <w:i/>
          <w:iCs/>
          <w:shd w:val="clear" w:color="auto" w:fill="FFFFFF"/>
        </w:rPr>
        <w:t>Economic</w:t>
      </w:r>
      <w:r w:rsidR="002267CD" w:rsidRPr="002267CD">
        <w:rPr>
          <w:rFonts w:ascii="Arial" w:hAnsi="Arial" w:cs="Arial"/>
          <w:color w:val="222222"/>
          <w:sz w:val="20"/>
          <w:szCs w:val="20"/>
          <w:shd w:val="clear" w:color="auto" w:fill="FFFFFF"/>
          <w:lang w:val="en-CH"/>
        </w:rPr>
        <w:t> </w:t>
      </w:r>
      <w:r w:rsidRPr="00E4358B">
        <w:rPr>
          <w:rFonts w:cstheme="minorHAnsi"/>
          <w:i/>
          <w:iCs/>
          <w:shd w:val="clear" w:color="auto" w:fill="FFFFFF"/>
        </w:rPr>
        <w:t>Review</w:t>
      </w:r>
      <w:r w:rsidRPr="00AB115B">
        <w:rPr>
          <w:rFonts w:cstheme="minorHAnsi"/>
          <w:shd w:val="clear" w:color="auto" w:fill="FFFFFF"/>
        </w:rPr>
        <w:t>, 56(3), 389-410.</w:t>
      </w:r>
    </w:p>
    <w:p w14:paraId="4062BC2F" w14:textId="7278477A" w:rsidR="0043121A" w:rsidRDefault="0043121A" w:rsidP="00C16E80">
      <w:pPr>
        <w:rPr>
          <w:rFonts w:cstheme="minorHAnsi"/>
          <w:shd w:val="clear" w:color="auto" w:fill="FFFFFF"/>
        </w:rPr>
      </w:pPr>
    </w:p>
    <w:p w14:paraId="0B5B12A1" w14:textId="2ACE0689" w:rsidR="00A416B0" w:rsidRDefault="00A416B0" w:rsidP="00C16E80">
      <w:pPr>
        <w:rPr>
          <w:rFonts w:cstheme="minorHAnsi"/>
          <w:shd w:val="clear" w:color="auto" w:fill="FFFFFF"/>
        </w:rPr>
      </w:pPr>
      <w:r w:rsidRPr="00A416B0">
        <w:rPr>
          <w:rFonts w:cstheme="minorHAnsi"/>
          <w:shd w:val="clear" w:color="auto" w:fill="FFFFFF"/>
        </w:rPr>
        <w:t xml:space="preserve">Cepni, O., Kucuksarac, D., &amp; Yilmaz, M. H. (2017). </w:t>
      </w:r>
      <w:r w:rsidRPr="00A416B0">
        <w:rPr>
          <w:rFonts w:cstheme="minorHAnsi"/>
          <w:color w:val="222222"/>
        </w:rPr>
        <w:t>The sensitivity of credit default swap premium to global risk factor: Evidence from emerging markets</w:t>
      </w:r>
      <w:r w:rsidRPr="00A416B0">
        <w:rPr>
          <w:rFonts w:cstheme="minorHAnsi"/>
          <w:i/>
          <w:iCs/>
          <w:color w:val="222222"/>
        </w:rPr>
        <w:t>.</w:t>
      </w:r>
      <w:r>
        <w:rPr>
          <w:rFonts w:cstheme="minorHAnsi"/>
          <w:i/>
          <w:iCs/>
          <w:color w:val="222222"/>
        </w:rPr>
        <w:t xml:space="preserve"> </w:t>
      </w:r>
      <w:r w:rsidRPr="00A416B0">
        <w:rPr>
          <w:rFonts w:cstheme="minorHAnsi"/>
          <w:i/>
          <w:iCs/>
          <w:color w:val="222222"/>
        </w:rPr>
        <w:t>Economics Letters,</w:t>
      </w:r>
      <w:r>
        <w:rPr>
          <w:rFonts w:cstheme="minorHAnsi"/>
          <w:shd w:val="clear" w:color="auto" w:fill="FFFFFF"/>
        </w:rPr>
        <w:t xml:space="preserve"> </w:t>
      </w:r>
      <w:r w:rsidRPr="00A416B0">
        <w:rPr>
          <w:rFonts w:cstheme="minorHAnsi"/>
          <w:shd w:val="clear" w:color="auto" w:fill="FFFFFF"/>
        </w:rPr>
        <w:t>159, 74-77.</w:t>
      </w:r>
    </w:p>
    <w:p w14:paraId="0170B846" w14:textId="77777777" w:rsidR="00A416B0" w:rsidRDefault="00A416B0" w:rsidP="00C16E80">
      <w:pPr>
        <w:rPr>
          <w:rFonts w:cstheme="minorHAnsi"/>
          <w:shd w:val="clear" w:color="auto" w:fill="FFFFFF"/>
        </w:rPr>
      </w:pPr>
    </w:p>
    <w:p w14:paraId="4BC60171" w14:textId="1C158D94" w:rsidR="00AB115B" w:rsidRPr="00AB115B" w:rsidRDefault="00AB115B" w:rsidP="00C16E80">
      <w:pPr>
        <w:rPr>
          <w:rFonts w:cstheme="minorHAnsi"/>
          <w:shd w:val="clear" w:color="auto" w:fill="FFFFFF"/>
        </w:rPr>
      </w:pPr>
      <w:r w:rsidRPr="00AB115B">
        <w:rPr>
          <w:rFonts w:cstheme="minorHAnsi"/>
          <w:shd w:val="clear" w:color="auto" w:fill="FFFFFF"/>
        </w:rPr>
        <w:t>Costantini, M., Fragetta, M., &amp; Melina, G. (2014). Determinants of sovereign bond yield spreads in the EMU: An optimal currency area perspective.</w:t>
      </w:r>
      <w:r>
        <w:rPr>
          <w:rFonts w:cstheme="minorHAnsi"/>
          <w:shd w:val="clear" w:color="auto" w:fill="FFFFFF"/>
        </w:rPr>
        <w:t xml:space="preserve"> </w:t>
      </w:r>
      <w:r w:rsidRPr="00AB115B">
        <w:rPr>
          <w:rFonts w:cstheme="minorHAnsi"/>
          <w:i/>
          <w:iCs/>
          <w:shd w:val="clear" w:color="auto" w:fill="FFFFFF"/>
        </w:rPr>
        <w:t>European Economic Review</w:t>
      </w:r>
      <w:r w:rsidRPr="00AB115B">
        <w:rPr>
          <w:rFonts w:cstheme="minorHAnsi"/>
          <w:shd w:val="clear" w:color="auto" w:fill="FFFFFF"/>
        </w:rPr>
        <w:t>,</w:t>
      </w:r>
      <w:r w:rsidR="00E4358B">
        <w:rPr>
          <w:rFonts w:cstheme="minorHAnsi"/>
          <w:shd w:val="clear" w:color="auto" w:fill="FFFFFF"/>
        </w:rPr>
        <w:t xml:space="preserve"> </w:t>
      </w:r>
      <w:r w:rsidRPr="00AB115B">
        <w:rPr>
          <w:rFonts w:cstheme="minorHAnsi"/>
          <w:shd w:val="clear" w:color="auto" w:fill="FFFFFF"/>
        </w:rPr>
        <w:t>70, 337-349.</w:t>
      </w:r>
    </w:p>
    <w:p w14:paraId="4B51FF9B" w14:textId="77777777" w:rsidR="00AB115B" w:rsidRPr="00C16E80" w:rsidRDefault="00AB115B" w:rsidP="00C16E80">
      <w:pPr>
        <w:rPr>
          <w:rFonts w:cstheme="minorHAnsi"/>
          <w:shd w:val="clear" w:color="auto" w:fill="FFFFFF"/>
        </w:rPr>
      </w:pPr>
    </w:p>
    <w:p w14:paraId="5989653C" w14:textId="16BC34CF" w:rsidR="0043121A" w:rsidRPr="00C16E80" w:rsidRDefault="0043121A" w:rsidP="00C16E80">
      <w:pPr>
        <w:rPr>
          <w:rFonts w:cstheme="minorHAnsi"/>
        </w:rPr>
      </w:pPr>
      <w:proofErr w:type="spellStart"/>
      <w:r w:rsidRPr="00C16E80">
        <w:rPr>
          <w:rFonts w:cstheme="minorHAnsi"/>
          <w:shd w:val="clear" w:color="auto" w:fill="FFFFFF"/>
        </w:rPr>
        <w:t>Ertugrul</w:t>
      </w:r>
      <w:proofErr w:type="spellEnd"/>
      <w:r w:rsidRPr="00C16E80">
        <w:rPr>
          <w:rFonts w:cstheme="minorHAnsi"/>
          <w:shd w:val="clear" w:color="auto" w:fill="FFFFFF"/>
        </w:rPr>
        <w:t>, H. M., &amp; Ozturk, H. (2013). The drivers of credit default swap prices: Evidence from selected emerging market countries.</w:t>
      </w:r>
      <w:r w:rsidR="00AB115B">
        <w:rPr>
          <w:rStyle w:val="apple-converted-space"/>
          <w:rFonts w:cstheme="minorHAnsi"/>
          <w:color w:val="222222"/>
          <w:shd w:val="clear" w:color="auto" w:fill="FFFFFF"/>
        </w:rPr>
        <w:t xml:space="preserve"> </w:t>
      </w:r>
      <w:r w:rsidRPr="00C16E80">
        <w:rPr>
          <w:rFonts w:cstheme="minorHAnsi"/>
          <w:i/>
          <w:iCs/>
        </w:rPr>
        <w:t>Emerging Markets Finance and Trade</w:t>
      </w:r>
      <w:r w:rsidRPr="00C16E80">
        <w:rPr>
          <w:rFonts w:cstheme="minorHAnsi"/>
          <w:shd w:val="clear" w:color="auto" w:fill="FFFFFF"/>
        </w:rPr>
        <w:t>,</w:t>
      </w:r>
      <w:r w:rsidRPr="00C16E80">
        <w:rPr>
          <w:rStyle w:val="apple-converted-space"/>
          <w:rFonts w:cstheme="minorHAnsi"/>
          <w:color w:val="222222"/>
          <w:shd w:val="clear" w:color="auto" w:fill="FFFFFF"/>
        </w:rPr>
        <w:t xml:space="preserve"> </w:t>
      </w:r>
      <w:r w:rsidRPr="00C16E80">
        <w:rPr>
          <w:rFonts w:cstheme="minorHAnsi"/>
          <w:i/>
          <w:iCs/>
        </w:rPr>
        <w:t>49</w:t>
      </w:r>
      <w:r w:rsidRPr="00C16E80">
        <w:rPr>
          <w:rFonts w:cstheme="minorHAnsi"/>
          <w:shd w:val="clear" w:color="auto" w:fill="FFFFFF"/>
        </w:rPr>
        <w:t>(sup5), 228-249.</w:t>
      </w:r>
    </w:p>
    <w:p w14:paraId="636092B8" w14:textId="7DB7CF83" w:rsidR="008A6C43" w:rsidRPr="00C16E80" w:rsidRDefault="008A6C43" w:rsidP="00C16E80">
      <w:pPr>
        <w:rPr>
          <w:rFonts w:cstheme="minorHAnsi"/>
        </w:rPr>
      </w:pPr>
    </w:p>
    <w:p w14:paraId="0FA0D565" w14:textId="1345BB67" w:rsidR="0043121A" w:rsidRPr="00C16E80" w:rsidRDefault="0043121A" w:rsidP="00C16E80">
      <w:pPr>
        <w:rPr>
          <w:rFonts w:cstheme="minorHAnsi"/>
        </w:rPr>
      </w:pPr>
      <w:r w:rsidRPr="00C16E80">
        <w:rPr>
          <w:rFonts w:cstheme="minorHAnsi"/>
          <w:shd w:val="clear" w:color="auto" w:fill="FFFFFF"/>
        </w:rPr>
        <w:t xml:space="preserve">Fender, I., </w:t>
      </w:r>
      <w:proofErr w:type="spellStart"/>
      <w:r w:rsidRPr="00C16E80">
        <w:rPr>
          <w:rFonts w:cstheme="minorHAnsi"/>
          <w:shd w:val="clear" w:color="auto" w:fill="FFFFFF"/>
        </w:rPr>
        <w:t>Hayo</w:t>
      </w:r>
      <w:proofErr w:type="spellEnd"/>
      <w:r w:rsidRPr="00C16E80">
        <w:rPr>
          <w:rFonts w:cstheme="minorHAnsi"/>
          <w:shd w:val="clear" w:color="auto" w:fill="FFFFFF"/>
        </w:rPr>
        <w:t xml:space="preserve">, B., &amp; </w:t>
      </w:r>
      <w:proofErr w:type="spellStart"/>
      <w:r w:rsidRPr="00C16E80">
        <w:rPr>
          <w:rFonts w:cstheme="minorHAnsi"/>
          <w:shd w:val="clear" w:color="auto" w:fill="FFFFFF"/>
        </w:rPr>
        <w:t>Neuenkirch</w:t>
      </w:r>
      <w:proofErr w:type="spellEnd"/>
      <w:r w:rsidRPr="00C16E80">
        <w:rPr>
          <w:rFonts w:cstheme="minorHAnsi"/>
          <w:shd w:val="clear" w:color="auto" w:fill="FFFFFF"/>
        </w:rPr>
        <w:t xml:space="preserve">, M. (2012). Daily pricing of emerging market sovereign CDS before and during the global financial crisis. </w:t>
      </w:r>
      <w:r w:rsidRPr="00C16E80">
        <w:rPr>
          <w:rFonts w:cstheme="minorHAnsi"/>
          <w:i/>
          <w:iCs/>
        </w:rPr>
        <w:t>Journal of Banking &amp; Finance</w:t>
      </w:r>
      <w:r w:rsidRPr="00C16E80">
        <w:rPr>
          <w:rFonts w:cstheme="minorHAnsi"/>
          <w:shd w:val="clear" w:color="auto" w:fill="FFFFFF"/>
        </w:rPr>
        <w:t xml:space="preserve">, </w:t>
      </w:r>
      <w:r w:rsidRPr="00C16E80">
        <w:rPr>
          <w:rFonts w:cstheme="minorHAnsi"/>
          <w:i/>
          <w:iCs/>
        </w:rPr>
        <w:t>36</w:t>
      </w:r>
      <w:r w:rsidRPr="00C16E80">
        <w:rPr>
          <w:rFonts w:cstheme="minorHAnsi"/>
          <w:shd w:val="clear" w:color="auto" w:fill="FFFFFF"/>
        </w:rPr>
        <w:t>(10), 2786-2794.</w:t>
      </w:r>
    </w:p>
    <w:p w14:paraId="04E0AE43" w14:textId="77BBEAEC" w:rsidR="0043121A" w:rsidRDefault="0043121A" w:rsidP="00C16E80">
      <w:pPr>
        <w:rPr>
          <w:rFonts w:cstheme="minorHAnsi"/>
        </w:rPr>
      </w:pPr>
    </w:p>
    <w:p w14:paraId="7F3069AD" w14:textId="26373823" w:rsidR="00354FC8" w:rsidRPr="00354FC8" w:rsidRDefault="00354FC8" w:rsidP="00354FC8">
      <w:pPr>
        <w:rPr>
          <w:rFonts w:ascii="Times New Roman" w:hAnsi="Times New Roman"/>
        </w:rPr>
      </w:pPr>
      <w:r w:rsidRPr="00354FC8">
        <w:t xml:space="preserve">Forbes, K J and F E Warnock (2012), Capital Flow Waves: Surges, Stops, Flight, and Retrenchment, </w:t>
      </w:r>
      <w:r w:rsidRPr="00354FC8">
        <w:rPr>
          <w:i/>
          <w:iCs/>
          <w:bdr w:val="none" w:sz="0" w:space="0" w:color="auto" w:frame="1"/>
        </w:rPr>
        <w:t>Journal of International Economics</w:t>
      </w:r>
      <w:r w:rsidRPr="00354FC8">
        <w:t xml:space="preserve"> 88: 235-251.</w:t>
      </w:r>
    </w:p>
    <w:p w14:paraId="2D78B60B" w14:textId="77777777" w:rsidR="00354FC8" w:rsidRPr="00C16E80" w:rsidRDefault="00354FC8" w:rsidP="00C16E80">
      <w:pPr>
        <w:rPr>
          <w:rFonts w:cstheme="minorHAnsi"/>
        </w:rPr>
      </w:pPr>
    </w:p>
    <w:p w14:paraId="6CA981AC" w14:textId="2D38494B" w:rsidR="008A6C43" w:rsidRPr="006E25AE" w:rsidRDefault="008A6C43" w:rsidP="00C16E80">
      <w:pPr>
        <w:rPr>
          <w:rFonts w:cstheme="minorHAnsi"/>
          <w:i/>
          <w:iCs/>
        </w:rPr>
      </w:pPr>
      <w:r w:rsidRPr="00C16E80">
        <w:rPr>
          <w:rFonts w:cstheme="minorHAnsi"/>
        </w:rPr>
        <w:t xml:space="preserve">Heller, P. (2005), </w:t>
      </w:r>
      <w:r w:rsidRPr="006E25AE">
        <w:rPr>
          <w:rFonts w:cstheme="minorHAnsi"/>
        </w:rPr>
        <w:t xml:space="preserve">Understanding Fiscal Space. IMF Policy Discussion Paper 05/4. </w:t>
      </w:r>
      <w:r w:rsidRPr="006E25AE">
        <w:rPr>
          <w:rFonts w:cstheme="minorHAnsi"/>
          <w:i/>
          <w:iCs/>
        </w:rPr>
        <w:t xml:space="preserve">International Monetary Fund, Washington, DC. </w:t>
      </w:r>
    </w:p>
    <w:p w14:paraId="37919BD2" w14:textId="0AF810B0" w:rsidR="008A6C43" w:rsidRPr="00C16E80" w:rsidRDefault="008A6C43" w:rsidP="00C16E80">
      <w:pPr>
        <w:rPr>
          <w:rFonts w:cstheme="minorHAnsi"/>
        </w:rPr>
      </w:pPr>
    </w:p>
    <w:p w14:paraId="69A4DBB2" w14:textId="1147164E" w:rsidR="001063A1" w:rsidRPr="006E25AE" w:rsidRDefault="001063A1" w:rsidP="00C16E80">
      <w:pPr>
        <w:rPr>
          <w:rFonts w:cstheme="minorHAnsi"/>
          <w:i/>
          <w:iCs/>
        </w:rPr>
      </w:pPr>
      <w:r w:rsidRPr="006E25AE">
        <w:rPr>
          <w:rFonts w:cstheme="minorHAnsi"/>
          <w:lang w:val="de-CH"/>
        </w:rPr>
        <w:t xml:space="preserve">Horn, </w:t>
      </w:r>
      <w:r w:rsidR="006E25AE" w:rsidRPr="006E25AE">
        <w:rPr>
          <w:rFonts w:cstheme="minorHAnsi"/>
          <w:lang w:val="de-CH"/>
        </w:rPr>
        <w:t>S.</w:t>
      </w:r>
      <w:r w:rsidRPr="006E25AE">
        <w:rPr>
          <w:rFonts w:cstheme="minorHAnsi"/>
          <w:lang w:val="de-CH"/>
        </w:rPr>
        <w:t xml:space="preserve">, </w:t>
      </w:r>
      <w:r w:rsidR="006E25AE" w:rsidRPr="006E25AE">
        <w:rPr>
          <w:rFonts w:cstheme="minorHAnsi"/>
          <w:lang w:val="de-CH"/>
        </w:rPr>
        <w:t xml:space="preserve">Reinhart, </w:t>
      </w:r>
      <w:r w:rsidR="006E25AE">
        <w:rPr>
          <w:rFonts w:cstheme="minorHAnsi"/>
          <w:lang w:val="de-CH"/>
        </w:rPr>
        <w:t>C.</w:t>
      </w:r>
      <w:r w:rsidR="0051263E">
        <w:rPr>
          <w:rFonts w:cstheme="minorHAnsi"/>
          <w:lang w:val="de-CH"/>
        </w:rPr>
        <w:t xml:space="preserve"> M.</w:t>
      </w:r>
      <w:r w:rsidRPr="006E25AE">
        <w:rPr>
          <w:rFonts w:cstheme="minorHAnsi"/>
          <w:lang w:val="de-CH"/>
        </w:rPr>
        <w:t xml:space="preserve">, </w:t>
      </w:r>
      <w:r w:rsidR="006E25AE" w:rsidRPr="006E25AE">
        <w:rPr>
          <w:rFonts w:cstheme="minorHAnsi"/>
          <w:lang w:val="de-CH"/>
        </w:rPr>
        <w:t xml:space="preserve">&amp; </w:t>
      </w:r>
      <w:proofErr w:type="spellStart"/>
      <w:r w:rsidR="006E25AE" w:rsidRPr="006E25AE">
        <w:rPr>
          <w:rFonts w:cstheme="minorHAnsi"/>
          <w:lang w:val="de-CH"/>
        </w:rPr>
        <w:t>Trebesch</w:t>
      </w:r>
      <w:proofErr w:type="spellEnd"/>
      <w:r w:rsidR="006E25AE" w:rsidRPr="006E25AE">
        <w:rPr>
          <w:rFonts w:cstheme="minorHAnsi"/>
          <w:lang w:val="de-CH"/>
        </w:rPr>
        <w:t>, C.</w:t>
      </w:r>
      <w:r w:rsidR="006E25AE" w:rsidRPr="006E25AE">
        <w:rPr>
          <w:rFonts w:cstheme="minorHAnsi"/>
          <w:lang w:val="de-CH"/>
        </w:rPr>
        <w:t xml:space="preserve"> </w:t>
      </w:r>
      <w:r w:rsidR="006E25AE" w:rsidRPr="006E25AE">
        <w:rPr>
          <w:rFonts w:cstheme="minorHAnsi"/>
          <w:lang w:val="de-CH"/>
        </w:rPr>
        <w:t>(</w:t>
      </w:r>
      <w:r w:rsidRPr="006E25AE">
        <w:rPr>
          <w:rFonts w:cstheme="minorHAnsi"/>
          <w:lang w:val="de-CH"/>
        </w:rPr>
        <w:t>2019</w:t>
      </w:r>
      <w:r w:rsidR="006E25AE" w:rsidRPr="006E25AE">
        <w:rPr>
          <w:rFonts w:cstheme="minorHAnsi"/>
          <w:lang w:val="de-CH"/>
        </w:rPr>
        <w:t>)</w:t>
      </w:r>
      <w:r w:rsidRPr="006E25AE">
        <w:rPr>
          <w:rFonts w:cstheme="minorHAnsi"/>
          <w:lang w:val="de-CH"/>
        </w:rPr>
        <w:t xml:space="preserve">. </w:t>
      </w:r>
      <w:r w:rsidR="00E74D82" w:rsidRPr="00C16E80">
        <w:rPr>
          <w:rFonts w:cstheme="minorHAnsi"/>
        </w:rPr>
        <w:t>China</w:t>
      </w:r>
      <w:r w:rsidR="00E74D82">
        <w:rPr>
          <w:rFonts w:cstheme="minorHAnsi"/>
        </w:rPr>
        <w:t>’</w:t>
      </w:r>
      <w:r w:rsidR="00E74D82" w:rsidRPr="00C16E80">
        <w:rPr>
          <w:rFonts w:cstheme="minorHAnsi"/>
        </w:rPr>
        <w:t xml:space="preserve">s </w:t>
      </w:r>
      <w:r w:rsidRPr="00C16E80">
        <w:rPr>
          <w:rFonts w:cstheme="minorHAnsi"/>
        </w:rPr>
        <w:t>Overseas Lending</w:t>
      </w:r>
      <w:r w:rsidR="00E74D82" w:rsidRPr="00C16E80">
        <w:rPr>
          <w:rFonts w:cstheme="minorHAnsi"/>
        </w:rPr>
        <w:t xml:space="preserve">. </w:t>
      </w:r>
      <w:r w:rsidRPr="006E25AE">
        <w:rPr>
          <w:rFonts w:cstheme="minorHAnsi"/>
          <w:i/>
          <w:iCs/>
        </w:rPr>
        <w:t xml:space="preserve">NBER Working Paper No. 26050. </w:t>
      </w:r>
    </w:p>
    <w:p w14:paraId="3BACC5B3" w14:textId="3205C372" w:rsidR="00022C3D" w:rsidRPr="00C16E80" w:rsidRDefault="00022C3D" w:rsidP="00C16E80">
      <w:pPr>
        <w:rPr>
          <w:rFonts w:cstheme="minorHAnsi"/>
        </w:rPr>
      </w:pPr>
    </w:p>
    <w:p w14:paraId="2227A968" w14:textId="2EC91C64" w:rsidR="0008399B" w:rsidRPr="00C16E80" w:rsidRDefault="0008399B" w:rsidP="00C16E80">
      <w:pPr>
        <w:rPr>
          <w:rFonts w:cstheme="minorHAnsi"/>
        </w:rPr>
      </w:pPr>
      <w:proofErr w:type="spellStart"/>
      <w:r w:rsidRPr="00C16E80">
        <w:rPr>
          <w:rFonts w:cstheme="minorHAnsi"/>
          <w:shd w:val="clear" w:color="auto" w:fill="FFFFFF"/>
        </w:rPr>
        <w:t>Ismailescu</w:t>
      </w:r>
      <w:proofErr w:type="spellEnd"/>
      <w:r w:rsidRPr="00C16E80">
        <w:rPr>
          <w:rFonts w:cstheme="minorHAnsi"/>
          <w:shd w:val="clear" w:color="auto" w:fill="FFFFFF"/>
        </w:rPr>
        <w:t xml:space="preserve">, I., &amp; </w:t>
      </w:r>
      <w:proofErr w:type="spellStart"/>
      <w:r w:rsidRPr="00C16E80">
        <w:rPr>
          <w:rFonts w:cstheme="minorHAnsi"/>
          <w:shd w:val="clear" w:color="auto" w:fill="FFFFFF"/>
        </w:rPr>
        <w:t>Kazemi</w:t>
      </w:r>
      <w:proofErr w:type="spellEnd"/>
      <w:r w:rsidRPr="00C16E80">
        <w:rPr>
          <w:rFonts w:cstheme="minorHAnsi"/>
          <w:shd w:val="clear" w:color="auto" w:fill="FFFFFF"/>
        </w:rPr>
        <w:t>, H. (2010). The reaction of emerging market credit default swap spreads to sovereign credit rating changes.</w:t>
      </w:r>
      <w:r w:rsidR="0051263E">
        <w:rPr>
          <w:rStyle w:val="apple-converted-space"/>
          <w:rFonts w:cstheme="minorHAnsi"/>
          <w:color w:val="222222"/>
          <w:shd w:val="clear" w:color="auto" w:fill="FFFFFF"/>
        </w:rPr>
        <w:t xml:space="preserve"> </w:t>
      </w:r>
      <w:r w:rsidRPr="00C16E80">
        <w:rPr>
          <w:rFonts w:cstheme="minorHAnsi"/>
          <w:i/>
          <w:iCs/>
        </w:rPr>
        <w:t>Journal of Banking &amp; Finance</w:t>
      </w:r>
      <w:r w:rsidRPr="00C16E80">
        <w:rPr>
          <w:rFonts w:cstheme="minorHAnsi"/>
          <w:shd w:val="clear" w:color="auto" w:fill="FFFFFF"/>
        </w:rPr>
        <w:t>,</w:t>
      </w:r>
      <w:r w:rsidR="0051263E">
        <w:rPr>
          <w:rStyle w:val="apple-converted-space"/>
          <w:rFonts w:cstheme="minorHAnsi"/>
          <w:color w:val="222222"/>
          <w:shd w:val="clear" w:color="auto" w:fill="FFFFFF"/>
        </w:rPr>
        <w:t xml:space="preserve"> </w:t>
      </w:r>
      <w:r w:rsidRPr="00C16E80">
        <w:rPr>
          <w:rFonts w:cstheme="minorHAnsi"/>
          <w:i/>
          <w:iCs/>
        </w:rPr>
        <w:t>34</w:t>
      </w:r>
      <w:r w:rsidRPr="00C16E80">
        <w:rPr>
          <w:rFonts w:cstheme="minorHAnsi"/>
          <w:shd w:val="clear" w:color="auto" w:fill="FFFFFF"/>
        </w:rPr>
        <w:t>(12), 2861-2873.</w:t>
      </w:r>
    </w:p>
    <w:p w14:paraId="5C06F301" w14:textId="77777777" w:rsidR="0008399B" w:rsidRPr="00C16E80" w:rsidRDefault="0008399B" w:rsidP="00C16E80">
      <w:pPr>
        <w:rPr>
          <w:rFonts w:cstheme="minorHAnsi"/>
        </w:rPr>
      </w:pPr>
    </w:p>
    <w:p w14:paraId="0B966C64" w14:textId="282C6639" w:rsidR="0051263E" w:rsidRPr="0051263E" w:rsidRDefault="0051263E" w:rsidP="0051263E">
      <w:pPr>
        <w:rPr>
          <w:rFonts w:cstheme="minorHAnsi"/>
          <w:i/>
          <w:iCs/>
        </w:rPr>
      </w:pPr>
      <w:proofErr w:type="spellStart"/>
      <w:r w:rsidRPr="0051263E">
        <w:rPr>
          <w:rFonts w:cstheme="minorHAnsi"/>
        </w:rPr>
        <w:t>Jinjarak</w:t>
      </w:r>
      <w:proofErr w:type="spellEnd"/>
      <w:r w:rsidRPr="0051263E">
        <w:rPr>
          <w:rFonts w:cstheme="minorHAnsi"/>
        </w:rPr>
        <w:t xml:space="preserve">, Y., Ahmed, R., Nair-Desai, S., Xin, W., &amp; </w:t>
      </w:r>
      <w:proofErr w:type="spellStart"/>
      <w:r w:rsidRPr="0051263E">
        <w:rPr>
          <w:rFonts w:cstheme="minorHAnsi"/>
        </w:rPr>
        <w:t>Aizenman</w:t>
      </w:r>
      <w:proofErr w:type="spellEnd"/>
      <w:r w:rsidRPr="0051263E">
        <w:rPr>
          <w:rFonts w:cstheme="minorHAnsi"/>
        </w:rPr>
        <w:t>, J. (2020).</w:t>
      </w:r>
      <w:r>
        <w:rPr>
          <w:rFonts w:cstheme="minorHAnsi"/>
        </w:rPr>
        <w:t xml:space="preserve"> </w:t>
      </w:r>
      <w:r w:rsidRPr="0051263E">
        <w:rPr>
          <w:rFonts w:cstheme="minorHAnsi"/>
        </w:rPr>
        <w:t>Accounting for Global COVID-19 Diffusion Patterns, January-April 2020</w:t>
      </w:r>
      <w:r w:rsidRPr="0051263E">
        <w:rPr>
          <w:rFonts w:cstheme="minorHAnsi"/>
        </w:rPr>
        <w:t xml:space="preserve"> </w:t>
      </w:r>
      <w:r w:rsidRPr="0051263E">
        <w:rPr>
          <w:rFonts w:cstheme="minorHAnsi"/>
        </w:rPr>
        <w:t>(No. w27185).</w:t>
      </w:r>
      <w:r w:rsidRPr="0051263E">
        <w:rPr>
          <w:rFonts w:cstheme="minorHAnsi"/>
          <w:i/>
          <w:iCs/>
        </w:rPr>
        <w:t xml:space="preserve"> National Bureau of Economic Research.</w:t>
      </w:r>
    </w:p>
    <w:p w14:paraId="3FAA3A26" w14:textId="5FE9C347" w:rsidR="00022C3D" w:rsidRPr="00C16E80" w:rsidRDefault="00022C3D" w:rsidP="00C16E80">
      <w:pPr>
        <w:rPr>
          <w:rFonts w:cstheme="minorHAnsi"/>
        </w:rPr>
      </w:pPr>
    </w:p>
    <w:p w14:paraId="43350957" w14:textId="7AC19F13" w:rsidR="0051263E" w:rsidRPr="0051263E" w:rsidRDefault="0051263E" w:rsidP="0051263E">
      <w:pPr>
        <w:rPr>
          <w:rFonts w:cstheme="minorHAnsi"/>
          <w:i/>
          <w:iCs/>
        </w:rPr>
      </w:pPr>
      <w:r w:rsidRPr="0051263E">
        <w:rPr>
          <w:rFonts w:cstheme="minorHAnsi"/>
        </w:rPr>
        <w:t>Jinjarak, Y., Ahmed, R., Nair-Desai, S., Xin, W., &amp; Aizenman, J. (2020).</w:t>
      </w:r>
      <w:r w:rsidRPr="0051263E">
        <w:rPr>
          <w:rFonts w:cstheme="minorHAnsi"/>
        </w:rPr>
        <w:t xml:space="preserve"> </w:t>
      </w:r>
      <w:r w:rsidRPr="0051263E">
        <w:rPr>
          <w:rFonts w:cstheme="minorHAnsi"/>
        </w:rPr>
        <w:t>Pandemic shocks and fiscal-monetary policies in the Eurozone: COVID-19 dominance during January-June 2020</w:t>
      </w:r>
      <w:r w:rsidRPr="0051263E">
        <w:rPr>
          <w:rFonts w:cstheme="minorHAnsi"/>
        </w:rPr>
        <w:t xml:space="preserve"> </w:t>
      </w:r>
      <w:r w:rsidRPr="0051263E">
        <w:rPr>
          <w:rFonts w:cstheme="minorHAnsi"/>
        </w:rPr>
        <w:t>(No. w27451).</w:t>
      </w:r>
      <w:r w:rsidRPr="0051263E">
        <w:rPr>
          <w:rFonts w:cstheme="minorHAnsi"/>
          <w:i/>
          <w:iCs/>
        </w:rPr>
        <w:t xml:space="preserve"> National Bureau of Economic Research.</w:t>
      </w:r>
    </w:p>
    <w:p w14:paraId="25F55E00" w14:textId="20C19925" w:rsidR="005B3CB6" w:rsidRPr="00C16E80" w:rsidRDefault="005B3CB6" w:rsidP="00C16E80">
      <w:pPr>
        <w:rPr>
          <w:rFonts w:cstheme="minorHAnsi"/>
        </w:rPr>
      </w:pPr>
    </w:p>
    <w:p w14:paraId="3E1CEA52" w14:textId="1821C0C8" w:rsidR="0043121A" w:rsidRPr="00C16E80" w:rsidRDefault="0043121A" w:rsidP="00C16E80">
      <w:pPr>
        <w:rPr>
          <w:rFonts w:cstheme="minorHAnsi"/>
        </w:rPr>
      </w:pPr>
      <w:r w:rsidRPr="00C16E80">
        <w:rPr>
          <w:rFonts w:cstheme="minorHAnsi"/>
          <w:shd w:val="clear" w:color="auto" w:fill="FFFFFF"/>
        </w:rPr>
        <w:t xml:space="preserve">Kocsis, Z., &amp; </w:t>
      </w:r>
      <w:proofErr w:type="spellStart"/>
      <w:r w:rsidRPr="00C16E80">
        <w:rPr>
          <w:rFonts w:cstheme="minorHAnsi"/>
          <w:shd w:val="clear" w:color="auto" w:fill="FFFFFF"/>
        </w:rPr>
        <w:t>Monostori</w:t>
      </w:r>
      <w:proofErr w:type="spellEnd"/>
      <w:r w:rsidRPr="00C16E80">
        <w:rPr>
          <w:rFonts w:cstheme="minorHAnsi"/>
          <w:shd w:val="clear" w:color="auto" w:fill="FFFFFF"/>
        </w:rPr>
        <w:t xml:space="preserve">, Z. (2016). The role of country-specific fundamentals in sovereign CDS spreads: Eastern European experiences. </w:t>
      </w:r>
      <w:r w:rsidRPr="00C16E80">
        <w:rPr>
          <w:rFonts w:cstheme="minorHAnsi"/>
          <w:i/>
          <w:iCs/>
        </w:rPr>
        <w:t>Emerging Markets Review</w:t>
      </w:r>
      <w:r w:rsidRPr="00C16E80">
        <w:rPr>
          <w:rFonts w:cstheme="minorHAnsi"/>
          <w:shd w:val="clear" w:color="auto" w:fill="FFFFFF"/>
        </w:rPr>
        <w:t xml:space="preserve">, </w:t>
      </w:r>
      <w:r w:rsidRPr="00C16E80">
        <w:rPr>
          <w:rFonts w:cstheme="minorHAnsi"/>
          <w:i/>
          <w:iCs/>
        </w:rPr>
        <w:t>27</w:t>
      </w:r>
      <w:r w:rsidRPr="00C16E80">
        <w:rPr>
          <w:rFonts w:cstheme="minorHAnsi"/>
          <w:shd w:val="clear" w:color="auto" w:fill="FFFFFF"/>
        </w:rPr>
        <w:t>, 140-168.</w:t>
      </w:r>
    </w:p>
    <w:p w14:paraId="1C046B9E" w14:textId="097DD963" w:rsidR="0043121A" w:rsidRPr="00C16E80" w:rsidRDefault="0043121A" w:rsidP="00C16E80">
      <w:pPr>
        <w:rPr>
          <w:rFonts w:cstheme="minorHAnsi"/>
        </w:rPr>
      </w:pPr>
    </w:p>
    <w:p w14:paraId="3C0970A6" w14:textId="621BA2C7" w:rsidR="0043121A" w:rsidRPr="00C16E80" w:rsidRDefault="0043121A" w:rsidP="00C16E80">
      <w:pPr>
        <w:rPr>
          <w:rFonts w:cstheme="minorHAnsi"/>
        </w:rPr>
      </w:pPr>
      <w:proofErr w:type="spellStart"/>
      <w:r w:rsidRPr="00C16E80">
        <w:rPr>
          <w:rFonts w:cstheme="minorHAnsi"/>
          <w:shd w:val="clear" w:color="auto" w:fill="FFFFFF"/>
        </w:rPr>
        <w:lastRenderedPageBreak/>
        <w:t>Remolona</w:t>
      </w:r>
      <w:proofErr w:type="spellEnd"/>
      <w:r w:rsidRPr="00C16E80">
        <w:rPr>
          <w:rFonts w:cstheme="minorHAnsi"/>
          <w:shd w:val="clear" w:color="auto" w:fill="FFFFFF"/>
        </w:rPr>
        <w:t xml:space="preserve">, E. M., </w:t>
      </w:r>
      <w:proofErr w:type="spellStart"/>
      <w:r w:rsidRPr="00C16E80">
        <w:rPr>
          <w:rFonts w:cstheme="minorHAnsi"/>
          <w:shd w:val="clear" w:color="auto" w:fill="FFFFFF"/>
        </w:rPr>
        <w:t>Scatigna</w:t>
      </w:r>
      <w:proofErr w:type="spellEnd"/>
      <w:r w:rsidRPr="00C16E80">
        <w:rPr>
          <w:rFonts w:cstheme="minorHAnsi"/>
          <w:shd w:val="clear" w:color="auto" w:fill="FFFFFF"/>
        </w:rPr>
        <w:t xml:space="preserve">, M., &amp; Wu, E. (2008). The dynamic pricing of sovereign risk in emerging markets: Fundamentals and risk aversion. </w:t>
      </w:r>
      <w:r w:rsidRPr="00C16E80">
        <w:rPr>
          <w:rFonts w:cstheme="minorHAnsi"/>
          <w:i/>
          <w:iCs/>
        </w:rPr>
        <w:t>The Journal of Fixed Income</w:t>
      </w:r>
      <w:r w:rsidRPr="00C16E80">
        <w:rPr>
          <w:rFonts w:cstheme="minorHAnsi"/>
          <w:shd w:val="clear" w:color="auto" w:fill="FFFFFF"/>
        </w:rPr>
        <w:t xml:space="preserve">, </w:t>
      </w:r>
      <w:r w:rsidRPr="00C16E80">
        <w:rPr>
          <w:rFonts w:cstheme="minorHAnsi"/>
          <w:i/>
          <w:iCs/>
        </w:rPr>
        <w:t>17</w:t>
      </w:r>
      <w:r w:rsidRPr="00C16E80">
        <w:rPr>
          <w:rFonts w:cstheme="minorHAnsi"/>
          <w:shd w:val="clear" w:color="auto" w:fill="FFFFFF"/>
        </w:rPr>
        <w:t>(4), 57-71.</w:t>
      </w:r>
    </w:p>
    <w:p w14:paraId="3C0EA407" w14:textId="77777777" w:rsidR="0043121A" w:rsidRPr="00C16E80" w:rsidRDefault="0043121A" w:rsidP="00C16E80">
      <w:pPr>
        <w:rPr>
          <w:rFonts w:cstheme="minorHAnsi"/>
        </w:rPr>
      </w:pPr>
    </w:p>
    <w:p w14:paraId="7F278211" w14:textId="040C98F3" w:rsidR="00C41057" w:rsidRPr="00C16E80" w:rsidRDefault="00C41057" w:rsidP="00C16E80">
      <w:pPr>
        <w:rPr>
          <w:rFonts w:cstheme="minorHAnsi"/>
        </w:rPr>
      </w:pPr>
      <w:r w:rsidRPr="00C16E80">
        <w:rPr>
          <w:rFonts w:cstheme="minorHAnsi"/>
        </w:rPr>
        <w:t>Rey, H</w:t>
      </w:r>
      <w:r w:rsidR="006E25AE">
        <w:rPr>
          <w:rFonts w:cstheme="minorHAnsi"/>
        </w:rPr>
        <w:t xml:space="preserve">. </w:t>
      </w:r>
      <w:r w:rsidRPr="00C16E80">
        <w:rPr>
          <w:rFonts w:cstheme="minorHAnsi"/>
        </w:rPr>
        <w:t>Dilemma not Trilemma: The global financial cycle and monetary policy independence.</w:t>
      </w:r>
      <w:r w:rsidR="006E25AE">
        <w:rPr>
          <w:rFonts w:cstheme="minorHAnsi"/>
        </w:rPr>
        <w:t xml:space="preserve"> (2013).</w:t>
      </w:r>
      <w:r w:rsidRPr="00C16E80">
        <w:rPr>
          <w:rFonts w:cstheme="minorHAnsi"/>
        </w:rPr>
        <w:t xml:space="preserve"> </w:t>
      </w:r>
      <w:r w:rsidRPr="006E25AE">
        <w:rPr>
          <w:rFonts w:cstheme="minorHAnsi"/>
          <w:i/>
          <w:iCs/>
        </w:rPr>
        <w:t>Federal Reserve Bank of Kansas City working paper</w:t>
      </w:r>
      <w:r w:rsidR="006E25AE" w:rsidRPr="006E25AE">
        <w:rPr>
          <w:rFonts w:cstheme="minorHAnsi"/>
          <w:i/>
          <w:iCs/>
        </w:rPr>
        <w:t>.</w:t>
      </w:r>
    </w:p>
    <w:p w14:paraId="32B3BE73" w14:textId="349E1D91" w:rsidR="0008399B" w:rsidRPr="00C16E80" w:rsidRDefault="0008399B" w:rsidP="00C16E80">
      <w:pPr>
        <w:rPr>
          <w:rFonts w:cstheme="minorHAnsi"/>
        </w:rPr>
      </w:pPr>
    </w:p>
    <w:p w14:paraId="30E10AB6" w14:textId="48550606" w:rsidR="0008399B" w:rsidRPr="00C16E80" w:rsidRDefault="0008399B" w:rsidP="00C16E80">
      <w:pPr>
        <w:rPr>
          <w:rFonts w:cstheme="minorHAnsi"/>
        </w:rPr>
      </w:pPr>
      <w:proofErr w:type="spellStart"/>
      <w:r w:rsidRPr="00C16E80">
        <w:rPr>
          <w:rFonts w:cstheme="minorHAnsi"/>
        </w:rPr>
        <w:t>Tarashev</w:t>
      </w:r>
      <w:proofErr w:type="spellEnd"/>
      <w:r w:rsidRPr="00C16E80">
        <w:rPr>
          <w:rFonts w:cstheme="minorHAnsi"/>
        </w:rPr>
        <w:t xml:space="preserve">, N., </w:t>
      </w:r>
      <w:proofErr w:type="spellStart"/>
      <w:r w:rsidRPr="00C16E80">
        <w:rPr>
          <w:rFonts w:cstheme="minorHAnsi"/>
        </w:rPr>
        <w:t>Tsatsaronis</w:t>
      </w:r>
      <w:proofErr w:type="spellEnd"/>
      <w:r w:rsidRPr="00C16E80">
        <w:rPr>
          <w:rFonts w:cstheme="minorHAnsi"/>
        </w:rPr>
        <w:t xml:space="preserve">, K., &amp; </w:t>
      </w:r>
      <w:proofErr w:type="spellStart"/>
      <w:r w:rsidRPr="00C16E80">
        <w:rPr>
          <w:rFonts w:cstheme="minorHAnsi"/>
        </w:rPr>
        <w:t>Karampatos</w:t>
      </w:r>
      <w:proofErr w:type="spellEnd"/>
      <w:r w:rsidRPr="00C16E80">
        <w:rPr>
          <w:rFonts w:cstheme="minorHAnsi"/>
        </w:rPr>
        <w:t>, D. (2003). Investors’ attitude towards risk: what can we learn from options.</w:t>
      </w:r>
      <w:r w:rsidRPr="00C16E80">
        <w:rPr>
          <w:rStyle w:val="apple-converted-space"/>
          <w:rFonts w:cstheme="minorHAnsi"/>
          <w:color w:val="222222"/>
        </w:rPr>
        <w:t xml:space="preserve"> </w:t>
      </w:r>
      <w:r w:rsidRPr="00C16E80">
        <w:rPr>
          <w:rFonts w:cstheme="minorHAnsi"/>
          <w:i/>
          <w:iCs/>
        </w:rPr>
        <w:t>BIS Quarterly Review</w:t>
      </w:r>
      <w:r w:rsidRPr="00C16E80">
        <w:rPr>
          <w:rFonts w:cstheme="minorHAnsi"/>
        </w:rPr>
        <w:t>,</w:t>
      </w:r>
      <w:r w:rsidRPr="002267CD">
        <w:rPr>
          <w:rStyle w:val="apple-converted-space"/>
          <w:rFonts w:cstheme="minorHAnsi"/>
          <w:color w:val="222222"/>
        </w:rPr>
        <w:t xml:space="preserve"> </w:t>
      </w:r>
      <w:r w:rsidRPr="00C16E80">
        <w:rPr>
          <w:rFonts w:cstheme="minorHAnsi"/>
          <w:i/>
          <w:iCs/>
        </w:rPr>
        <w:t>6</w:t>
      </w:r>
      <w:r w:rsidRPr="00C16E80">
        <w:rPr>
          <w:rFonts w:cstheme="minorHAnsi"/>
        </w:rPr>
        <w:t>, 57-65.</w:t>
      </w:r>
    </w:p>
    <w:p w14:paraId="01D8741A" w14:textId="77777777" w:rsidR="0043121A" w:rsidRPr="00C16E80" w:rsidRDefault="0043121A" w:rsidP="00C16E80">
      <w:pPr>
        <w:rPr>
          <w:rFonts w:cstheme="minorHAnsi"/>
        </w:rPr>
      </w:pPr>
    </w:p>
    <w:sectPr w:rsidR="0043121A" w:rsidRPr="00C16E80" w:rsidSect="007154FC">
      <w:footerReference w:type="even" r:id="rId27"/>
      <w:footerReference w:type="default" r:id="rId28"/>
      <w:pgSz w:w="12240" w:h="15840"/>
      <w:pgMar w:top="1080" w:right="1440" w:bottom="1080" w:left="1440"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EF4C2C" w14:textId="77777777" w:rsidR="00107D33" w:rsidRDefault="00107D33" w:rsidP="00DC353E">
      <w:r>
        <w:separator/>
      </w:r>
    </w:p>
  </w:endnote>
  <w:endnote w:type="continuationSeparator" w:id="0">
    <w:p w14:paraId="4FED35BD" w14:textId="77777777" w:rsidR="00107D33" w:rsidRDefault="00107D33" w:rsidP="00DC35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Segoe UI">
    <w:panose1 w:val="020B0604020202020204"/>
    <w:charset w:val="00"/>
    <w:family w:val="swiss"/>
    <w:pitch w:val="variable"/>
    <w:sig w:usb0="E4002EFF" w:usb1="C000E47F" w:usb2="00000009" w:usb3="00000000" w:csb0="000001FF" w:csb1="00000000"/>
  </w:font>
  <w:font w:name="Times">
    <w:panose1 w:val="00000500000000020000"/>
    <w:charset w:val="00"/>
    <w:family w:val="auto"/>
    <w:pitch w:val="variable"/>
    <w:sig w:usb0="E00002FF" w:usb1="5000205A" w:usb2="00000000" w:usb3="00000000" w:csb0="0000019F" w:csb1="00000000"/>
  </w:font>
  <w:font w:name="TimesNewRomanPSMT">
    <w:altName w:val="Times New Roman"/>
    <w:panose1 w:val="020B0604020202020204"/>
    <w:charset w:val="00"/>
    <w:family w:val="roman"/>
    <w:notTrueType/>
    <w:pitch w:val="default"/>
  </w:font>
  <w:font w:name="inherit">
    <w:altName w:val="MV Boli"/>
    <w:panose1 w:val="020B0604020202020204"/>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egoeUI">
    <w:altName w:val="Segoe UI"/>
    <w:panose1 w:val="020B060402020202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06664118"/>
      <w:docPartObj>
        <w:docPartGallery w:val="Page Numbers (Bottom of Page)"/>
        <w:docPartUnique/>
      </w:docPartObj>
    </w:sdtPr>
    <w:sdtContent>
      <w:p w14:paraId="6CDB5029" w14:textId="56BCE02E" w:rsidR="00A257EC" w:rsidRDefault="00A257EC" w:rsidP="006702A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30217812"/>
      <w:docPartObj>
        <w:docPartGallery w:val="Page Numbers (Bottom of Page)"/>
        <w:docPartUnique/>
      </w:docPartObj>
    </w:sdtPr>
    <w:sdtContent>
      <w:p w14:paraId="216A89EB" w14:textId="34217DBC" w:rsidR="00A257EC" w:rsidRDefault="00A257EC" w:rsidP="006702A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B2123E2" w14:textId="77777777" w:rsidR="00A257EC" w:rsidRDefault="00A257EC" w:rsidP="006702A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68432837"/>
      <w:docPartObj>
        <w:docPartGallery w:val="Page Numbers (Bottom of Page)"/>
        <w:docPartUnique/>
      </w:docPartObj>
    </w:sdtPr>
    <w:sdtContent>
      <w:p w14:paraId="60BDB1A3" w14:textId="5F269A3A" w:rsidR="00A257EC" w:rsidRDefault="00A257EC" w:rsidP="006702A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F78923D" w14:textId="502892E5" w:rsidR="00A257EC" w:rsidRDefault="00A257EC" w:rsidP="006702A7">
    <w:pPr>
      <w:pStyle w:val="Footer"/>
      <w:framePr w:wrap="none" w:vAnchor="text" w:hAnchor="margin" w:xAlign="right" w:y="1"/>
      <w:jc w:val="center"/>
      <w:rPr>
        <w:rStyle w:val="PageNumber"/>
      </w:rPr>
    </w:pPr>
  </w:p>
  <w:p w14:paraId="2DBEE589" w14:textId="77777777" w:rsidR="00A257EC" w:rsidRDefault="00A257EC" w:rsidP="006702A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F5E0C5" w14:textId="77777777" w:rsidR="00107D33" w:rsidRDefault="00107D33" w:rsidP="00DC353E">
      <w:r>
        <w:separator/>
      </w:r>
    </w:p>
  </w:footnote>
  <w:footnote w:type="continuationSeparator" w:id="0">
    <w:p w14:paraId="6AA8152B" w14:textId="77777777" w:rsidR="00107D33" w:rsidRDefault="00107D33" w:rsidP="00DC353E">
      <w:r>
        <w:continuationSeparator/>
      </w:r>
    </w:p>
  </w:footnote>
  <w:footnote w:id="1">
    <w:p w14:paraId="2B115A37" w14:textId="77777777" w:rsidR="00A257EC" w:rsidRPr="00354FC8" w:rsidRDefault="00A257EC" w:rsidP="00805495">
      <w:pPr>
        <w:pStyle w:val="FootnoteText"/>
      </w:pPr>
      <w:r>
        <w:rPr>
          <w:rStyle w:val="FootnoteReference"/>
        </w:rPr>
        <w:footnoteRef/>
      </w:r>
      <w:r>
        <w:t xml:space="preserve"> </w:t>
      </w:r>
      <w:r w:rsidRPr="00354FC8">
        <w:t xml:space="preserve">Because of the </w:t>
      </w:r>
      <w:r>
        <w:t>importance that Forbes &amp; Warnock (2012) ascribe to “global risk”, we base the global factor in our first-stage regression not only on the US but instead on a weighted combination of the US, Eurozone countries and Japan. This not only captures “global” risks better but also takes into account that there could be contagion through geography.</w:t>
      </w:r>
    </w:p>
  </w:footnote>
  <w:footnote w:id="2">
    <w:p w14:paraId="665E863F" w14:textId="62B90553" w:rsidR="00A257EC" w:rsidRPr="00234D27" w:rsidRDefault="00A257EC" w:rsidP="003B7536">
      <w:pPr>
        <w:pStyle w:val="FootnoteText"/>
      </w:pPr>
      <w:r>
        <w:rPr>
          <w:rStyle w:val="FootnoteReference"/>
        </w:rPr>
        <w:footnoteRef/>
      </w:r>
      <w:r>
        <w:t xml:space="preserve"> The 30 countries are what we refer to as the “full” sample. See </w:t>
      </w:r>
      <w:r>
        <w:fldChar w:fldCharType="begin"/>
      </w:r>
      <w:r>
        <w:instrText xml:space="preserve"> REF _Ref51843096 \h </w:instrText>
      </w:r>
      <w:r>
        <w:fldChar w:fldCharType="separate"/>
      </w:r>
      <w:r w:rsidRPr="009D0FDD">
        <w:t xml:space="preserve">Table </w:t>
      </w:r>
      <w:r>
        <w:rPr>
          <w:noProof/>
        </w:rPr>
        <w:t>1</w:t>
      </w:r>
      <w:r>
        <w:fldChar w:fldCharType="end"/>
      </w:r>
      <w:r>
        <w:t xml:space="preserve"> for a list of these countries. </w:t>
      </w:r>
    </w:p>
  </w:footnote>
  <w:footnote w:id="3">
    <w:p w14:paraId="0BC619FD" w14:textId="2E756960" w:rsidR="00A257EC" w:rsidRPr="00496B69" w:rsidRDefault="00A257EC">
      <w:pPr>
        <w:pStyle w:val="FootnoteText"/>
      </w:pPr>
      <w:r>
        <w:rPr>
          <w:rStyle w:val="FootnoteReference"/>
        </w:rPr>
        <w:footnoteRef/>
      </w:r>
      <w:r>
        <w:t xml:space="preserve"> The CDS data for Luxemburg was not available.</w:t>
      </w:r>
    </w:p>
  </w:footnote>
  <w:footnote w:id="4">
    <w:p w14:paraId="7B3AD482" w14:textId="57C2E707" w:rsidR="00A257EC" w:rsidRPr="009643C1" w:rsidRDefault="00A257EC" w:rsidP="00446018">
      <w:pPr>
        <w:pStyle w:val="FootnoteText"/>
      </w:pPr>
      <w:r>
        <w:rPr>
          <w:rStyle w:val="FootnoteReference"/>
        </w:rPr>
        <w:footnoteRef/>
      </w:r>
      <w:r>
        <w:t xml:space="preserve"> The weighting of countries for the global factor is based on 2019 GDP. This results in the following weights: US 53.9%, Japan 12.8%, Eurozone 33.3%. See </w:t>
      </w:r>
      <w:r>
        <w:fldChar w:fldCharType="begin"/>
      </w:r>
      <w:r>
        <w:instrText xml:space="preserve"> REF _Ref51843134 \h </w:instrText>
      </w:r>
      <w:r>
        <w:fldChar w:fldCharType="separate"/>
      </w:r>
      <w:r>
        <w:t xml:space="preserve">Table </w:t>
      </w:r>
      <w:r>
        <w:rPr>
          <w:noProof/>
        </w:rPr>
        <w:t>2</w:t>
      </w:r>
      <w:r>
        <w:fldChar w:fldCharType="end"/>
      </w:r>
      <w:r>
        <w:t xml:space="preserve"> for an overview. </w:t>
      </w:r>
    </w:p>
  </w:footnote>
  <w:footnote w:id="5">
    <w:p w14:paraId="1D6A3EDE" w14:textId="64E3067A" w:rsidR="00A257EC" w:rsidRPr="00872272" w:rsidRDefault="00A257EC" w:rsidP="00872272">
      <w:pPr>
        <w:pStyle w:val="FootnoteText"/>
      </w:pPr>
      <w:r>
        <w:rPr>
          <w:rStyle w:val="FootnoteReference"/>
        </w:rPr>
        <w:footnoteRef/>
      </w:r>
      <w:r>
        <w:t xml:space="preserve"> </w:t>
      </w:r>
      <w:r w:rsidRPr="00872272">
        <w:t>Facing visible strain in dollar funding markets during the Covid-19</w:t>
      </w:r>
      <w:r>
        <w:t xml:space="preserve"> </w:t>
      </w:r>
      <w:r w:rsidRPr="00872272">
        <w:t xml:space="preserve">pandemic, the </w:t>
      </w:r>
      <w:r>
        <w:t>FED</w:t>
      </w:r>
      <w:r w:rsidRPr="00872272">
        <w:t xml:space="preserve"> lowered the rate on the swap lines it had with five othe</w:t>
      </w:r>
      <w:r>
        <w:t xml:space="preserve">r </w:t>
      </w:r>
      <w:r w:rsidRPr="00872272">
        <w:t>central banks, and opened new ones in nine other currencies: On 19 March 2020, the F</w:t>
      </w:r>
      <w:r>
        <w:t>ED</w:t>
      </w:r>
      <w:r w:rsidRPr="00872272">
        <w:t xml:space="preserve"> created new swap line arrangements with nine other countries: Australia, Brazil, Mexico, Denmark, Korea, Norway, New</w:t>
      </w:r>
      <w:r>
        <w:t xml:space="preserve"> </w:t>
      </w:r>
      <w:r w:rsidRPr="00872272">
        <w:t>Zealand, Singapore, and Sweden. Amongst these, as of 31 March</w:t>
      </w:r>
      <w:r>
        <w:t xml:space="preserve"> 2020</w:t>
      </w:r>
      <w:r w:rsidRPr="00872272">
        <w:t xml:space="preserve">, the central banks of Sweden, Norway, Denmark and Singapore were the only banks to have completed a dollar swap line operation. Thus, no emerging market country has accessed a swap </w:t>
      </w:r>
      <w:r>
        <w:t>line.</w:t>
      </w:r>
    </w:p>
  </w:footnote>
  <w:footnote w:id="6">
    <w:p w14:paraId="0536694C" w14:textId="2855D8E3" w:rsidR="00A257EC" w:rsidRPr="009F50C4" w:rsidRDefault="00A257EC" w:rsidP="009F50C4">
      <w:r>
        <w:rPr>
          <w:rStyle w:val="FootnoteReference"/>
        </w:rPr>
        <w:footnoteRef/>
      </w:r>
      <w:r>
        <w:t xml:space="preserve"> </w:t>
      </w:r>
      <w:r w:rsidRPr="009F50C4">
        <w:rPr>
          <w:sz w:val="20"/>
          <w:szCs w:val="20"/>
        </w:rPr>
        <w:t>Rapid Financing Instrument. Approved rapid financing instrument from the IMF as share of recipient country’s GDP. Because no RFI was announced/approved in March 2020, this variable will not show up in the panel regression.</w:t>
      </w:r>
    </w:p>
  </w:footnote>
  <w:footnote w:id="7">
    <w:p w14:paraId="169B4BA7" w14:textId="581D99E1" w:rsidR="00A257EC" w:rsidRPr="0024734C" w:rsidRDefault="00A257EC" w:rsidP="00FB73F5">
      <w:r>
        <w:rPr>
          <w:rStyle w:val="FootnoteReference"/>
        </w:rPr>
        <w:footnoteRef/>
      </w:r>
      <w:r>
        <w:t xml:space="preserve"> </w:t>
      </w:r>
      <w:r w:rsidRPr="00852DDB">
        <w:rPr>
          <w:sz w:val="20"/>
          <w:szCs w:val="20"/>
        </w:rPr>
        <w:t>In order to capture key policy announcements, we aggregated a set of variables from numerous datasets for a set of key fiscal, monetary, and miscellaneous policies, across individual countries, the European Central Bank, and the Federal Reserve. These variables captured whether or not an action or proposal was made by a given nation/institution on a specific date in the sample. Thus, we did not control for the size or number of policies on any given day, and only if the date corresponded with the announcement of at least one key policy. With the exception of the Federal Reserve (whose major announcements related to reductions in the interest rate along with fiscal spending), we restricted our analysis of key fiscal policies to those which provided “millions” or “</w:t>
      </w:r>
      <w:proofErr w:type="gramStart"/>
      <w:r w:rsidRPr="00852DDB">
        <w:rPr>
          <w:sz w:val="20"/>
          <w:szCs w:val="20"/>
        </w:rPr>
        <w:t>billions”</w:t>
      </w:r>
      <w:proofErr w:type="gramEnd"/>
      <w:r w:rsidRPr="00852DDB">
        <w:rPr>
          <w:sz w:val="20"/>
          <w:szCs w:val="20"/>
        </w:rPr>
        <w:t xml:space="preserve"> of local currency units in spending.</w:t>
      </w:r>
      <w:r>
        <w:rPr>
          <w:rFonts w:ascii="TimesNewRomanPSMT" w:hAnsi="TimesNewRomanPSMT"/>
        </w:rPr>
        <w:t xml:space="preserve"> </w:t>
      </w:r>
    </w:p>
  </w:footnote>
  <w:footnote w:id="8">
    <w:p w14:paraId="11A8D2D7" w14:textId="37F82775" w:rsidR="00A257EC" w:rsidRDefault="00A257EC" w:rsidP="00FB73F5">
      <w:r>
        <w:rPr>
          <w:rStyle w:val="FootnoteReference"/>
        </w:rPr>
        <w:footnoteRef/>
      </w:r>
      <w:r>
        <w:t xml:space="preserve"> </w:t>
      </w:r>
      <w:r w:rsidRPr="00852DDB">
        <w:rPr>
          <w:sz w:val="20"/>
          <w:szCs w:val="20"/>
        </w:rPr>
        <w:t xml:space="preserve">The primary data sources used to construct these policy announcement variables are listed here and in our </w:t>
      </w:r>
      <w:r>
        <w:rPr>
          <w:sz w:val="20"/>
          <w:szCs w:val="20"/>
        </w:rPr>
        <w:t xml:space="preserve">online </w:t>
      </w:r>
      <w:r w:rsidRPr="00852DDB">
        <w:rPr>
          <w:sz w:val="20"/>
          <w:szCs w:val="20"/>
        </w:rPr>
        <w:t xml:space="preserve">references: Yale COVID-19 Financial Response Tracker; Harvard Global Policy Tracker; Bruegel COVID-19 National Dataset; IMF Policy Responses to COVID-19; and the St. Louis Federal Reserve. </w:t>
      </w:r>
    </w:p>
    <w:p w14:paraId="1EF0220B" w14:textId="14AD4685" w:rsidR="00A257EC" w:rsidRPr="00FB73F5" w:rsidRDefault="00A257EC">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522EF"/>
    <w:multiLevelType w:val="hybridMultilevel"/>
    <w:tmpl w:val="C0C24C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D7342B"/>
    <w:multiLevelType w:val="hybridMultilevel"/>
    <w:tmpl w:val="AFDADF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647D7F"/>
    <w:multiLevelType w:val="multilevel"/>
    <w:tmpl w:val="AEC696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260557D1"/>
    <w:multiLevelType w:val="multilevel"/>
    <w:tmpl w:val="7A14D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AFD44CC"/>
    <w:multiLevelType w:val="multilevel"/>
    <w:tmpl w:val="0809001D"/>
    <w:styleLink w:val="TimoHeader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444A0403"/>
    <w:multiLevelType w:val="multilevel"/>
    <w:tmpl w:val="50622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418650A"/>
    <w:multiLevelType w:val="multilevel"/>
    <w:tmpl w:val="1D2A5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6854E4B"/>
    <w:multiLevelType w:val="multilevel"/>
    <w:tmpl w:val="D3FABCEC"/>
    <w:styleLink w:val="TimoHeader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6C582980"/>
    <w:multiLevelType w:val="multilevel"/>
    <w:tmpl w:val="84C2AE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6D5065D5"/>
    <w:multiLevelType w:val="multilevel"/>
    <w:tmpl w:val="ADA06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77505B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7"/>
  </w:num>
  <w:num w:numId="2">
    <w:abstractNumId w:val="4"/>
  </w:num>
  <w:num w:numId="3">
    <w:abstractNumId w:val="10"/>
  </w:num>
  <w:num w:numId="4">
    <w:abstractNumId w:val="10"/>
  </w:num>
  <w:num w:numId="5">
    <w:abstractNumId w:val="10"/>
  </w:num>
  <w:num w:numId="6">
    <w:abstractNumId w:val="2"/>
  </w:num>
  <w:num w:numId="7">
    <w:abstractNumId w:val="8"/>
  </w:num>
  <w:num w:numId="8">
    <w:abstractNumId w:val="10"/>
  </w:num>
  <w:num w:numId="9">
    <w:abstractNumId w:val="10"/>
  </w:num>
  <w:num w:numId="10">
    <w:abstractNumId w:val="10"/>
  </w:num>
  <w:num w:numId="11">
    <w:abstractNumId w:val="1"/>
  </w:num>
  <w:num w:numId="12">
    <w:abstractNumId w:val="10"/>
  </w:num>
  <w:num w:numId="13">
    <w:abstractNumId w:val="10"/>
  </w:num>
  <w:num w:numId="14">
    <w:abstractNumId w:val="0"/>
  </w:num>
  <w:num w:numId="15">
    <w:abstractNumId w:val="10"/>
  </w:num>
  <w:num w:numId="16">
    <w:abstractNumId w:val="10"/>
  </w:num>
  <w:num w:numId="17">
    <w:abstractNumId w:val="9"/>
  </w:num>
  <w:num w:numId="18">
    <w:abstractNumId w:val="3"/>
  </w:num>
  <w:num w:numId="19">
    <w:abstractNumId w:val="5"/>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60BC"/>
    <w:rsid w:val="00007200"/>
    <w:rsid w:val="000176EC"/>
    <w:rsid w:val="00022C3D"/>
    <w:rsid w:val="00041B93"/>
    <w:rsid w:val="000512CF"/>
    <w:rsid w:val="00057062"/>
    <w:rsid w:val="0008240D"/>
    <w:rsid w:val="0008399B"/>
    <w:rsid w:val="00084687"/>
    <w:rsid w:val="0009679F"/>
    <w:rsid w:val="000A3EFC"/>
    <w:rsid w:val="000B2A0A"/>
    <w:rsid w:val="000C1224"/>
    <w:rsid w:val="000F0198"/>
    <w:rsid w:val="000F1D42"/>
    <w:rsid w:val="000F46E4"/>
    <w:rsid w:val="000F6402"/>
    <w:rsid w:val="001063A1"/>
    <w:rsid w:val="00107D33"/>
    <w:rsid w:val="0011230C"/>
    <w:rsid w:val="00122FA7"/>
    <w:rsid w:val="00134A40"/>
    <w:rsid w:val="00135168"/>
    <w:rsid w:val="001433EB"/>
    <w:rsid w:val="00150BEF"/>
    <w:rsid w:val="0015638B"/>
    <w:rsid w:val="001707A6"/>
    <w:rsid w:val="001749AE"/>
    <w:rsid w:val="00185507"/>
    <w:rsid w:val="0019050E"/>
    <w:rsid w:val="001A36B5"/>
    <w:rsid w:val="001B105E"/>
    <w:rsid w:val="001C091D"/>
    <w:rsid w:val="001D198C"/>
    <w:rsid w:val="001F5809"/>
    <w:rsid w:val="0020563B"/>
    <w:rsid w:val="00213329"/>
    <w:rsid w:val="0021794C"/>
    <w:rsid w:val="00217B61"/>
    <w:rsid w:val="002211D0"/>
    <w:rsid w:val="00222B74"/>
    <w:rsid w:val="002267CD"/>
    <w:rsid w:val="00234D27"/>
    <w:rsid w:val="00243BEE"/>
    <w:rsid w:val="0024734C"/>
    <w:rsid w:val="00254381"/>
    <w:rsid w:val="00255B4C"/>
    <w:rsid w:val="00266DA8"/>
    <w:rsid w:val="00272848"/>
    <w:rsid w:val="00277FB1"/>
    <w:rsid w:val="00291ABA"/>
    <w:rsid w:val="002A2C95"/>
    <w:rsid w:val="002B3232"/>
    <w:rsid w:val="002C2240"/>
    <w:rsid w:val="002D1511"/>
    <w:rsid w:val="002E5AA8"/>
    <w:rsid w:val="002F4842"/>
    <w:rsid w:val="0030447F"/>
    <w:rsid w:val="003046EF"/>
    <w:rsid w:val="003102A0"/>
    <w:rsid w:val="00332A01"/>
    <w:rsid w:val="00334677"/>
    <w:rsid w:val="00347B87"/>
    <w:rsid w:val="00354FC8"/>
    <w:rsid w:val="003568D8"/>
    <w:rsid w:val="00362797"/>
    <w:rsid w:val="00362A5F"/>
    <w:rsid w:val="00366094"/>
    <w:rsid w:val="00376D53"/>
    <w:rsid w:val="00391061"/>
    <w:rsid w:val="00395D20"/>
    <w:rsid w:val="003A0ECB"/>
    <w:rsid w:val="003A66DF"/>
    <w:rsid w:val="003B7536"/>
    <w:rsid w:val="003C411C"/>
    <w:rsid w:val="003E3AF6"/>
    <w:rsid w:val="00407C92"/>
    <w:rsid w:val="00413542"/>
    <w:rsid w:val="0043121A"/>
    <w:rsid w:val="00431AF7"/>
    <w:rsid w:val="0044331E"/>
    <w:rsid w:val="00446018"/>
    <w:rsid w:val="004460BC"/>
    <w:rsid w:val="004562CA"/>
    <w:rsid w:val="00473A37"/>
    <w:rsid w:val="00487307"/>
    <w:rsid w:val="0048796F"/>
    <w:rsid w:val="0049021A"/>
    <w:rsid w:val="00491848"/>
    <w:rsid w:val="00496B69"/>
    <w:rsid w:val="004B1F9D"/>
    <w:rsid w:val="004B7DE8"/>
    <w:rsid w:val="004C46EE"/>
    <w:rsid w:val="004C4D7E"/>
    <w:rsid w:val="004C6AE3"/>
    <w:rsid w:val="004C7538"/>
    <w:rsid w:val="004D7ED2"/>
    <w:rsid w:val="004E61D0"/>
    <w:rsid w:val="00501823"/>
    <w:rsid w:val="00503FB9"/>
    <w:rsid w:val="0050472F"/>
    <w:rsid w:val="00504CFF"/>
    <w:rsid w:val="00507CED"/>
    <w:rsid w:val="0051263E"/>
    <w:rsid w:val="00512DA3"/>
    <w:rsid w:val="00513671"/>
    <w:rsid w:val="00524C8D"/>
    <w:rsid w:val="005502FA"/>
    <w:rsid w:val="0055207D"/>
    <w:rsid w:val="00556687"/>
    <w:rsid w:val="005633E3"/>
    <w:rsid w:val="00564D4D"/>
    <w:rsid w:val="00565374"/>
    <w:rsid w:val="005653D6"/>
    <w:rsid w:val="0057657F"/>
    <w:rsid w:val="00586264"/>
    <w:rsid w:val="005B0F13"/>
    <w:rsid w:val="005B3CB6"/>
    <w:rsid w:val="005B6509"/>
    <w:rsid w:val="005C2DEC"/>
    <w:rsid w:val="005E0EDE"/>
    <w:rsid w:val="005E11EC"/>
    <w:rsid w:val="005E305D"/>
    <w:rsid w:val="005E3813"/>
    <w:rsid w:val="005F07E2"/>
    <w:rsid w:val="005F37DC"/>
    <w:rsid w:val="00600C94"/>
    <w:rsid w:val="00604C67"/>
    <w:rsid w:val="00604FB5"/>
    <w:rsid w:val="00612DDD"/>
    <w:rsid w:val="0062042B"/>
    <w:rsid w:val="00626FE2"/>
    <w:rsid w:val="00634980"/>
    <w:rsid w:val="00656AFC"/>
    <w:rsid w:val="006615C3"/>
    <w:rsid w:val="006702A7"/>
    <w:rsid w:val="006706FD"/>
    <w:rsid w:val="0067137D"/>
    <w:rsid w:val="00672BE8"/>
    <w:rsid w:val="00673748"/>
    <w:rsid w:val="00677884"/>
    <w:rsid w:val="00686CF6"/>
    <w:rsid w:val="00687D73"/>
    <w:rsid w:val="00687F45"/>
    <w:rsid w:val="00693BE2"/>
    <w:rsid w:val="006A3375"/>
    <w:rsid w:val="006B4ED9"/>
    <w:rsid w:val="006D0DAE"/>
    <w:rsid w:val="006D22E5"/>
    <w:rsid w:val="006D49D9"/>
    <w:rsid w:val="006D7D10"/>
    <w:rsid w:val="006E25AE"/>
    <w:rsid w:val="006E5860"/>
    <w:rsid w:val="006F072E"/>
    <w:rsid w:val="00700DB5"/>
    <w:rsid w:val="007052DC"/>
    <w:rsid w:val="00712848"/>
    <w:rsid w:val="00712F79"/>
    <w:rsid w:val="007154FC"/>
    <w:rsid w:val="007272CF"/>
    <w:rsid w:val="007272DB"/>
    <w:rsid w:val="00727DEF"/>
    <w:rsid w:val="007317F4"/>
    <w:rsid w:val="0073548B"/>
    <w:rsid w:val="00762A5B"/>
    <w:rsid w:val="0077299B"/>
    <w:rsid w:val="00773CC8"/>
    <w:rsid w:val="00780E7C"/>
    <w:rsid w:val="007922B8"/>
    <w:rsid w:val="00795637"/>
    <w:rsid w:val="007B1B20"/>
    <w:rsid w:val="007B20AF"/>
    <w:rsid w:val="007B20C3"/>
    <w:rsid w:val="007B63D9"/>
    <w:rsid w:val="007B7651"/>
    <w:rsid w:val="007C3E73"/>
    <w:rsid w:val="007D76F5"/>
    <w:rsid w:val="007E347A"/>
    <w:rsid w:val="007E4E46"/>
    <w:rsid w:val="00805495"/>
    <w:rsid w:val="0082424C"/>
    <w:rsid w:val="00831CAB"/>
    <w:rsid w:val="008328B2"/>
    <w:rsid w:val="00834CF9"/>
    <w:rsid w:val="00852DDB"/>
    <w:rsid w:val="00860B19"/>
    <w:rsid w:val="00866B43"/>
    <w:rsid w:val="00872272"/>
    <w:rsid w:val="008814CF"/>
    <w:rsid w:val="008A1E68"/>
    <w:rsid w:val="008A6C43"/>
    <w:rsid w:val="008B17EF"/>
    <w:rsid w:val="008B79D5"/>
    <w:rsid w:val="008C1512"/>
    <w:rsid w:val="008D194A"/>
    <w:rsid w:val="008D2A38"/>
    <w:rsid w:val="008E4788"/>
    <w:rsid w:val="008F37A5"/>
    <w:rsid w:val="0090634F"/>
    <w:rsid w:val="00907E37"/>
    <w:rsid w:val="00937483"/>
    <w:rsid w:val="00941F69"/>
    <w:rsid w:val="0094309B"/>
    <w:rsid w:val="00945AF6"/>
    <w:rsid w:val="009571E7"/>
    <w:rsid w:val="009606D9"/>
    <w:rsid w:val="009643C1"/>
    <w:rsid w:val="009747CD"/>
    <w:rsid w:val="009A1F4D"/>
    <w:rsid w:val="009A20DE"/>
    <w:rsid w:val="009C2185"/>
    <w:rsid w:val="009C3DCA"/>
    <w:rsid w:val="009D0FDD"/>
    <w:rsid w:val="009D6AB1"/>
    <w:rsid w:val="009F254A"/>
    <w:rsid w:val="009F3BD9"/>
    <w:rsid w:val="009F50C4"/>
    <w:rsid w:val="00A0316C"/>
    <w:rsid w:val="00A1751A"/>
    <w:rsid w:val="00A21671"/>
    <w:rsid w:val="00A222C9"/>
    <w:rsid w:val="00A257EC"/>
    <w:rsid w:val="00A26E23"/>
    <w:rsid w:val="00A27197"/>
    <w:rsid w:val="00A416B0"/>
    <w:rsid w:val="00A439C9"/>
    <w:rsid w:val="00A4772A"/>
    <w:rsid w:val="00A64EAE"/>
    <w:rsid w:val="00A66A54"/>
    <w:rsid w:val="00A9493D"/>
    <w:rsid w:val="00AB115B"/>
    <w:rsid w:val="00AB4FC1"/>
    <w:rsid w:val="00AB7A1A"/>
    <w:rsid w:val="00AC07B0"/>
    <w:rsid w:val="00AC119D"/>
    <w:rsid w:val="00AC7F24"/>
    <w:rsid w:val="00AE1A67"/>
    <w:rsid w:val="00AE3FB3"/>
    <w:rsid w:val="00AF137B"/>
    <w:rsid w:val="00AF20CE"/>
    <w:rsid w:val="00AF313D"/>
    <w:rsid w:val="00B01669"/>
    <w:rsid w:val="00B03931"/>
    <w:rsid w:val="00B04F6B"/>
    <w:rsid w:val="00B10849"/>
    <w:rsid w:val="00B1406C"/>
    <w:rsid w:val="00B20CFE"/>
    <w:rsid w:val="00B42A08"/>
    <w:rsid w:val="00B57D52"/>
    <w:rsid w:val="00B57DB8"/>
    <w:rsid w:val="00B66820"/>
    <w:rsid w:val="00B72A89"/>
    <w:rsid w:val="00B76134"/>
    <w:rsid w:val="00B808C7"/>
    <w:rsid w:val="00B91314"/>
    <w:rsid w:val="00BA24F5"/>
    <w:rsid w:val="00BA4999"/>
    <w:rsid w:val="00BA66FC"/>
    <w:rsid w:val="00BE02D8"/>
    <w:rsid w:val="00BE4742"/>
    <w:rsid w:val="00BE75E4"/>
    <w:rsid w:val="00BF17D1"/>
    <w:rsid w:val="00BF6F36"/>
    <w:rsid w:val="00C074E3"/>
    <w:rsid w:val="00C1633F"/>
    <w:rsid w:val="00C16E80"/>
    <w:rsid w:val="00C17FC4"/>
    <w:rsid w:val="00C2608C"/>
    <w:rsid w:val="00C31FF6"/>
    <w:rsid w:val="00C327D5"/>
    <w:rsid w:val="00C32EA2"/>
    <w:rsid w:val="00C330D5"/>
    <w:rsid w:val="00C37B63"/>
    <w:rsid w:val="00C40613"/>
    <w:rsid w:val="00C41057"/>
    <w:rsid w:val="00C5014A"/>
    <w:rsid w:val="00C52D9E"/>
    <w:rsid w:val="00C55A6B"/>
    <w:rsid w:val="00C74E12"/>
    <w:rsid w:val="00C8490E"/>
    <w:rsid w:val="00C92135"/>
    <w:rsid w:val="00C945FA"/>
    <w:rsid w:val="00CA179D"/>
    <w:rsid w:val="00CA61D0"/>
    <w:rsid w:val="00CB21AA"/>
    <w:rsid w:val="00CB594F"/>
    <w:rsid w:val="00CE09CC"/>
    <w:rsid w:val="00CF7DD0"/>
    <w:rsid w:val="00D02381"/>
    <w:rsid w:val="00D03749"/>
    <w:rsid w:val="00D24894"/>
    <w:rsid w:val="00D3038C"/>
    <w:rsid w:val="00D333AA"/>
    <w:rsid w:val="00D44CC6"/>
    <w:rsid w:val="00D5048D"/>
    <w:rsid w:val="00D56019"/>
    <w:rsid w:val="00D63225"/>
    <w:rsid w:val="00D7617A"/>
    <w:rsid w:val="00D76916"/>
    <w:rsid w:val="00D8403F"/>
    <w:rsid w:val="00D919EA"/>
    <w:rsid w:val="00D96D1F"/>
    <w:rsid w:val="00D97BC8"/>
    <w:rsid w:val="00DB628A"/>
    <w:rsid w:val="00DC353E"/>
    <w:rsid w:val="00DC4C05"/>
    <w:rsid w:val="00DD226D"/>
    <w:rsid w:val="00DD46EE"/>
    <w:rsid w:val="00DD4E96"/>
    <w:rsid w:val="00DD6AA9"/>
    <w:rsid w:val="00E06886"/>
    <w:rsid w:val="00E21ADC"/>
    <w:rsid w:val="00E24397"/>
    <w:rsid w:val="00E245E9"/>
    <w:rsid w:val="00E33DB5"/>
    <w:rsid w:val="00E363B7"/>
    <w:rsid w:val="00E40003"/>
    <w:rsid w:val="00E40E33"/>
    <w:rsid w:val="00E4358B"/>
    <w:rsid w:val="00E55EA5"/>
    <w:rsid w:val="00E66ADD"/>
    <w:rsid w:val="00E74D82"/>
    <w:rsid w:val="00E771B5"/>
    <w:rsid w:val="00E8316B"/>
    <w:rsid w:val="00E83A01"/>
    <w:rsid w:val="00E862EB"/>
    <w:rsid w:val="00E91463"/>
    <w:rsid w:val="00EA0D1F"/>
    <w:rsid w:val="00EB04C7"/>
    <w:rsid w:val="00EB4260"/>
    <w:rsid w:val="00ED0ED9"/>
    <w:rsid w:val="00ED3E41"/>
    <w:rsid w:val="00ED54E0"/>
    <w:rsid w:val="00ED6AB5"/>
    <w:rsid w:val="00EE1B5E"/>
    <w:rsid w:val="00EE3458"/>
    <w:rsid w:val="00EE412A"/>
    <w:rsid w:val="00EE42B2"/>
    <w:rsid w:val="00EE68E6"/>
    <w:rsid w:val="00F00363"/>
    <w:rsid w:val="00F03B5A"/>
    <w:rsid w:val="00F10B16"/>
    <w:rsid w:val="00F16680"/>
    <w:rsid w:val="00F57364"/>
    <w:rsid w:val="00F626E6"/>
    <w:rsid w:val="00F62D21"/>
    <w:rsid w:val="00F63B45"/>
    <w:rsid w:val="00F670D6"/>
    <w:rsid w:val="00F76541"/>
    <w:rsid w:val="00F774F1"/>
    <w:rsid w:val="00F92242"/>
    <w:rsid w:val="00F968C9"/>
    <w:rsid w:val="00FA20B8"/>
    <w:rsid w:val="00FA6E3B"/>
    <w:rsid w:val="00FB22E2"/>
    <w:rsid w:val="00FB3214"/>
    <w:rsid w:val="00FB73F5"/>
    <w:rsid w:val="00FC2364"/>
    <w:rsid w:val="00FC77A1"/>
    <w:rsid w:val="00FD7049"/>
    <w:rsid w:val="00FE4F3F"/>
    <w:rsid w:val="00FE62AF"/>
    <w:rsid w:val="00FE62B5"/>
    <w:rsid w:val="00FE6A85"/>
    <w:rsid w:val="00FF390E"/>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044314"/>
  <w15:chartTrackingRefBased/>
  <w15:docId w15:val="{29FFE926-DAD0-1E4D-93C8-1A1FB804C1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6E80"/>
    <w:rPr>
      <w:rFonts w:eastAsia="Times New Roman" w:cs="Times New Roman"/>
      <w:lang w:eastAsia="en-GB"/>
    </w:rPr>
  </w:style>
  <w:style w:type="paragraph" w:styleId="Heading1">
    <w:name w:val="heading 1"/>
    <w:basedOn w:val="Normal"/>
    <w:next w:val="Normal"/>
    <w:link w:val="Heading1Char"/>
    <w:uiPriority w:val="9"/>
    <w:qFormat/>
    <w:rsid w:val="00BE75E4"/>
    <w:pPr>
      <w:keepNext/>
      <w:keepLines/>
      <w:numPr>
        <w:numId w:val="3"/>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57D52"/>
    <w:pPr>
      <w:keepNext/>
      <w:keepLines/>
      <w:numPr>
        <w:ilvl w:val="1"/>
        <w:numId w:val="3"/>
      </w:numPr>
      <w:spacing w:before="240" w:after="120"/>
      <w:ind w:left="578" w:hanging="578"/>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B7536"/>
    <w:pPr>
      <w:keepNext/>
      <w:keepLines/>
      <w:numPr>
        <w:ilvl w:val="2"/>
        <w:numId w:val="3"/>
      </w:numPr>
      <w:spacing w:before="360" w:after="2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BE75E4"/>
    <w:pPr>
      <w:keepNext/>
      <w:keepLines/>
      <w:numPr>
        <w:ilvl w:val="3"/>
        <w:numId w:val="3"/>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E75E4"/>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E75E4"/>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E75E4"/>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E75E4"/>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E75E4"/>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TimoHeader1">
    <w:name w:val="TimoHeader1"/>
    <w:uiPriority w:val="99"/>
    <w:rsid w:val="004C46EE"/>
    <w:pPr>
      <w:numPr>
        <w:numId w:val="1"/>
      </w:numPr>
    </w:pPr>
  </w:style>
  <w:style w:type="numbering" w:customStyle="1" w:styleId="TimoHeader2">
    <w:name w:val="TimoHeader2"/>
    <w:uiPriority w:val="99"/>
    <w:rsid w:val="004C46EE"/>
    <w:pPr>
      <w:numPr>
        <w:numId w:val="2"/>
      </w:numPr>
    </w:pPr>
  </w:style>
  <w:style w:type="character" w:customStyle="1" w:styleId="Heading1Char">
    <w:name w:val="Heading 1 Char"/>
    <w:basedOn w:val="DefaultParagraphFont"/>
    <w:link w:val="Heading1"/>
    <w:uiPriority w:val="9"/>
    <w:rsid w:val="00BE75E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57D5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B7536"/>
    <w:rPr>
      <w:rFonts w:asciiTheme="majorHAnsi" w:eastAsiaTheme="majorEastAsia" w:hAnsiTheme="majorHAnsi" w:cstheme="majorBidi"/>
      <w:color w:val="1F3763" w:themeColor="accent1" w:themeShade="7F"/>
      <w:lang w:eastAsia="en-GB"/>
    </w:rPr>
  </w:style>
  <w:style w:type="character" w:customStyle="1" w:styleId="Heading4Char">
    <w:name w:val="Heading 4 Char"/>
    <w:basedOn w:val="DefaultParagraphFont"/>
    <w:link w:val="Heading4"/>
    <w:uiPriority w:val="9"/>
    <w:rsid w:val="00BE75E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BE75E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E75E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E75E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E75E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E75E4"/>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BE75E4"/>
    <w:rPr>
      <w:color w:val="0563C1" w:themeColor="hyperlink"/>
      <w:u w:val="single"/>
    </w:rPr>
  </w:style>
  <w:style w:type="character" w:customStyle="1" w:styleId="UnresolvedMention1">
    <w:name w:val="Unresolved Mention1"/>
    <w:basedOn w:val="DefaultParagraphFont"/>
    <w:uiPriority w:val="99"/>
    <w:semiHidden/>
    <w:unhideWhenUsed/>
    <w:rsid w:val="0055207D"/>
    <w:rPr>
      <w:color w:val="605E5C"/>
      <w:shd w:val="clear" w:color="auto" w:fill="E1DFDD"/>
    </w:rPr>
  </w:style>
  <w:style w:type="paragraph" w:styleId="NormalWeb">
    <w:name w:val="Normal (Web)"/>
    <w:basedOn w:val="Normal"/>
    <w:uiPriority w:val="99"/>
    <w:unhideWhenUsed/>
    <w:rsid w:val="001B105E"/>
    <w:pPr>
      <w:spacing w:before="100" w:beforeAutospacing="1" w:after="100" w:afterAutospacing="1"/>
    </w:pPr>
    <w:rPr>
      <w:rFonts w:ascii="Times New Roman" w:hAnsi="Times New Roman"/>
    </w:rPr>
  </w:style>
  <w:style w:type="paragraph" w:styleId="NoSpacing">
    <w:name w:val="No Spacing"/>
    <w:uiPriority w:val="1"/>
    <w:qFormat/>
    <w:rsid w:val="00501823"/>
  </w:style>
  <w:style w:type="paragraph" w:styleId="IntenseQuote">
    <w:name w:val="Intense Quote"/>
    <w:basedOn w:val="Normal"/>
    <w:next w:val="Normal"/>
    <w:link w:val="IntenseQuoteChar"/>
    <w:uiPriority w:val="30"/>
    <w:qFormat/>
    <w:rsid w:val="0050182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01823"/>
    <w:rPr>
      <w:i/>
      <w:iCs/>
      <w:color w:val="4472C4" w:themeColor="accent1"/>
    </w:rPr>
  </w:style>
  <w:style w:type="paragraph" w:styleId="Quote">
    <w:name w:val="Quote"/>
    <w:basedOn w:val="Normal"/>
    <w:next w:val="Normal"/>
    <w:link w:val="QuoteChar"/>
    <w:uiPriority w:val="29"/>
    <w:qFormat/>
    <w:rsid w:val="00501823"/>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01823"/>
    <w:rPr>
      <w:i/>
      <w:iCs/>
      <w:color w:val="404040" w:themeColor="text1" w:themeTint="BF"/>
    </w:rPr>
  </w:style>
  <w:style w:type="character" w:styleId="Emphasis">
    <w:name w:val="Emphasis"/>
    <w:basedOn w:val="DefaultParagraphFont"/>
    <w:uiPriority w:val="20"/>
    <w:qFormat/>
    <w:rsid w:val="00501823"/>
    <w:rPr>
      <w:i/>
      <w:iCs/>
    </w:rPr>
  </w:style>
  <w:style w:type="character" w:customStyle="1" w:styleId="apple-converted-space">
    <w:name w:val="apple-converted-space"/>
    <w:basedOn w:val="DefaultParagraphFont"/>
    <w:rsid w:val="00501823"/>
  </w:style>
  <w:style w:type="paragraph" w:styleId="Caption">
    <w:name w:val="caption"/>
    <w:basedOn w:val="Normal"/>
    <w:next w:val="Normal"/>
    <w:uiPriority w:val="35"/>
    <w:unhideWhenUsed/>
    <w:qFormat/>
    <w:rsid w:val="00D76916"/>
    <w:pPr>
      <w:spacing w:after="200"/>
    </w:pPr>
    <w:rPr>
      <w:i/>
      <w:iCs/>
      <w:color w:val="44546A" w:themeColor="text2"/>
      <w:sz w:val="18"/>
      <w:szCs w:val="18"/>
    </w:rPr>
  </w:style>
  <w:style w:type="paragraph" w:styleId="FootnoteText">
    <w:name w:val="footnote text"/>
    <w:basedOn w:val="Normal"/>
    <w:link w:val="FootnoteTextChar"/>
    <w:uiPriority w:val="99"/>
    <w:unhideWhenUsed/>
    <w:rsid w:val="00DC353E"/>
    <w:rPr>
      <w:sz w:val="20"/>
      <w:szCs w:val="20"/>
    </w:rPr>
  </w:style>
  <w:style w:type="character" w:customStyle="1" w:styleId="FootnoteTextChar">
    <w:name w:val="Footnote Text Char"/>
    <w:basedOn w:val="DefaultParagraphFont"/>
    <w:link w:val="FootnoteText"/>
    <w:uiPriority w:val="99"/>
    <w:rsid w:val="00DC353E"/>
    <w:rPr>
      <w:sz w:val="20"/>
      <w:szCs w:val="20"/>
    </w:rPr>
  </w:style>
  <w:style w:type="character" w:styleId="FootnoteReference">
    <w:name w:val="footnote reference"/>
    <w:basedOn w:val="DefaultParagraphFont"/>
    <w:uiPriority w:val="99"/>
    <w:semiHidden/>
    <w:unhideWhenUsed/>
    <w:rsid w:val="00DC353E"/>
    <w:rPr>
      <w:vertAlign w:val="superscript"/>
    </w:rPr>
  </w:style>
  <w:style w:type="paragraph" w:styleId="ListParagraph">
    <w:name w:val="List Paragraph"/>
    <w:basedOn w:val="Normal"/>
    <w:uiPriority w:val="34"/>
    <w:qFormat/>
    <w:rsid w:val="00C32EA2"/>
    <w:pPr>
      <w:ind w:left="720"/>
      <w:contextualSpacing/>
    </w:pPr>
  </w:style>
  <w:style w:type="character" w:styleId="PlaceholderText">
    <w:name w:val="Placeholder Text"/>
    <w:basedOn w:val="DefaultParagraphFont"/>
    <w:uiPriority w:val="99"/>
    <w:semiHidden/>
    <w:rsid w:val="00E771B5"/>
    <w:rPr>
      <w:color w:val="808080"/>
    </w:rPr>
  </w:style>
  <w:style w:type="paragraph" w:styleId="Subtitle">
    <w:name w:val="Subtitle"/>
    <w:basedOn w:val="Normal"/>
    <w:next w:val="Normal"/>
    <w:link w:val="SubtitleChar"/>
    <w:uiPriority w:val="11"/>
    <w:qFormat/>
    <w:rsid w:val="00E33DB5"/>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E33DB5"/>
    <w:rPr>
      <w:rFonts w:eastAsiaTheme="minorEastAsia"/>
      <w:color w:val="5A5A5A" w:themeColor="text1" w:themeTint="A5"/>
      <w:spacing w:val="15"/>
      <w:sz w:val="22"/>
      <w:szCs w:val="22"/>
    </w:rPr>
  </w:style>
  <w:style w:type="paragraph" w:styleId="TOCHeading">
    <w:name w:val="TOC Heading"/>
    <w:basedOn w:val="Heading1"/>
    <w:next w:val="Normal"/>
    <w:uiPriority w:val="39"/>
    <w:unhideWhenUsed/>
    <w:qFormat/>
    <w:rsid w:val="00B57D52"/>
    <w:pPr>
      <w:numPr>
        <w:numId w:val="0"/>
      </w:numPr>
      <w:spacing w:before="480" w:line="276" w:lineRule="auto"/>
      <w:outlineLvl w:val="9"/>
    </w:pPr>
    <w:rPr>
      <w:b/>
      <w:bCs/>
      <w:sz w:val="28"/>
      <w:szCs w:val="28"/>
    </w:rPr>
  </w:style>
  <w:style w:type="paragraph" w:styleId="TOC1">
    <w:name w:val="toc 1"/>
    <w:basedOn w:val="Normal"/>
    <w:next w:val="Normal"/>
    <w:autoRedefine/>
    <w:uiPriority w:val="39"/>
    <w:unhideWhenUsed/>
    <w:rsid w:val="00B57D52"/>
    <w:pPr>
      <w:spacing w:before="120"/>
    </w:pPr>
    <w:rPr>
      <w:rFonts w:cstheme="minorHAnsi"/>
      <w:b/>
      <w:bCs/>
      <w:i/>
      <w:iCs/>
    </w:rPr>
  </w:style>
  <w:style w:type="paragraph" w:styleId="TOC2">
    <w:name w:val="toc 2"/>
    <w:basedOn w:val="Normal"/>
    <w:next w:val="Normal"/>
    <w:autoRedefine/>
    <w:uiPriority w:val="39"/>
    <w:unhideWhenUsed/>
    <w:rsid w:val="00B57D52"/>
    <w:pPr>
      <w:spacing w:before="120"/>
      <w:ind w:left="240"/>
    </w:pPr>
    <w:rPr>
      <w:rFonts w:cstheme="minorHAnsi"/>
      <w:b/>
      <w:bCs/>
      <w:sz w:val="22"/>
      <w:szCs w:val="22"/>
    </w:rPr>
  </w:style>
  <w:style w:type="paragraph" w:styleId="TOC3">
    <w:name w:val="toc 3"/>
    <w:basedOn w:val="Normal"/>
    <w:next w:val="Normal"/>
    <w:autoRedefine/>
    <w:uiPriority w:val="39"/>
    <w:unhideWhenUsed/>
    <w:rsid w:val="00B57D52"/>
    <w:pPr>
      <w:ind w:left="480"/>
    </w:pPr>
    <w:rPr>
      <w:rFonts w:cstheme="minorHAnsi"/>
      <w:sz w:val="20"/>
      <w:szCs w:val="20"/>
    </w:rPr>
  </w:style>
  <w:style w:type="paragraph" w:styleId="TOC4">
    <w:name w:val="toc 4"/>
    <w:basedOn w:val="Normal"/>
    <w:next w:val="Normal"/>
    <w:autoRedefine/>
    <w:uiPriority w:val="39"/>
    <w:semiHidden/>
    <w:unhideWhenUsed/>
    <w:rsid w:val="00B57D52"/>
    <w:pPr>
      <w:ind w:left="720"/>
    </w:pPr>
    <w:rPr>
      <w:rFonts w:cstheme="minorHAnsi"/>
      <w:sz w:val="20"/>
      <w:szCs w:val="20"/>
    </w:rPr>
  </w:style>
  <w:style w:type="paragraph" w:styleId="TOC5">
    <w:name w:val="toc 5"/>
    <w:basedOn w:val="Normal"/>
    <w:next w:val="Normal"/>
    <w:autoRedefine/>
    <w:uiPriority w:val="39"/>
    <w:semiHidden/>
    <w:unhideWhenUsed/>
    <w:rsid w:val="00B57D52"/>
    <w:pPr>
      <w:ind w:left="960"/>
    </w:pPr>
    <w:rPr>
      <w:rFonts w:cstheme="minorHAnsi"/>
      <w:sz w:val="20"/>
      <w:szCs w:val="20"/>
    </w:rPr>
  </w:style>
  <w:style w:type="paragraph" w:styleId="TOC6">
    <w:name w:val="toc 6"/>
    <w:basedOn w:val="Normal"/>
    <w:next w:val="Normal"/>
    <w:autoRedefine/>
    <w:uiPriority w:val="39"/>
    <w:semiHidden/>
    <w:unhideWhenUsed/>
    <w:rsid w:val="00B57D52"/>
    <w:pPr>
      <w:ind w:left="1200"/>
    </w:pPr>
    <w:rPr>
      <w:rFonts w:cstheme="minorHAnsi"/>
      <w:sz w:val="20"/>
      <w:szCs w:val="20"/>
    </w:rPr>
  </w:style>
  <w:style w:type="paragraph" w:styleId="TOC7">
    <w:name w:val="toc 7"/>
    <w:basedOn w:val="Normal"/>
    <w:next w:val="Normal"/>
    <w:autoRedefine/>
    <w:uiPriority w:val="39"/>
    <w:semiHidden/>
    <w:unhideWhenUsed/>
    <w:rsid w:val="00B57D52"/>
    <w:pPr>
      <w:ind w:left="1440"/>
    </w:pPr>
    <w:rPr>
      <w:rFonts w:cstheme="minorHAnsi"/>
      <w:sz w:val="20"/>
      <w:szCs w:val="20"/>
    </w:rPr>
  </w:style>
  <w:style w:type="paragraph" w:styleId="TOC8">
    <w:name w:val="toc 8"/>
    <w:basedOn w:val="Normal"/>
    <w:next w:val="Normal"/>
    <w:autoRedefine/>
    <w:uiPriority w:val="39"/>
    <w:semiHidden/>
    <w:unhideWhenUsed/>
    <w:rsid w:val="00B57D52"/>
    <w:pPr>
      <w:ind w:left="1680"/>
    </w:pPr>
    <w:rPr>
      <w:rFonts w:cstheme="minorHAnsi"/>
      <w:sz w:val="20"/>
      <w:szCs w:val="20"/>
    </w:rPr>
  </w:style>
  <w:style w:type="paragraph" w:styleId="TOC9">
    <w:name w:val="toc 9"/>
    <w:basedOn w:val="Normal"/>
    <w:next w:val="Normal"/>
    <w:autoRedefine/>
    <w:uiPriority w:val="39"/>
    <w:semiHidden/>
    <w:unhideWhenUsed/>
    <w:rsid w:val="00B57D52"/>
    <w:pPr>
      <w:ind w:left="1920"/>
    </w:pPr>
    <w:rPr>
      <w:rFonts w:cstheme="minorHAnsi"/>
      <w:sz w:val="20"/>
      <w:szCs w:val="20"/>
    </w:rPr>
  </w:style>
  <w:style w:type="paragraph" w:styleId="Header">
    <w:name w:val="header"/>
    <w:basedOn w:val="Normal"/>
    <w:link w:val="HeaderChar"/>
    <w:uiPriority w:val="99"/>
    <w:unhideWhenUsed/>
    <w:rsid w:val="00446018"/>
    <w:pPr>
      <w:tabs>
        <w:tab w:val="center" w:pos="4513"/>
        <w:tab w:val="right" w:pos="9026"/>
      </w:tabs>
    </w:pPr>
  </w:style>
  <w:style w:type="character" w:customStyle="1" w:styleId="HeaderChar">
    <w:name w:val="Header Char"/>
    <w:basedOn w:val="DefaultParagraphFont"/>
    <w:link w:val="Header"/>
    <w:uiPriority w:val="99"/>
    <w:rsid w:val="00446018"/>
  </w:style>
  <w:style w:type="paragraph" w:styleId="Footer">
    <w:name w:val="footer"/>
    <w:basedOn w:val="Normal"/>
    <w:link w:val="FooterChar"/>
    <w:uiPriority w:val="99"/>
    <w:unhideWhenUsed/>
    <w:rsid w:val="00446018"/>
    <w:pPr>
      <w:tabs>
        <w:tab w:val="center" w:pos="4513"/>
        <w:tab w:val="right" w:pos="9026"/>
      </w:tabs>
    </w:pPr>
  </w:style>
  <w:style w:type="character" w:customStyle="1" w:styleId="FooterChar">
    <w:name w:val="Footer Char"/>
    <w:basedOn w:val="DefaultParagraphFont"/>
    <w:link w:val="Footer"/>
    <w:uiPriority w:val="99"/>
    <w:rsid w:val="00446018"/>
  </w:style>
  <w:style w:type="paragraph" w:styleId="BalloonText">
    <w:name w:val="Balloon Text"/>
    <w:basedOn w:val="Normal"/>
    <w:link w:val="BalloonTextChar"/>
    <w:uiPriority w:val="99"/>
    <w:semiHidden/>
    <w:unhideWhenUsed/>
    <w:rsid w:val="00CE09C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09CC"/>
    <w:rPr>
      <w:rFonts w:ascii="Segoe UI" w:eastAsia="Times New Roman" w:hAnsi="Segoe UI" w:cs="Segoe UI"/>
      <w:sz w:val="18"/>
      <w:szCs w:val="18"/>
      <w:lang w:eastAsia="en-GB"/>
    </w:rPr>
  </w:style>
  <w:style w:type="character" w:styleId="CommentReference">
    <w:name w:val="annotation reference"/>
    <w:basedOn w:val="DefaultParagraphFont"/>
    <w:uiPriority w:val="99"/>
    <w:semiHidden/>
    <w:unhideWhenUsed/>
    <w:rsid w:val="00CE09CC"/>
    <w:rPr>
      <w:sz w:val="16"/>
      <w:szCs w:val="16"/>
    </w:rPr>
  </w:style>
  <w:style w:type="paragraph" w:styleId="CommentText">
    <w:name w:val="annotation text"/>
    <w:basedOn w:val="Normal"/>
    <w:link w:val="CommentTextChar"/>
    <w:uiPriority w:val="99"/>
    <w:semiHidden/>
    <w:unhideWhenUsed/>
    <w:rsid w:val="00CE09CC"/>
    <w:rPr>
      <w:sz w:val="20"/>
      <w:szCs w:val="20"/>
    </w:rPr>
  </w:style>
  <w:style w:type="character" w:customStyle="1" w:styleId="CommentTextChar">
    <w:name w:val="Comment Text Char"/>
    <w:basedOn w:val="DefaultParagraphFont"/>
    <w:link w:val="CommentText"/>
    <w:uiPriority w:val="99"/>
    <w:semiHidden/>
    <w:rsid w:val="00CE09CC"/>
    <w:rPr>
      <w:rFonts w:eastAsia="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CE09CC"/>
    <w:rPr>
      <w:b/>
      <w:bCs/>
    </w:rPr>
  </w:style>
  <w:style w:type="character" w:customStyle="1" w:styleId="CommentSubjectChar">
    <w:name w:val="Comment Subject Char"/>
    <w:basedOn w:val="CommentTextChar"/>
    <w:link w:val="CommentSubject"/>
    <w:uiPriority w:val="99"/>
    <w:semiHidden/>
    <w:rsid w:val="00CE09CC"/>
    <w:rPr>
      <w:rFonts w:eastAsia="Times New Roman" w:cs="Times New Roman"/>
      <w:b/>
      <w:bCs/>
      <w:sz w:val="20"/>
      <w:szCs w:val="20"/>
      <w:lang w:eastAsia="en-GB"/>
    </w:rPr>
  </w:style>
  <w:style w:type="paragraph" w:styleId="Revision">
    <w:name w:val="Revision"/>
    <w:hidden/>
    <w:uiPriority w:val="99"/>
    <w:semiHidden/>
    <w:rsid w:val="00860B19"/>
    <w:rPr>
      <w:rFonts w:eastAsia="Times New Roman" w:cs="Times New Roman"/>
      <w:lang w:eastAsia="en-GB"/>
    </w:rPr>
  </w:style>
  <w:style w:type="character" w:customStyle="1" w:styleId="extra-credit">
    <w:name w:val="extra-credit"/>
    <w:basedOn w:val="DefaultParagraphFont"/>
    <w:rsid w:val="002E5AA8"/>
  </w:style>
  <w:style w:type="character" w:customStyle="1" w:styleId="contributor">
    <w:name w:val="contributor"/>
    <w:basedOn w:val="DefaultParagraphFont"/>
    <w:rsid w:val="002E5AA8"/>
  </w:style>
  <w:style w:type="character" w:customStyle="1" w:styleId="highwire-citation-authors">
    <w:name w:val="highwire-citation-authors"/>
    <w:basedOn w:val="DefaultParagraphFont"/>
    <w:rsid w:val="00BA4999"/>
  </w:style>
  <w:style w:type="character" w:customStyle="1" w:styleId="highwire-citation-author">
    <w:name w:val="highwire-citation-author"/>
    <w:basedOn w:val="DefaultParagraphFont"/>
    <w:rsid w:val="00BA4999"/>
  </w:style>
  <w:style w:type="character" w:customStyle="1" w:styleId="highwire-cite-metadata-journal">
    <w:name w:val="highwire-cite-metadata-journal"/>
    <w:basedOn w:val="DefaultParagraphFont"/>
    <w:rsid w:val="00BA4999"/>
  </w:style>
  <w:style w:type="character" w:customStyle="1" w:styleId="highwire-cite-metadata-coverdate">
    <w:name w:val="highwire-cite-metadata-coverdate"/>
    <w:basedOn w:val="DefaultParagraphFont"/>
    <w:rsid w:val="00BA4999"/>
  </w:style>
  <w:style w:type="character" w:customStyle="1" w:styleId="highwire-cite-metadata-volume">
    <w:name w:val="highwire-cite-metadata-volume"/>
    <w:basedOn w:val="DefaultParagraphFont"/>
    <w:rsid w:val="00BA4999"/>
  </w:style>
  <w:style w:type="character" w:customStyle="1" w:styleId="highwire-cite-metadata-issue">
    <w:name w:val="highwire-cite-metadata-issue"/>
    <w:basedOn w:val="DefaultParagraphFont"/>
    <w:rsid w:val="00BA4999"/>
  </w:style>
  <w:style w:type="character" w:customStyle="1" w:styleId="highwire-cite-metadata-pages">
    <w:name w:val="highwire-cite-metadata-pages"/>
    <w:basedOn w:val="DefaultParagraphFont"/>
    <w:rsid w:val="00BA4999"/>
  </w:style>
  <w:style w:type="character" w:customStyle="1" w:styleId="highwire-cite-metadata-doi">
    <w:name w:val="highwire-cite-metadata-doi"/>
    <w:basedOn w:val="DefaultParagraphFont"/>
    <w:rsid w:val="00BA4999"/>
  </w:style>
  <w:style w:type="character" w:customStyle="1" w:styleId="nlmarticle-title">
    <w:name w:val="nlm_article-title"/>
    <w:basedOn w:val="DefaultParagraphFont"/>
    <w:rsid w:val="00FD7049"/>
  </w:style>
  <w:style w:type="character" w:customStyle="1" w:styleId="contribdegrees">
    <w:name w:val="contribdegrees"/>
    <w:basedOn w:val="DefaultParagraphFont"/>
    <w:rsid w:val="00FD7049"/>
  </w:style>
  <w:style w:type="paragraph" w:customStyle="1" w:styleId="downloadcitations">
    <w:name w:val="downloadcitations"/>
    <w:basedOn w:val="Normal"/>
    <w:rsid w:val="00FD7049"/>
    <w:pPr>
      <w:spacing w:before="100" w:beforeAutospacing="1" w:after="100" w:afterAutospacing="1"/>
    </w:pPr>
    <w:rPr>
      <w:rFonts w:ascii="Times New Roman" w:hAnsi="Times New Roman"/>
    </w:rPr>
  </w:style>
  <w:style w:type="paragraph" w:customStyle="1" w:styleId="dx-doi">
    <w:name w:val="dx-doi"/>
    <w:basedOn w:val="Normal"/>
    <w:rsid w:val="00FD7049"/>
    <w:pPr>
      <w:spacing w:before="100" w:beforeAutospacing="1" w:after="100" w:afterAutospacing="1"/>
    </w:pPr>
    <w:rPr>
      <w:rFonts w:ascii="Times New Roman" w:hAnsi="Times New Roman"/>
    </w:rPr>
  </w:style>
  <w:style w:type="character" w:customStyle="1" w:styleId="title-text">
    <w:name w:val="title-text"/>
    <w:basedOn w:val="DefaultParagraphFont"/>
    <w:rsid w:val="00FD7049"/>
  </w:style>
  <w:style w:type="character" w:customStyle="1" w:styleId="sr-only">
    <w:name w:val="sr-only"/>
    <w:basedOn w:val="DefaultParagraphFont"/>
    <w:rsid w:val="00FD7049"/>
  </w:style>
  <w:style w:type="character" w:customStyle="1" w:styleId="text">
    <w:name w:val="text"/>
    <w:basedOn w:val="DefaultParagraphFont"/>
    <w:rsid w:val="00FD7049"/>
  </w:style>
  <w:style w:type="character" w:customStyle="1" w:styleId="author-ref">
    <w:name w:val="author-ref"/>
    <w:basedOn w:val="DefaultParagraphFont"/>
    <w:rsid w:val="00FD7049"/>
  </w:style>
  <w:style w:type="character" w:styleId="FollowedHyperlink">
    <w:name w:val="FollowedHyperlink"/>
    <w:basedOn w:val="DefaultParagraphFont"/>
    <w:uiPriority w:val="99"/>
    <w:semiHidden/>
    <w:unhideWhenUsed/>
    <w:rsid w:val="0082424C"/>
    <w:rPr>
      <w:color w:val="954F72" w:themeColor="followedHyperlink"/>
      <w:u w:val="single"/>
    </w:rPr>
  </w:style>
  <w:style w:type="character" w:styleId="PageNumber">
    <w:name w:val="page number"/>
    <w:basedOn w:val="DefaultParagraphFont"/>
    <w:uiPriority w:val="99"/>
    <w:semiHidden/>
    <w:unhideWhenUsed/>
    <w:rsid w:val="006702A7"/>
  </w:style>
  <w:style w:type="table" w:styleId="TableGrid">
    <w:name w:val="Table Grid"/>
    <w:basedOn w:val="TableNormal"/>
    <w:uiPriority w:val="39"/>
    <w:rsid w:val="00FE4F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72262">
      <w:bodyDiv w:val="1"/>
      <w:marLeft w:val="0"/>
      <w:marRight w:val="0"/>
      <w:marTop w:val="0"/>
      <w:marBottom w:val="0"/>
      <w:divBdr>
        <w:top w:val="none" w:sz="0" w:space="0" w:color="auto"/>
        <w:left w:val="none" w:sz="0" w:space="0" w:color="auto"/>
        <w:bottom w:val="none" w:sz="0" w:space="0" w:color="auto"/>
        <w:right w:val="none" w:sz="0" w:space="0" w:color="auto"/>
      </w:divBdr>
    </w:div>
    <w:div w:id="13191028">
      <w:bodyDiv w:val="1"/>
      <w:marLeft w:val="0"/>
      <w:marRight w:val="0"/>
      <w:marTop w:val="0"/>
      <w:marBottom w:val="0"/>
      <w:divBdr>
        <w:top w:val="none" w:sz="0" w:space="0" w:color="auto"/>
        <w:left w:val="none" w:sz="0" w:space="0" w:color="auto"/>
        <w:bottom w:val="none" w:sz="0" w:space="0" w:color="auto"/>
        <w:right w:val="none" w:sz="0" w:space="0" w:color="auto"/>
      </w:divBdr>
    </w:div>
    <w:div w:id="13383178">
      <w:bodyDiv w:val="1"/>
      <w:marLeft w:val="0"/>
      <w:marRight w:val="0"/>
      <w:marTop w:val="0"/>
      <w:marBottom w:val="0"/>
      <w:divBdr>
        <w:top w:val="none" w:sz="0" w:space="0" w:color="auto"/>
        <w:left w:val="none" w:sz="0" w:space="0" w:color="auto"/>
        <w:bottom w:val="none" w:sz="0" w:space="0" w:color="auto"/>
        <w:right w:val="none" w:sz="0" w:space="0" w:color="auto"/>
      </w:divBdr>
      <w:divsChild>
        <w:div w:id="1356924655">
          <w:marLeft w:val="0"/>
          <w:marRight w:val="0"/>
          <w:marTop w:val="0"/>
          <w:marBottom w:val="0"/>
          <w:divBdr>
            <w:top w:val="none" w:sz="0" w:space="0" w:color="auto"/>
            <w:left w:val="none" w:sz="0" w:space="0" w:color="auto"/>
            <w:bottom w:val="none" w:sz="0" w:space="0" w:color="auto"/>
            <w:right w:val="none" w:sz="0" w:space="0" w:color="auto"/>
          </w:divBdr>
          <w:divsChild>
            <w:div w:id="2109158676">
              <w:marLeft w:val="0"/>
              <w:marRight w:val="0"/>
              <w:marTop w:val="0"/>
              <w:marBottom w:val="0"/>
              <w:divBdr>
                <w:top w:val="none" w:sz="0" w:space="0" w:color="auto"/>
                <w:left w:val="none" w:sz="0" w:space="0" w:color="auto"/>
                <w:bottom w:val="none" w:sz="0" w:space="0" w:color="auto"/>
                <w:right w:val="none" w:sz="0" w:space="0" w:color="auto"/>
              </w:divBdr>
              <w:divsChild>
                <w:div w:id="194021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10350">
      <w:bodyDiv w:val="1"/>
      <w:marLeft w:val="0"/>
      <w:marRight w:val="0"/>
      <w:marTop w:val="0"/>
      <w:marBottom w:val="0"/>
      <w:divBdr>
        <w:top w:val="none" w:sz="0" w:space="0" w:color="auto"/>
        <w:left w:val="none" w:sz="0" w:space="0" w:color="auto"/>
        <w:bottom w:val="none" w:sz="0" w:space="0" w:color="auto"/>
        <w:right w:val="none" w:sz="0" w:space="0" w:color="auto"/>
      </w:divBdr>
    </w:div>
    <w:div w:id="57100059">
      <w:bodyDiv w:val="1"/>
      <w:marLeft w:val="0"/>
      <w:marRight w:val="0"/>
      <w:marTop w:val="0"/>
      <w:marBottom w:val="0"/>
      <w:divBdr>
        <w:top w:val="none" w:sz="0" w:space="0" w:color="auto"/>
        <w:left w:val="none" w:sz="0" w:space="0" w:color="auto"/>
        <w:bottom w:val="none" w:sz="0" w:space="0" w:color="auto"/>
        <w:right w:val="none" w:sz="0" w:space="0" w:color="auto"/>
      </w:divBdr>
    </w:div>
    <w:div w:id="67188442">
      <w:bodyDiv w:val="1"/>
      <w:marLeft w:val="0"/>
      <w:marRight w:val="0"/>
      <w:marTop w:val="0"/>
      <w:marBottom w:val="0"/>
      <w:divBdr>
        <w:top w:val="none" w:sz="0" w:space="0" w:color="auto"/>
        <w:left w:val="none" w:sz="0" w:space="0" w:color="auto"/>
        <w:bottom w:val="none" w:sz="0" w:space="0" w:color="auto"/>
        <w:right w:val="none" w:sz="0" w:space="0" w:color="auto"/>
      </w:divBdr>
    </w:div>
    <w:div w:id="74517845">
      <w:bodyDiv w:val="1"/>
      <w:marLeft w:val="0"/>
      <w:marRight w:val="0"/>
      <w:marTop w:val="0"/>
      <w:marBottom w:val="0"/>
      <w:divBdr>
        <w:top w:val="none" w:sz="0" w:space="0" w:color="auto"/>
        <w:left w:val="none" w:sz="0" w:space="0" w:color="auto"/>
        <w:bottom w:val="none" w:sz="0" w:space="0" w:color="auto"/>
        <w:right w:val="none" w:sz="0" w:space="0" w:color="auto"/>
      </w:divBdr>
      <w:divsChild>
        <w:div w:id="613440268">
          <w:marLeft w:val="0"/>
          <w:marRight w:val="0"/>
          <w:marTop w:val="0"/>
          <w:marBottom w:val="0"/>
          <w:divBdr>
            <w:top w:val="none" w:sz="0" w:space="0" w:color="auto"/>
            <w:left w:val="none" w:sz="0" w:space="0" w:color="auto"/>
            <w:bottom w:val="none" w:sz="0" w:space="0" w:color="auto"/>
            <w:right w:val="none" w:sz="0" w:space="0" w:color="auto"/>
          </w:divBdr>
          <w:divsChild>
            <w:div w:id="1546405123">
              <w:marLeft w:val="0"/>
              <w:marRight w:val="0"/>
              <w:marTop w:val="0"/>
              <w:marBottom w:val="0"/>
              <w:divBdr>
                <w:top w:val="none" w:sz="0" w:space="0" w:color="auto"/>
                <w:left w:val="none" w:sz="0" w:space="0" w:color="auto"/>
                <w:bottom w:val="none" w:sz="0" w:space="0" w:color="auto"/>
                <w:right w:val="none" w:sz="0" w:space="0" w:color="auto"/>
              </w:divBdr>
              <w:divsChild>
                <w:div w:id="1244988645">
                  <w:marLeft w:val="0"/>
                  <w:marRight w:val="0"/>
                  <w:marTop w:val="0"/>
                  <w:marBottom w:val="0"/>
                  <w:divBdr>
                    <w:top w:val="none" w:sz="0" w:space="0" w:color="auto"/>
                    <w:left w:val="none" w:sz="0" w:space="0" w:color="auto"/>
                    <w:bottom w:val="none" w:sz="0" w:space="0" w:color="auto"/>
                    <w:right w:val="none" w:sz="0" w:space="0" w:color="auto"/>
                  </w:divBdr>
                  <w:divsChild>
                    <w:div w:id="200123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54009">
      <w:bodyDiv w:val="1"/>
      <w:marLeft w:val="0"/>
      <w:marRight w:val="0"/>
      <w:marTop w:val="0"/>
      <w:marBottom w:val="0"/>
      <w:divBdr>
        <w:top w:val="none" w:sz="0" w:space="0" w:color="auto"/>
        <w:left w:val="none" w:sz="0" w:space="0" w:color="auto"/>
        <w:bottom w:val="none" w:sz="0" w:space="0" w:color="auto"/>
        <w:right w:val="none" w:sz="0" w:space="0" w:color="auto"/>
      </w:divBdr>
    </w:div>
    <w:div w:id="81416204">
      <w:bodyDiv w:val="1"/>
      <w:marLeft w:val="0"/>
      <w:marRight w:val="0"/>
      <w:marTop w:val="0"/>
      <w:marBottom w:val="0"/>
      <w:divBdr>
        <w:top w:val="none" w:sz="0" w:space="0" w:color="auto"/>
        <w:left w:val="none" w:sz="0" w:space="0" w:color="auto"/>
        <w:bottom w:val="none" w:sz="0" w:space="0" w:color="auto"/>
        <w:right w:val="none" w:sz="0" w:space="0" w:color="auto"/>
      </w:divBdr>
    </w:div>
    <w:div w:id="85810433">
      <w:bodyDiv w:val="1"/>
      <w:marLeft w:val="0"/>
      <w:marRight w:val="0"/>
      <w:marTop w:val="0"/>
      <w:marBottom w:val="0"/>
      <w:divBdr>
        <w:top w:val="none" w:sz="0" w:space="0" w:color="auto"/>
        <w:left w:val="none" w:sz="0" w:space="0" w:color="auto"/>
        <w:bottom w:val="none" w:sz="0" w:space="0" w:color="auto"/>
        <w:right w:val="none" w:sz="0" w:space="0" w:color="auto"/>
      </w:divBdr>
    </w:div>
    <w:div w:id="98911965">
      <w:bodyDiv w:val="1"/>
      <w:marLeft w:val="0"/>
      <w:marRight w:val="0"/>
      <w:marTop w:val="0"/>
      <w:marBottom w:val="0"/>
      <w:divBdr>
        <w:top w:val="none" w:sz="0" w:space="0" w:color="auto"/>
        <w:left w:val="none" w:sz="0" w:space="0" w:color="auto"/>
        <w:bottom w:val="none" w:sz="0" w:space="0" w:color="auto"/>
        <w:right w:val="none" w:sz="0" w:space="0" w:color="auto"/>
      </w:divBdr>
      <w:divsChild>
        <w:div w:id="1069380403">
          <w:marLeft w:val="0"/>
          <w:marRight w:val="0"/>
          <w:marTop w:val="0"/>
          <w:marBottom w:val="120"/>
          <w:divBdr>
            <w:top w:val="none" w:sz="0" w:space="0" w:color="auto"/>
            <w:left w:val="none" w:sz="0" w:space="0" w:color="auto"/>
            <w:bottom w:val="none" w:sz="0" w:space="0" w:color="auto"/>
            <w:right w:val="none" w:sz="0" w:space="0" w:color="auto"/>
          </w:divBdr>
          <w:divsChild>
            <w:div w:id="138543446">
              <w:marLeft w:val="0"/>
              <w:marRight w:val="0"/>
              <w:marTop w:val="0"/>
              <w:marBottom w:val="0"/>
              <w:divBdr>
                <w:top w:val="none" w:sz="0" w:space="0" w:color="auto"/>
                <w:left w:val="none" w:sz="0" w:space="0" w:color="auto"/>
                <w:bottom w:val="none" w:sz="0" w:space="0" w:color="auto"/>
                <w:right w:val="none" w:sz="0" w:space="0" w:color="auto"/>
              </w:divBdr>
              <w:divsChild>
                <w:div w:id="1074472442">
                  <w:marLeft w:val="0"/>
                  <w:marRight w:val="0"/>
                  <w:marTop w:val="0"/>
                  <w:marBottom w:val="0"/>
                  <w:divBdr>
                    <w:top w:val="none" w:sz="0" w:space="0" w:color="auto"/>
                    <w:left w:val="none" w:sz="0" w:space="0" w:color="auto"/>
                    <w:bottom w:val="none" w:sz="0" w:space="0" w:color="auto"/>
                    <w:right w:val="none" w:sz="0" w:space="0" w:color="auto"/>
                  </w:divBdr>
                  <w:divsChild>
                    <w:div w:id="1180193449">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sChild>
        </w:div>
      </w:divsChild>
    </w:div>
    <w:div w:id="113714989">
      <w:bodyDiv w:val="1"/>
      <w:marLeft w:val="0"/>
      <w:marRight w:val="0"/>
      <w:marTop w:val="0"/>
      <w:marBottom w:val="0"/>
      <w:divBdr>
        <w:top w:val="none" w:sz="0" w:space="0" w:color="auto"/>
        <w:left w:val="none" w:sz="0" w:space="0" w:color="auto"/>
        <w:bottom w:val="none" w:sz="0" w:space="0" w:color="auto"/>
        <w:right w:val="none" w:sz="0" w:space="0" w:color="auto"/>
      </w:divBdr>
    </w:div>
    <w:div w:id="118380520">
      <w:bodyDiv w:val="1"/>
      <w:marLeft w:val="0"/>
      <w:marRight w:val="0"/>
      <w:marTop w:val="0"/>
      <w:marBottom w:val="0"/>
      <w:divBdr>
        <w:top w:val="none" w:sz="0" w:space="0" w:color="auto"/>
        <w:left w:val="none" w:sz="0" w:space="0" w:color="auto"/>
        <w:bottom w:val="none" w:sz="0" w:space="0" w:color="auto"/>
        <w:right w:val="none" w:sz="0" w:space="0" w:color="auto"/>
      </w:divBdr>
    </w:div>
    <w:div w:id="141846531">
      <w:bodyDiv w:val="1"/>
      <w:marLeft w:val="0"/>
      <w:marRight w:val="0"/>
      <w:marTop w:val="0"/>
      <w:marBottom w:val="0"/>
      <w:divBdr>
        <w:top w:val="none" w:sz="0" w:space="0" w:color="auto"/>
        <w:left w:val="none" w:sz="0" w:space="0" w:color="auto"/>
        <w:bottom w:val="none" w:sz="0" w:space="0" w:color="auto"/>
        <w:right w:val="none" w:sz="0" w:space="0" w:color="auto"/>
      </w:divBdr>
      <w:divsChild>
        <w:div w:id="784078717">
          <w:marLeft w:val="0"/>
          <w:marRight w:val="0"/>
          <w:marTop w:val="75"/>
          <w:marBottom w:val="0"/>
          <w:divBdr>
            <w:top w:val="none" w:sz="0" w:space="0" w:color="auto"/>
            <w:left w:val="none" w:sz="0" w:space="0" w:color="auto"/>
            <w:bottom w:val="none" w:sz="0" w:space="0" w:color="auto"/>
            <w:right w:val="none" w:sz="0" w:space="0" w:color="auto"/>
          </w:divBdr>
        </w:div>
        <w:div w:id="838816407">
          <w:marLeft w:val="0"/>
          <w:marRight w:val="0"/>
          <w:marTop w:val="75"/>
          <w:marBottom w:val="300"/>
          <w:divBdr>
            <w:top w:val="none" w:sz="0" w:space="0" w:color="auto"/>
            <w:left w:val="none" w:sz="0" w:space="0" w:color="auto"/>
            <w:bottom w:val="none" w:sz="0" w:space="0" w:color="auto"/>
            <w:right w:val="none" w:sz="0" w:space="0" w:color="auto"/>
          </w:divBdr>
        </w:div>
      </w:divsChild>
    </w:div>
    <w:div w:id="145514218">
      <w:bodyDiv w:val="1"/>
      <w:marLeft w:val="0"/>
      <w:marRight w:val="0"/>
      <w:marTop w:val="0"/>
      <w:marBottom w:val="0"/>
      <w:divBdr>
        <w:top w:val="none" w:sz="0" w:space="0" w:color="auto"/>
        <w:left w:val="none" w:sz="0" w:space="0" w:color="auto"/>
        <w:bottom w:val="none" w:sz="0" w:space="0" w:color="auto"/>
        <w:right w:val="none" w:sz="0" w:space="0" w:color="auto"/>
      </w:divBdr>
      <w:divsChild>
        <w:div w:id="1502741247">
          <w:marLeft w:val="0"/>
          <w:marRight w:val="0"/>
          <w:marTop w:val="0"/>
          <w:marBottom w:val="0"/>
          <w:divBdr>
            <w:top w:val="none" w:sz="0" w:space="0" w:color="auto"/>
            <w:left w:val="none" w:sz="0" w:space="0" w:color="auto"/>
            <w:bottom w:val="none" w:sz="0" w:space="0" w:color="auto"/>
            <w:right w:val="none" w:sz="0" w:space="0" w:color="auto"/>
          </w:divBdr>
          <w:divsChild>
            <w:div w:id="544874117">
              <w:marLeft w:val="0"/>
              <w:marRight w:val="0"/>
              <w:marTop w:val="0"/>
              <w:marBottom w:val="0"/>
              <w:divBdr>
                <w:top w:val="none" w:sz="0" w:space="0" w:color="auto"/>
                <w:left w:val="none" w:sz="0" w:space="0" w:color="auto"/>
                <w:bottom w:val="none" w:sz="0" w:space="0" w:color="auto"/>
                <w:right w:val="none" w:sz="0" w:space="0" w:color="auto"/>
              </w:divBdr>
              <w:divsChild>
                <w:div w:id="1664358392">
                  <w:marLeft w:val="0"/>
                  <w:marRight w:val="0"/>
                  <w:marTop w:val="0"/>
                  <w:marBottom w:val="0"/>
                  <w:divBdr>
                    <w:top w:val="none" w:sz="0" w:space="0" w:color="auto"/>
                    <w:left w:val="none" w:sz="0" w:space="0" w:color="auto"/>
                    <w:bottom w:val="none" w:sz="0" w:space="0" w:color="auto"/>
                    <w:right w:val="none" w:sz="0" w:space="0" w:color="auto"/>
                  </w:divBdr>
                  <w:divsChild>
                    <w:div w:id="101287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099228">
      <w:bodyDiv w:val="1"/>
      <w:marLeft w:val="0"/>
      <w:marRight w:val="0"/>
      <w:marTop w:val="0"/>
      <w:marBottom w:val="0"/>
      <w:divBdr>
        <w:top w:val="none" w:sz="0" w:space="0" w:color="auto"/>
        <w:left w:val="none" w:sz="0" w:space="0" w:color="auto"/>
        <w:bottom w:val="none" w:sz="0" w:space="0" w:color="auto"/>
        <w:right w:val="none" w:sz="0" w:space="0" w:color="auto"/>
      </w:divBdr>
    </w:div>
    <w:div w:id="213086147">
      <w:bodyDiv w:val="1"/>
      <w:marLeft w:val="0"/>
      <w:marRight w:val="0"/>
      <w:marTop w:val="0"/>
      <w:marBottom w:val="0"/>
      <w:divBdr>
        <w:top w:val="none" w:sz="0" w:space="0" w:color="auto"/>
        <w:left w:val="none" w:sz="0" w:space="0" w:color="auto"/>
        <w:bottom w:val="none" w:sz="0" w:space="0" w:color="auto"/>
        <w:right w:val="none" w:sz="0" w:space="0" w:color="auto"/>
      </w:divBdr>
    </w:div>
    <w:div w:id="218630955">
      <w:bodyDiv w:val="1"/>
      <w:marLeft w:val="0"/>
      <w:marRight w:val="0"/>
      <w:marTop w:val="0"/>
      <w:marBottom w:val="0"/>
      <w:divBdr>
        <w:top w:val="none" w:sz="0" w:space="0" w:color="auto"/>
        <w:left w:val="none" w:sz="0" w:space="0" w:color="auto"/>
        <w:bottom w:val="none" w:sz="0" w:space="0" w:color="auto"/>
        <w:right w:val="none" w:sz="0" w:space="0" w:color="auto"/>
      </w:divBdr>
    </w:div>
    <w:div w:id="262958251">
      <w:bodyDiv w:val="1"/>
      <w:marLeft w:val="0"/>
      <w:marRight w:val="0"/>
      <w:marTop w:val="0"/>
      <w:marBottom w:val="0"/>
      <w:divBdr>
        <w:top w:val="none" w:sz="0" w:space="0" w:color="auto"/>
        <w:left w:val="none" w:sz="0" w:space="0" w:color="auto"/>
        <w:bottom w:val="none" w:sz="0" w:space="0" w:color="auto"/>
        <w:right w:val="none" w:sz="0" w:space="0" w:color="auto"/>
      </w:divBdr>
    </w:div>
    <w:div w:id="289286122">
      <w:bodyDiv w:val="1"/>
      <w:marLeft w:val="0"/>
      <w:marRight w:val="0"/>
      <w:marTop w:val="0"/>
      <w:marBottom w:val="0"/>
      <w:divBdr>
        <w:top w:val="none" w:sz="0" w:space="0" w:color="auto"/>
        <w:left w:val="none" w:sz="0" w:space="0" w:color="auto"/>
        <w:bottom w:val="none" w:sz="0" w:space="0" w:color="auto"/>
        <w:right w:val="none" w:sz="0" w:space="0" w:color="auto"/>
      </w:divBdr>
      <w:divsChild>
        <w:div w:id="1310750912">
          <w:marLeft w:val="0"/>
          <w:marRight w:val="0"/>
          <w:marTop w:val="0"/>
          <w:marBottom w:val="0"/>
          <w:divBdr>
            <w:top w:val="none" w:sz="0" w:space="0" w:color="auto"/>
            <w:left w:val="none" w:sz="0" w:space="0" w:color="auto"/>
            <w:bottom w:val="none" w:sz="0" w:space="0" w:color="auto"/>
            <w:right w:val="none" w:sz="0" w:space="0" w:color="auto"/>
          </w:divBdr>
          <w:divsChild>
            <w:div w:id="1676683179">
              <w:marLeft w:val="0"/>
              <w:marRight w:val="0"/>
              <w:marTop w:val="0"/>
              <w:marBottom w:val="0"/>
              <w:divBdr>
                <w:top w:val="none" w:sz="0" w:space="0" w:color="auto"/>
                <w:left w:val="none" w:sz="0" w:space="0" w:color="auto"/>
                <w:bottom w:val="none" w:sz="0" w:space="0" w:color="auto"/>
                <w:right w:val="none" w:sz="0" w:space="0" w:color="auto"/>
              </w:divBdr>
              <w:divsChild>
                <w:div w:id="1480418183">
                  <w:marLeft w:val="0"/>
                  <w:marRight w:val="0"/>
                  <w:marTop w:val="0"/>
                  <w:marBottom w:val="0"/>
                  <w:divBdr>
                    <w:top w:val="none" w:sz="0" w:space="0" w:color="auto"/>
                    <w:left w:val="none" w:sz="0" w:space="0" w:color="auto"/>
                    <w:bottom w:val="none" w:sz="0" w:space="0" w:color="auto"/>
                    <w:right w:val="none" w:sz="0" w:space="0" w:color="auto"/>
                  </w:divBdr>
                  <w:divsChild>
                    <w:div w:id="163664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234783">
      <w:bodyDiv w:val="1"/>
      <w:marLeft w:val="0"/>
      <w:marRight w:val="0"/>
      <w:marTop w:val="0"/>
      <w:marBottom w:val="0"/>
      <w:divBdr>
        <w:top w:val="none" w:sz="0" w:space="0" w:color="auto"/>
        <w:left w:val="none" w:sz="0" w:space="0" w:color="auto"/>
        <w:bottom w:val="none" w:sz="0" w:space="0" w:color="auto"/>
        <w:right w:val="none" w:sz="0" w:space="0" w:color="auto"/>
      </w:divBdr>
    </w:div>
    <w:div w:id="300548794">
      <w:bodyDiv w:val="1"/>
      <w:marLeft w:val="0"/>
      <w:marRight w:val="0"/>
      <w:marTop w:val="0"/>
      <w:marBottom w:val="0"/>
      <w:divBdr>
        <w:top w:val="none" w:sz="0" w:space="0" w:color="auto"/>
        <w:left w:val="none" w:sz="0" w:space="0" w:color="auto"/>
        <w:bottom w:val="none" w:sz="0" w:space="0" w:color="auto"/>
        <w:right w:val="none" w:sz="0" w:space="0" w:color="auto"/>
      </w:divBdr>
      <w:divsChild>
        <w:div w:id="1350060348">
          <w:marLeft w:val="0"/>
          <w:marRight w:val="0"/>
          <w:marTop w:val="0"/>
          <w:marBottom w:val="0"/>
          <w:divBdr>
            <w:top w:val="none" w:sz="0" w:space="0" w:color="auto"/>
            <w:left w:val="none" w:sz="0" w:space="0" w:color="auto"/>
            <w:bottom w:val="none" w:sz="0" w:space="0" w:color="auto"/>
            <w:right w:val="none" w:sz="0" w:space="0" w:color="auto"/>
          </w:divBdr>
          <w:divsChild>
            <w:div w:id="1337731767">
              <w:marLeft w:val="0"/>
              <w:marRight w:val="0"/>
              <w:marTop w:val="0"/>
              <w:marBottom w:val="0"/>
              <w:divBdr>
                <w:top w:val="none" w:sz="0" w:space="0" w:color="auto"/>
                <w:left w:val="none" w:sz="0" w:space="0" w:color="auto"/>
                <w:bottom w:val="none" w:sz="0" w:space="0" w:color="auto"/>
                <w:right w:val="none" w:sz="0" w:space="0" w:color="auto"/>
              </w:divBdr>
              <w:divsChild>
                <w:div w:id="53019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913371">
      <w:bodyDiv w:val="1"/>
      <w:marLeft w:val="0"/>
      <w:marRight w:val="0"/>
      <w:marTop w:val="0"/>
      <w:marBottom w:val="0"/>
      <w:divBdr>
        <w:top w:val="none" w:sz="0" w:space="0" w:color="auto"/>
        <w:left w:val="none" w:sz="0" w:space="0" w:color="auto"/>
        <w:bottom w:val="none" w:sz="0" w:space="0" w:color="auto"/>
        <w:right w:val="none" w:sz="0" w:space="0" w:color="auto"/>
      </w:divBdr>
      <w:divsChild>
        <w:div w:id="14888029">
          <w:marLeft w:val="0"/>
          <w:marRight w:val="0"/>
          <w:marTop w:val="0"/>
          <w:marBottom w:val="0"/>
          <w:divBdr>
            <w:top w:val="none" w:sz="0" w:space="0" w:color="auto"/>
            <w:left w:val="none" w:sz="0" w:space="0" w:color="auto"/>
            <w:bottom w:val="none" w:sz="0" w:space="0" w:color="auto"/>
            <w:right w:val="none" w:sz="0" w:space="0" w:color="auto"/>
          </w:divBdr>
          <w:divsChild>
            <w:div w:id="171116728">
              <w:marLeft w:val="0"/>
              <w:marRight w:val="0"/>
              <w:marTop w:val="0"/>
              <w:marBottom w:val="0"/>
              <w:divBdr>
                <w:top w:val="none" w:sz="0" w:space="0" w:color="auto"/>
                <w:left w:val="none" w:sz="0" w:space="0" w:color="auto"/>
                <w:bottom w:val="none" w:sz="0" w:space="0" w:color="auto"/>
                <w:right w:val="none" w:sz="0" w:space="0" w:color="auto"/>
              </w:divBdr>
              <w:divsChild>
                <w:div w:id="576136091">
                  <w:marLeft w:val="0"/>
                  <w:marRight w:val="0"/>
                  <w:marTop w:val="0"/>
                  <w:marBottom w:val="0"/>
                  <w:divBdr>
                    <w:top w:val="none" w:sz="0" w:space="0" w:color="auto"/>
                    <w:left w:val="none" w:sz="0" w:space="0" w:color="auto"/>
                    <w:bottom w:val="none" w:sz="0" w:space="0" w:color="auto"/>
                    <w:right w:val="none" w:sz="0" w:space="0" w:color="auto"/>
                  </w:divBdr>
                  <w:divsChild>
                    <w:div w:id="110947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9214216">
      <w:bodyDiv w:val="1"/>
      <w:marLeft w:val="0"/>
      <w:marRight w:val="0"/>
      <w:marTop w:val="0"/>
      <w:marBottom w:val="0"/>
      <w:divBdr>
        <w:top w:val="none" w:sz="0" w:space="0" w:color="auto"/>
        <w:left w:val="none" w:sz="0" w:space="0" w:color="auto"/>
        <w:bottom w:val="none" w:sz="0" w:space="0" w:color="auto"/>
        <w:right w:val="none" w:sz="0" w:space="0" w:color="auto"/>
      </w:divBdr>
    </w:div>
    <w:div w:id="332606494">
      <w:bodyDiv w:val="1"/>
      <w:marLeft w:val="0"/>
      <w:marRight w:val="0"/>
      <w:marTop w:val="0"/>
      <w:marBottom w:val="0"/>
      <w:divBdr>
        <w:top w:val="none" w:sz="0" w:space="0" w:color="auto"/>
        <w:left w:val="none" w:sz="0" w:space="0" w:color="auto"/>
        <w:bottom w:val="none" w:sz="0" w:space="0" w:color="auto"/>
        <w:right w:val="none" w:sz="0" w:space="0" w:color="auto"/>
      </w:divBdr>
    </w:div>
    <w:div w:id="362554558">
      <w:bodyDiv w:val="1"/>
      <w:marLeft w:val="0"/>
      <w:marRight w:val="0"/>
      <w:marTop w:val="0"/>
      <w:marBottom w:val="0"/>
      <w:divBdr>
        <w:top w:val="none" w:sz="0" w:space="0" w:color="auto"/>
        <w:left w:val="none" w:sz="0" w:space="0" w:color="auto"/>
        <w:bottom w:val="none" w:sz="0" w:space="0" w:color="auto"/>
        <w:right w:val="none" w:sz="0" w:space="0" w:color="auto"/>
      </w:divBdr>
      <w:divsChild>
        <w:div w:id="1624460521">
          <w:marLeft w:val="0"/>
          <w:marRight w:val="0"/>
          <w:marTop w:val="0"/>
          <w:marBottom w:val="0"/>
          <w:divBdr>
            <w:top w:val="none" w:sz="0" w:space="0" w:color="auto"/>
            <w:left w:val="none" w:sz="0" w:space="0" w:color="auto"/>
            <w:bottom w:val="none" w:sz="0" w:space="0" w:color="auto"/>
            <w:right w:val="none" w:sz="0" w:space="0" w:color="auto"/>
          </w:divBdr>
          <w:divsChild>
            <w:div w:id="1556039037">
              <w:marLeft w:val="0"/>
              <w:marRight w:val="0"/>
              <w:marTop w:val="0"/>
              <w:marBottom w:val="0"/>
              <w:divBdr>
                <w:top w:val="none" w:sz="0" w:space="0" w:color="auto"/>
                <w:left w:val="none" w:sz="0" w:space="0" w:color="auto"/>
                <w:bottom w:val="none" w:sz="0" w:space="0" w:color="auto"/>
                <w:right w:val="none" w:sz="0" w:space="0" w:color="auto"/>
              </w:divBdr>
              <w:divsChild>
                <w:div w:id="1476944421">
                  <w:marLeft w:val="0"/>
                  <w:marRight w:val="0"/>
                  <w:marTop w:val="0"/>
                  <w:marBottom w:val="0"/>
                  <w:divBdr>
                    <w:top w:val="none" w:sz="0" w:space="0" w:color="auto"/>
                    <w:left w:val="none" w:sz="0" w:space="0" w:color="auto"/>
                    <w:bottom w:val="none" w:sz="0" w:space="0" w:color="auto"/>
                    <w:right w:val="none" w:sz="0" w:space="0" w:color="auto"/>
                  </w:divBdr>
                </w:div>
              </w:divsChild>
            </w:div>
            <w:div w:id="2117864778">
              <w:marLeft w:val="0"/>
              <w:marRight w:val="0"/>
              <w:marTop w:val="0"/>
              <w:marBottom w:val="0"/>
              <w:divBdr>
                <w:top w:val="none" w:sz="0" w:space="0" w:color="auto"/>
                <w:left w:val="none" w:sz="0" w:space="0" w:color="auto"/>
                <w:bottom w:val="none" w:sz="0" w:space="0" w:color="auto"/>
                <w:right w:val="none" w:sz="0" w:space="0" w:color="auto"/>
              </w:divBdr>
              <w:divsChild>
                <w:div w:id="1360740616">
                  <w:marLeft w:val="0"/>
                  <w:marRight w:val="0"/>
                  <w:marTop w:val="0"/>
                  <w:marBottom w:val="0"/>
                  <w:divBdr>
                    <w:top w:val="none" w:sz="0" w:space="0" w:color="auto"/>
                    <w:left w:val="none" w:sz="0" w:space="0" w:color="auto"/>
                    <w:bottom w:val="none" w:sz="0" w:space="0" w:color="auto"/>
                    <w:right w:val="none" w:sz="0" w:space="0" w:color="auto"/>
                  </w:divBdr>
                  <w:divsChild>
                    <w:div w:id="449780556">
                      <w:marLeft w:val="0"/>
                      <w:marRight w:val="0"/>
                      <w:marTop w:val="0"/>
                      <w:marBottom w:val="0"/>
                      <w:divBdr>
                        <w:top w:val="none" w:sz="0" w:space="0" w:color="auto"/>
                        <w:left w:val="none" w:sz="0" w:space="0" w:color="auto"/>
                        <w:bottom w:val="none" w:sz="0" w:space="0" w:color="auto"/>
                        <w:right w:val="none" w:sz="0" w:space="0" w:color="auto"/>
                      </w:divBdr>
                      <w:divsChild>
                        <w:div w:id="2111000232">
                          <w:marLeft w:val="0"/>
                          <w:marRight w:val="0"/>
                          <w:marTop w:val="0"/>
                          <w:marBottom w:val="0"/>
                          <w:divBdr>
                            <w:top w:val="none" w:sz="0" w:space="0" w:color="auto"/>
                            <w:left w:val="none" w:sz="0" w:space="0" w:color="auto"/>
                            <w:bottom w:val="none" w:sz="0" w:space="0" w:color="auto"/>
                            <w:right w:val="none" w:sz="0" w:space="0" w:color="auto"/>
                          </w:divBdr>
                          <w:divsChild>
                            <w:div w:id="696272931">
                              <w:marLeft w:val="0"/>
                              <w:marRight w:val="0"/>
                              <w:marTop w:val="0"/>
                              <w:marBottom w:val="0"/>
                              <w:divBdr>
                                <w:top w:val="none" w:sz="0" w:space="0" w:color="auto"/>
                                <w:left w:val="none" w:sz="0" w:space="0" w:color="auto"/>
                                <w:bottom w:val="none" w:sz="0" w:space="0" w:color="auto"/>
                                <w:right w:val="none" w:sz="0" w:space="0" w:color="auto"/>
                              </w:divBdr>
                              <w:divsChild>
                                <w:div w:id="706372356">
                                  <w:marLeft w:val="0"/>
                                  <w:marRight w:val="0"/>
                                  <w:marTop w:val="0"/>
                                  <w:marBottom w:val="0"/>
                                  <w:divBdr>
                                    <w:top w:val="none" w:sz="0" w:space="0" w:color="auto"/>
                                    <w:left w:val="none" w:sz="0" w:space="0" w:color="auto"/>
                                    <w:bottom w:val="none" w:sz="0" w:space="0" w:color="auto"/>
                                    <w:right w:val="none" w:sz="0" w:space="0" w:color="auto"/>
                                  </w:divBdr>
                                  <w:divsChild>
                                    <w:div w:id="987517909">
                                      <w:marLeft w:val="0"/>
                                      <w:marRight w:val="0"/>
                                      <w:marTop w:val="0"/>
                                      <w:marBottom w:val="0"/>
                                      <w:divBdr>
                                        <w:top w:val="none" w:sz="0" w:space="0" w:color="auto"/>
                                        <w:left w:val="none" w:sz="0" w:space="0" w:color="auto"/>
                                        <w:bottom w:val="none" w:sz="0" w:space="0" w:color="auto"/>
                                        <w:right w:val="none" w:sz="0" w:space="0" w:color="auto"/>
                                      </w:divBdr>
                                      <w:divsChild>
                                        <w:div w:id="399600225">
                                          <w:marLeft w:val="0"/>
                                          <w:marRight w:val="0"/>
                                          <w:marTop w:val="0"/>
                                          <w:marBottom w:val="0"/>
                                          <w:divBdr>
                                            <w:top w:val="none" w:sz="0" w:space="0" w:color="auto"/>
                                            <w:left w:val="none" w:sz="0" w:space="0" w:color="auto"/>
                                            <w:bottom w:val="none" w:sz="0" w:space="0" w:color="auto"/>
                                            <w:right w:val="none" w:sz="0" w:space="0" w:color="auto"/>
                                          </w:divBdr>
                                          <w:divsChild>
                                            <w:div w:id="199558178">
                                              <w:marLeft w:val="0"/>
                                              <w:marRight w:val="0"/>
                                              <w:marTop w:val="0"/>
                                              <w:marBottom w:val="0"/>
                                              <w:divBdr>
                                                <w:top w:val="none" w:sz="0" w:space="0" w:color="auto"/>
                                                <w:left w:val="none" w:sz="0" w:space="0" w:color="auto"/>
                                                <w:bottom w:val="none" w:sz="0" w:space="0" w:color="auto"/>
                                                <w:right w:val="none" w:sz="0" w:space="0" w:color="auto"/>
                                              </w:divBdr>
                                              <w:divsChild>
                                                <w:div w:id="1346519981">
                                                  <w:marLeft w:val="0"/>
                                                  <w:marRight w:val="0"/>
                                                  <w:marTop w:val="0"/>
                                                  <w:marBottom w:val="0"/>
                                                  <w:divBdr>
                                                    <w:top w:val="none" w:sz="0" w:space="0" w:color="auto"/>
                                                    <w:left w:val="none" w:sz="0" w:space="0" w:color="auto"/>
                                                    <w:bottom w:val="none" w:sz="0" w:space="0" w:color="auto"/>
                                                    <w:right w:val="none" w:sz="0" w:space="0" w:color="auto"/>
                                                  </w:divBdr>
                                                </w:div>
                                                <w:div w:id="585656618">
                                                  <w:marLeft w:val="0"/>
                                                  <w:marRight w:val="0"/>
                                                  <w:marTop w:val="0"/>
                                                  <w:marBottom w:val="0"/>
                                                  <w:divBdr>
                                                    <w:top w:val="none" w:sz="0" w:space="0" w:color="auto"/>
                                                    <w:left w:val="none" w:sz="0" w:space="0" w:color="auto"/>
                                                    <w:bottom w:val="none" w:sz="0" w:space="0" w:color="auto"/>
                                                    <w:right w:val="none" w:sz="0" w:space="0" w:color="auto"/>
                                                  </w:divBdr>
                                                  <w:divsChild>
                                                    <w:div w:id="468935384">
                                                      <w:marLeft w:val="0"/>
                                                      <w:marRight w:val="0"/>
                                                      <w:marTop w:val="0"/>
                                                      <w:marBottom w:val="0"/>
                                                      <w:divBdr>
                                                        <w:top w:val="none" w:sz="0" w:space="0" w:color="auto"/>
                                                        <w:left w:val="none" w:sz="0" w:space="0" w:color="auto"/>
                                                        <w:bottom w:val="none" w:sz="0" w:space="0" w:color="auto"/>
                                                        <w:right w:val="none" w:sz="0" w:space="0" w:color="auto"/>
                                                      </w:divBdr>
                                                      <w:divsChild>
                                                        <w:div w:id="139253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79591307">
      <w:bodyDiv w:val="1"/>
      <w:marLeft w:val="0"/>
      <w:marRight w:val="0"/>
      <w:marTop w:val="0"/>
      <w:marBottom w:val="0"/>
      <w:divBdr>
        <w:top w:val="none" w:sz="0" w:space="0" w:color="auto"/>
        <w:left w:val="none" w:sz="0" w:space="0" w:color="auto"/>
        <w:bottom w:val="none" w:sz="0" w:space="0" w:color="auto"/>
        <w:right w:val="none" w:sz="0" w:space="0" w:color="auto"/>
      </w:divBdr>
    </w:div>
    <w:div w:id="391122901">
      <w:bodyDiv w:val="1"/>
      <w:marLeft w:val="0"/>
      <w:marRight w:val="0"/>
      <w:marTop w:val="0"/>
      <w:marBottom w:val="0"/>
      <w:divBdr>
        <w:top w:val="none" w:sz="0" w:space="0" w:color="auto"/>
        <w:left w:val="none" w:sz="0" w:space="0" w:color="auto"/>
        <w:bottom w:val="none" w:sz="0" w:space="0" w:color="auto"/>
        <w:right w:val="none" w:sz="0" w:space="0" w:color="auto"/>
      </w:divBdr>
    </w:div>
    <w:div w:id="411240360">
      <w:bodyDiv w:val="1"/>
      <w:marLeft w:val="0"/>
      <w:marRight w:val="0"/>
      <w:marTop w:val="0"/>
      <w:marBottom w:val="0"/>
      <w:divBdr>
        <w:top w:val="none" w:sz="0" w:space="0" w:color="auto"/>
        <w:left w:val="none" w:sz="0" w:space="0" w:color="auto"/>
        <w:bottom w:val="none" w:sz="0" w:space="0" w:color="auto"/>
        <w:right w:val="none" w:sz="0" w:space="0" w:color="auto"/>
      </w:divBdr>
      <w:divsChild>
        <w:div w:id="1110122048">
          <w:marLeft w:val="0"/>
          <w:marRight w:val="0"/>
          <w:marTop w:val="0"/>
          <w:marBottom w:val="0"/>
          <w:divBdr>
            <w:top w:val="none" w:sz="0" w:space="0" w:color="auto"/>
            <w:left w:val="none" w:sz="0" w:space="0" w:color="auto"/>
            <w:bottom w:val="none" w:sz="0" w:space="0" w:color="auto"/>
            <w:right w:val="none" w:sz="0" w:space="0" w:color="auto"/>
          </w:divBdr>
          <w:divsChild>
            <w:div w:id="378749298">
              <w:marLeft w:val="0"/>
              <w:marRight w:val="0"/>
              <w:marTop w:val="0"/>
              <w:marBottom w:val="0"/>
              <w:divBdr>
                <w:top w:val="none" w:sz="0" w:space="0" w:color="auto"/>
                <w:left w:val="none" w:sz="0" w:space="0" w:color="auto"/>
                <w:bottom w:val="none" w:sz="0" w:space="0" w:color="auto"/>
                <w:right w:val="none" w:sz="0" w:space="0" w:color="auto"/>
              </w:divBdr>
              <w:divsChild>
                <w:div w:id="106418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673450">
      <w:bodyDiv w:val="1"/>
      <w:marLeft w:val="0"/>
      <w:marRight w:val="0"/>
      <w:marTop w:val="0"/>
      <w:marBottom w:val="0"/>
      <w:divBdr>
        <w:top w:val="none" w:sz="0" w:space="0" w:color="auto"/>
        <w:left w:val="none" w:sz="0" w:space="0" w:color="auto"/>
        <w:bottom w:val="none" w:sz="0" w:space="0" w:color="auto"/>
        <w:right w:val="none" w:sz="0" w:space="0" w:color="auto"/>
      </w:divBdr>
      <w:divsChild>
        <w:div w:id="198980732">
          <w:marLeft w:val="0"/>
          <w:marRight w:val="0"/>
          <w:marTop w:val="0"/>
          <w:marBottom w:val="0"/>
          <w:divBdr>
            <w:top w:val="none" w:sz="0" w:space="0" w:color="auto"/>
            <w:left w:val="none" w:sz="0" w:space="0" w:color="auto"/>
            <w:bottom w:val="none" w:sz="0" w:space="0" w:color="auto"/>
            <w:right w:val="none" w:sz="0" w:space="0" w:color="auto"/>
          </w:divBdr>
          <w:divsChild>
            <w:div w:id="1866943974">
              <w:marLeft w:val="0"/>
              <w:marRight w:val="0"/>
              <w:marTop w:val="0"/>
              <w:marBottom w:val="0"/>
              <w:divBdr>
                <w:top w:val="none" w:sz="0" w:space="0" w:color="auto"/>
                <w:left w:val="none" w:sz="0" w:space="0" w:color="auto"/>
                <w:bottom w:val="none" w:sz="0" w:space="0" w:color="auto"/>
                <w:right w:val="none" w:sz="0" w:space="0" w:color="auto"/>
              </w:divBdr>
              <w:divsChild>
                <w:div w:id="138478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554261">
      <w:bodyDiv w:val="1"/>
      <w:marLeft w:val="0"/>
      <w:marRight w:val="0"/>
      <w:marTop w:val="0"/>
      <w:marBottom w:val="0"/>
      <w:divBdr>
        <w:top w:val="none" w:sz="0" w:space="0" w:color="auto"/>
        <w:left w:val="none" w:sz="0" w:space="0" w:color="auto"/>
        <w:bottom w:val="none" w:sz="0" w:space="0" w:color="auto"/>
        <w:right w:val="none" w:sz="0" w:space="0" w:color="auto"/>
      </w:divBdr>
      <w:divsChild>
        <w:div w:id="1982345033">
          <w:marLeft w:val="0"/>
          <w:marRight w:val="0"/>
          <w:marTop w:val="0"/>
          <w:marBottom w:val="0"/>
          <w:divBdr>
            <w:top w:val="none" w:sz="0" w:space="0" w:color="auto"/>
            <w:left w:val="none" w:sz="0" w:space="0" w:color="auto"/>
            <w:bottom w:val="none" w:sz="0" w:space="0" w:color="auto"/>
            <w:right w:val="none" w:sz="0" w:space="0" w:color="auto"/>
          </w:divBdr>
          <w:divsChild>
            <w:div w:id="1495876349">
              <w:marLeft w:val="0"/>
              <w:marRight w:val="0"/>
              <w:marTop w:val="0"/>
              <w:marBottom w:val="0"/>
              <w:divBdr>
                <w:top w:val="none" w:sz="0" w:space="0" w:color="auto"/>
                <w:left w:val="none" w:sz="0" w:space="0" w:color="auto"/>
                <w:bottom w:val="none" w:sz="0" w:space="0" w:color="auto"/>
                <w:right w:val="none" w:sz="0" w:space="0" w:color="auto"/>
              </w:divBdr>
              <w:divsChild>
                <w:div w:id="99360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739294">
      <w:bodyDiv w:val="1"/>
      <w:marLeft w:val="0"/>
      <w:marRight w:val="0"/>
      <w:marTop w:val="0"/>
      <w:marBottom w:val="0"/>
      <w:divBdr>
        <w:top w:val="none" w:sz="0" w:space="0" w:color="auto"/>
        <w:left w:val="none" w:sz="0" w:space="0" w:color="auto"/>
        <w:bottom w:val="none" w:sz="0" w:space="0" w:color="auto"/>
        <w:right w:val="none" w:sz="0" w:space="0" w:color="auto"/>
      </w:divBdr>
      <w:divsChild>
        <w:div w:id="1699500819">
          <w:marLeft w:val="0"/>
          <w:marRight w:val="0"/>
          <w:marTop w:val="0"/>
          <w:marBottom w:val="0"/>
          <w:divBdr>
            <w:top w:val="none" w:sz="0" w:space="0" w:color="auto"/>
            <w:left w:val="none" w:sz="0" w:space="0" w:color="auto"/>
            <w:bottom w:val="none" w:sz="0" w:space="0" w:color="auto"/>
            <w:right w:val="none" w:sz="0" w:space="0" w:color="auto"/>
          </w:divBdr>
          <w:divsChild>
            <w:div w:id="1185678562">
              <w:marLeft w:val="0"/>
              <w:marRight w:val="0"/>
              <w:marTop w:val="0"/>
              <w:marBottom w:val="0"/>
              <w:divBdr>
                <w:top w:val="none" w:sz="0" w:space="0" w:color="auto"/>
                <w:left w:val="none" w:sz="0" w:space="0" w:color="auto"/>
                <w:bottom w:val="none" w:sz="0" w:space="0" w:color="auto"/>
                <w:right w:val="none" w:sz="0" w:space="0" w:color="auto"/>
              </w:divBdr>
              <w:divsChild>
                <w:div w:id="13961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156802">
      <w:bodyDiv w:val="1"/>
      <w:marLeft w:val="0"/>
      <w:marRight w:val="0"/>
      <w:marTop w:val="0"/>
      <w:marBottom w:val="0"/>
      <w:divBdr>
        <w:top w:val="none" w:sz="0" w:space="0" w:color="auto"/>
        <w:left w:val="none" w:sz="0" w:space="0" w:color="auto"/>
        <w:bottom w:val="none" w:sz="0" w:space="0" w:color="auto"/>
        <w:right w:val="none" w:sz="0" w:space="0" w:color="auto"/>
      </w:divBdr>
      <w:divsChild>
        <w:div w:id="915630668">
          <w:marLeft w:val="0"/>
          <w:marRight w:val="0"/>
          <w:marTop w:val="0"/>
          <w:marBottom w:val="0"/>
          <w:divBdr>
            <w:top w:val="none" w:sz="0" w:space="0" w:color="auto"/>
            <w:left w:val="none" w:sz="0" w:space="0" w:color="auto"/>
            <w:bottom w:val="none" w:sz="0" w:space="0" w:color="auto"/>
            <w:right w:val="none" w:sz="0" w:space="0" w:color="auto"/>
          </w:divBdr>
          <w:divsChild>
            <w:div w:id="443883770">
              <w:marLeft w:val="0"/>
              <w:marRight w:val="0"/>
              <w:marTop w:val="0"/>
              <w:marBottom w:val="0"/>
              <w:divBdr>
                <w:top w:val="none" w:sz="0" w:space="0" w:color="auto"/>
                <w:left w:val="none" w:sz="0" w:space="0" w:color="auto"/>
                <w:bottom w:val="none" w:sz="0" w:space="0" w:color="auto"/>
                <w:right w:val="none" w:sz="0" w:space="0" w:color="auto"/>
              </w:divBdr>
              <w:divsChild>
                <w:div w:id="112253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877228">
      <w:bodyDiv w:val="1"/>
      <w:marLeft w:val="0"/>
      <w:marRight w:val="0"/>
      <w:marTop w:val="0"/>
      <w:marBottom w:val="0"/>
      <w:divBdr>
        <w:top w:val="none" w:sz="0" w:space="0" w:color="auto"/>
        <w:left w:val="none" w:sz="0" w:space="0" w:color="auto"/>
        <w:bottom w:val="none" w:sz="0" w:space="0" w:color="auto"/>
        <w:right w:val="none" w:sz="0" w:space="0" w:color="auto"/>
      </w:divBdr>
    </w:div>
    <w:div w:id="586840509">
      <w:bodyDiv w:val="1"/>
      <w:marLeft w:val="0"/>
      <w:marRight w:val="0"/>
      <w:marTop w:val="0"/>
      <w:marBottom w:val="0"/>
      <w:divBdr>
        <w:top w:val="none" w:sz="0" w:space="0" w:color="auto"/>
        <w:left w:val="none" w:sz="0" w:space="0" w:color="auto"/>
        <w:bottom w:val="none" w:sz="0" w:space="0" w:color="auto"/>
        <w:right w:val="none" w:sz="0" w:space="0" w:color="auto"/>
      </w:divBdr>
      <w:divsChild>
        <w:div w:id="1875380616">
          <w:marLeft w:val="0"/>
          <w:marRight w:val="0"/>
          <w:marTop w:val="0"/>
          <w:marBottom w:val="0"/>
          <w:divBdr>
            <w:top w:val="none" w:sz="0" w:space="0" w:color="auto"/>
            <w:left w:val="none" w:sz="0" w:space="0" w:color="auto"/>
            <w:bottom w:val="none" w:sz="0" w:space="0" w:color="auto"/>
            <w:right w:val="none" w:sz="0" w:space="0" w:color="auto"/>
          </w:divBdr>
          <w:divsChild>
            <w:div w:id="1080640680">
              <w:marLeft w:val="0"/>
              <w:marRight w:val="0"/>
              <w:marTop w:val="0"/>
              <w:marBottom w:val="0"/>
              <w:divBdr>
                <w:top w:val="none" w:sz="0" w:space="0" w:color="auto"/>
                <w:left w:val="none" w:sz="0" w:space="0" w:color="auto"/>
                <w:bottom w:val="none" w:sz="0" w:space="0" w:color="auto"/>
                <w:right w:val="none" w:sz="0" w:space="0" w:color="auto"/>
              </w:divBdr>
              <w:divsChild>
                <w:div w:id="174845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881637">
      <w:bodyDiv w:val="1"/>
      <w:marLeft w:val="0"/>
      <w:marRight w:val="0"/>
      <w:marTop w:val="0"/>
      <w:marBottom w:val="0"/>
      <w:divBdr>
        <w:top w:val="none" w:sz="0" w:space="0" w:color="auto"/>
        <w:left w:val="none" w:sz="0" w:space="0" w:color="auto"/>
        <w:bottom w:val="none" w:sz="0" w:space="0" w:color="auto"/>
        <w:right w:val="none" w:sz="0" w:space="0" w:color="auto"/>
      </w:divBdr>
    </w:div>
    <w:div w:id="613287582">
      <w:bodyDiv w:val="1"/>
      <w:marLeft w:val="0"/>
      <w:marRight w:val="0"/>
      <w:marTop w:val="0"/>
      <w:marBottom w:val="0"/>
      <w:divBdr>
        <w:top w:val="none" w:sz="0" w:space="0" w:color="auto"/>
        <w:left w:val="none" w:sz="0" w:space="0" w:color="auto"/>
        <w:bottom w:val="none" w:sz="0" w:space="0" w:color="auto"/>
        <w:right w:val="none" w:sz="0" w:space="0" w:color="auto"/>
      </w:divBdr>
      <w:divsChild>
        <w:div w:id="2082023621">
          <w:marLeft w:val="0"/>
          <w:marRight w:val="0"/>
          <w:marTop w:val="0"/>
          <w:marBottom w:val="0"/>
          <w:divBdr>
            <w:top w:val="none" w:sz="0" w:space="0" w:color="auto"/>
            <w:left w:val="none" w:sz="0" w:space="0" w:color="auto"/>
            <w:bottom w:val="none" w:sz="0" w:space="0" w:color="auto"/>
            <w:right w:val="none" w:sz="0" w:space="0" w:color="auto"/>
          </w:divBdr>
          <w:divsChild>
            <w:div w:id="263924469">
              <w:marLeft w:val="0"/>
              <w:marRight w:val="0"/>
              <w:marTop w:val="0"/>
              <w:marBottom w:val="0"/>
              <w:divBdr>
                <w:top w:val="none" w:sz="0" w:space="0" w:color="auto"/>
                <w:left w:val="none" w:sz="0" w:space="0" w:color="auto"/>
                <w:bottom w:val="none" w:sz="0" w:space="0" w:color="auto"/>
                <w:right w:val="none" w:sz="0" w:space="0" w:color="auto"/>
              </w:divBdr>
              <w:divsChild>
                <w:div w:id="26615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404744">
      <w:bodyDiv w:val="1"/>
      <w:marLeft w:val="0"/>
      <w:marRight w:val="0"/>
      <w:marTop w:val="0"/>
      <w:marBottom w:val="0"/>
      <w:divBdr>
        <w:top w:val="none" w:sz="0" w:space="0" w:color="auto"/>
        <w:left w:val="none" w:sz="0" w:space="0" w:color="auto"/>
        <w:bottom w:val="none" w:sz="0" w:space="0" w:color="auto"/>
        <w:right w:val="none" w:sz="0" w:space="0" w:color="auto"/>
      </w:divBdr>
    </w:div>
    <w:div w:id="633221776">
      <w:bodyDiv w:val="1"/>
      <w:marLeft w:val="0"/>
      <w:marRight w:val="0"/>
      <w:marTop w:val="0"/>
      <w:marBottom w:val="0"/>
      <w:divBdr>
        <w:top w:val="none" w:sz="0" w:space="0" w:color="auto"/>
        <w:left w:val="none" w:sz="0" w:space="0" w:color="auto"/>
        <w:bottom w:val="none" w:sz="0" w:space="0" w:color="auto"/>
        <w:right w:val="none" w:sz="0" w:space="0" w:color="auto"/>
      </w:divBdr>
      <w:divsChild>
        <w:div w:id="1331523913">
          <w:marLeft w:val="0"/>
          <w:marRight w:val="0"/>
          <w:marTop w:val="0"/>
          <w:marBottom w:val="0"/>
          <w:divBdr>
            <w:top w:val="none" w:sz="0" w:space="0" w:color="auto"/>
            <w:left w:val="none" w:sz="0" w:space="0" w:color="auto"/>
            <w:bottom w:val="none" w:sz="0" w:space="0" w:color="auto"/>
            <w:right w:val="none" w:sz="0" w:space="0" w:color="auto"/>
          </w:divBdr>
          <w:divsChild>
            <w:div w:id="1447040891">
              <w:marLeft w:val="0"/>
              <w:marRight w:val="0"/>
              <w:marTop w:val="0"/>
              <w:marBottom w:val="0"/>
              <w:divBdr>
                <w:top w:val="none" w:sz="0" w:space="0" w:color="auto"/>
                <w:left w:val="none" w:sz="0" w:space="0" w:color="auto"/>
                <w:bottom w:val="none" w:sz="0" w:space="0" w:color="auto"/>
                <w:right w:val="none" w:sz="0" w:space="0" w:color="auto"/>
              </w:divBdr>
              <w:divsChild>
                <w:div w:id="123558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716112">
      <w:bodyDiv w:val="1"/>
      <w:marLeft w:val="0"/>
      <w:marRight w:val="0"/>
      <w:marTop w:val="0"/>
      <w:marBottom w:val="0"/>
      <w:divBdr>
        <w:top w:val="none" w:sz="0" w:space="0" w:color="auto"/>
        <w:left w:val="none" w:sz="0" w:space="0" w:color="auto"/>
        <w:bottom w:val="none" w:sz="0" w:space="0" w:color="auto"/>
        <w:right w:val="none" w:sz="0" w:space="0" w:color="auto"/>
      </w:divBdr>
      <w:divsChild>
        <w:div w:id="1476796736">
          <w:marLeft w:val="0"/>
          <w:marRight w:val="0"/>
          <w:marTop w:val="0"/>
          <w:marBottom w:val="0"/>
          <w:divBdr>
            <w:top w:val="none" w:sz="0" w:space="0" w:color="auto"/>
            <w:left w:val="none" w:sz="0" w:space="0" w:color="auto"/>
            <w:bottom w:val="none" w:sz="0" w:space="0" w:color="auto"/>
            <w:right w:val="none" w:sz="0" w:space="0" w:color="auto"/>
          </w:divBdr>
          <w:divsChild>
            <w:div w:id="1395549616">
              <w:marLeft w:val="0"/>
              <w:marRight w:val="0"/>
              <w:marTop w:val="0"/>
              <w:marBottom w:val="0"/>
              <w:divBdr>
                <w:top w:val="none" w:sz="0" w:space="0" w:color="auto"/>
                <w:left w:val="none" w:sz="0" w:space="0" w:color="auto"/>
                <w:bottom w:val="none" w:sz="0" w:space="0" w:color="auto"/>
                <w:right w:val="none" w:sz="0" w:space="0" w:color="auto"/>
              </w:divBdr>
              <w:divsChild>
                <w:div w:id="120611929">
                  <w:marLeft w:val="0"/>
                  <w:marRight w:val="0"/>
                  <w:marTop w:val="0"/>
                  <w:marBottom w:val="0"/>
                  <w:divBdr>
                    <w:top w:val="none" w:sz="0" w:space="0" w:color="auto"/>
                    <w:left w:val="none" w:sz="0" w:space="0" w:color="auto"/>
                    <w:bottom w:val="none" w:sz="0" w:space="0" w:color="auto"/>
                    <w:right w:val="none" w:sz="0" w:space="0" w:color="auto"/>
                  </w:divBdr>
                </w:div>
              </w:divsChild>
            </w:div>
            <w:div w:id="426462095">
              <w:marLeft w:val="0"/>
              <w:marRight w:val="0"/>
              <w:marTop w:val="0"/>
              <w:marBottom w:val="0"/>
              <w:divBdr>
                <w:top w:val="none" w:sz="0" w:space="0" w:color="auto"/>
                <w:left w:val="none" w:sz="0" w:space="0" w:color="auto"/>
                <w:bottom w:val="none" w:sz="0" w:space="0" w:color="auto"/>
                <w:right w:val="none" w:sz="0" w:space="0" w:color="auto"/>
              </w:divBdr>
              <w:divsChild>
                <w:div w:id="94150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111779">
      <w:bodyDiv w:val="1"/>
      <w:marLeft w:val="0"/>
      <w:marRight w:val="0"/>
      <w:marTop w:val="0"/>
      <w:marBottom w:val="0"/>
      <w:divBdr>
        <w:top w:val="none" w:sz="0" w:space="0" w:color="auto"/>
        <w:left w:val="none" w:sz="0" w:space="0" w:color="auto"/>
        <w:bottom w:val="none" w:sz="0" w:space="0" w:color="auto"/>
        <w:right w:val="none" w:sz="0" w:space="0" w:color="auto"/>
      </w:divBdr>
      <w:divsChild>
        <w:div w:id="1293629672">
          <w:marLeft w:val="0"/>
          <w:marRight w:val="0"/>
          <w:marTop w:val="0"/>
          <w:marBottom w:val="0"/>
          <w:divBdr>
            <w:top w:val="none" w:sz="0" w:space="0" w:color="auto"/>
            <w:left w:val="none" w:sz="0" w:space="0" w:color="auto"/>
            <w:bottom w:val="none" w:sz="0" w:space="0" w:color="auto"/>
            <w:right w:val="none" w:sz="0" w:space="0" w:color="auto"/>
          </w:divBdr>
          <w:divsChild>
            <w:div w:id="1832679004">
              <w:marLeft w:val="0"/>
              <w:marRight w:val="0"/>
              <w:marTop w:val="0"/>
              <w:marBottom w:val="0"/>
              <w:divBdr>
                <w:top w:val="none" w:sz="0" w:space="0" w:color="auto"/>
                <w:left w:val="none" w:sz="0" w:space="0" w:color="auto"/>
                <w:bottom w:val="none" w:sz="0" w:space="0" w:color="auto"/>
                <w:right w:val="none" w:sz="0" w:space="0" w:color="auto"/>
              </w:divBdr>
              <w:divsChild>
                <w:div w:id="88279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817961">
      <w:bodyDiv w:val="1"/>
      <w:marLeft w:val="0"/>
      <w:marRight w:val="0"/>
      <w:marTop w:val="0"/>
      <w:marBottom w:val="0"/>
      <w:divBdr>
        <w:top w:val="none" w:sz="0" w:space="0" w:color="auto"/>
        <w:left w:val="none" w:sz="0" w:space="0" w:color="auto"/>
        <w:bottom w:val="none" w:sz="0" w:space="0" w:color="auto"/>
        <w:right w:val="none" w:sz="0" w:space="0" w:color="auto"/>
      </w:divBdr>
    </w:div>
    <w:div w:id="676619409">
      <w:bodyDiv w:val="1"/>
      <w:marLeft w:val="0"/>
      <w:marRight w:val="0"/>
      <w:marTop w:val="0"/>
      <w:marBottom w:val="0"/>
      <w:divBdr>
        <w:top w:val="none" w:sz="0" w:space="0" w:color="auto"/>
        <w:left w:val="none" w:sz="0" w:space="0" w:color="auto"/>
        <w:bottom w:val="none" w:sz="0" w:space="0" w:color="auto"/>
        <w:right w:val="none" w:sz="0" w:space="0" w:color="auto"/>
      </w:divBdr>
      <w:divsChild>
        <w:div w:id="770127847">
          <w:marLeft w:val="0"/>
          <w:marRight w:val="0"/>
          <w:marTop w:val="0"/>
          <w:marBottom w:val="0"/>
          <w:divBdr>
            <w:top w:val="none" w:sz="0" w:space="0" w:color="auto"/>
            <w:left w:val="none" w:sz="0" w:space="0" w:color="auto"/>
            <w:bottom w:val="none" w:sz="0" w:space="0" w:color="auto"/>
            <w:right w:val="none" w:sz="0" w:space="0" w:color="auto"/>
          </w:divBdr>
          <w:divsChild>
            <w:div w:id="1988897709">
              <w:marLeft w:val="0"/>
              <w:marRight w:val="0"/>
              <w:marTop w:val="0"/>
              <w:marBottom w:val="0"/>
              <w:divBdr>
                <w:top w:val="none" w:sz="0" w:space="0" w:color="auto"/>
                <w:left w:val="none" w:sz="0" w:space="0" w:color="auto"/>
                <w:bottom w:val="none" w:sz="0" w:space="0" w:color="auto"/>
                <w:right w:val="none" w:sz="0" w:space="0" w:color="auto"/>
              </w:divBdr>
              <w:divsChild>
                <w:div w:id="99175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543655">
      <w:bodyDiv w:val="1"/>
      <w:marLeft w:val="0"/>
      <w:marRight w:val="0"/>
      <w:marTop w:val="0"/>
      <w:marBottom w:val="0"/>
      <w:divBdr>
        <w:top w:val="none" w:sz="0" w:space="0" w:color="auto"/>
        <w:left w:val="none" w:sz="0" w:space="0" w:color="auto"/>
        <w:bottom w:val="none" w:sz="0" w:space="0" w:color="auto"/>
        <w:right w:val="none" w:sz="0" w:space="0" w:color="auto"/>
      </w:divBdr>
    </w:div>
    <w:div w:id="707951381">
      <w:bodyDiv w:val="1"/>
      <w:marLeft w:val="0"/>
      <w:marRight w:val="0"/>
      <w:marTop w:val="0"/>
      <w:marBottom w:val="0"/>
      <w:divBdr>
        <w:top w:val="none" w:sz="0" w:space="0" w:color="auto"/>
        <w:left w:val="none" w:sz="0" w:space="0" w:color="auto"/>
        <w:bottom w:val="none" w:sz="0" w:space="0" w:color="auto"/>
        <w:right w:val="none" w:sz="0" w:space="0" w:color="auto"/>
      </w:divBdr>
      <w:divsChild>
        <w:div w:id="480270620">
          <w:marLeft w:val="0"/>
          <w:marRight w:val="0"/>
          <w:marTop w:val="0"/>
          <w:marBottom w:val="0"/>
          <w:divBdr>
            <w:top w:val="none" w:sz="0" w:space="0" w:color="auto"/>
            <w:left w:val="none" w:sz="0" w:space="0" w:color="auto"/>
            <w:bottom w:val="none" w:sz="0" w:space="0" w:color="auto"/>
            <w:right w:val="none" w:sz="0" w:space="0" w:color="auto"/>
          </w:divBdr>
          <w:divsChild>
            <w:div w:id="577597906">
              <w:marLeft w:val="0"/>
              <w:marRight w:val="0"/>
              <w:marTop w:val="0"/>
              <w:marBottom w:val="0"/>
              <w:divBdr>
                <w:top w:val="none" w:sz="0" w:space="0" w:color="auto"/>
                <w:left w:val="none" w:sz="0" w:space="0" w:color="auto"/>
                <w:bottom w:val="none" w:sz="0" w:space="0" w:color="auto"/>
                <w:right w:val="none" w:sz="0" w:space="0" w:color="auto"/>
              </w:divBdr>
              <w:divsChild>
                <w:div w:id="207161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147018">
      <w:bodyDiv w:val="1"/>
      <w:marLeft w:val="0"/>
      <w:marRight w:val="0"/>
      <w:marTop w:val="0"/>
      <w:marBottom w:val="0"/>
      <w:divBdr>
        <w:top w:val="none" w:sz="0" w:space="0" w:color="auto"/>
        <w:left w:val="none" w:sz="0" w:space="0" w:color="auto"/>
        <w:bottom w:val="none" w:sz="0" w:space="0" w:color="auto"/>
        <w:right w:val="none" w:sz="0" w:space="0" w:color="auto"/>
      </w:divBdr>
    </w:div>
    <w:div w:id="772941127">
      <w:bodyDiv w:val="1"/>
      <w:marLeft w:val="0"/>
      <w:marRight w:val="0"/>
      <w:marTop w:val="0"/>
      <w:marBottom w:val="0"/>
      <w:divBdr>
        <w:top w:val="none" w:sz="0" w:space="0" w:color="auto"/>
        <w:left w:val="none" w:sz="0" w:space="0" w:color="auto"/>
        <w:bottom w:val="none" w:sz="0" w:space="0" w:color="auto"/>
        <w:right w:val="none" w:sz="0" w:space="0" w:color="auto"/>
      </w:divBdr>
      <w:divsChild>
        <w:div w:id="530724842">
          <w:marLeft w:val="0"/>
          <w:marRight w:val="0"/>
          <w:marTop w:val="0"/>
          <w:marBottom w:val="0"/>
          <w:divBdr>
            <w:top w:val="none" w:sz="0" w:space="0" w:color="auto"/>
            <w:left w:val="none" w:sz="0" w:space="0" w:color="auto"/>
            <w:bottom w:val="none" w:sz="0" w:space="0" w:color="auto"/>
            <w:right w:val="none" w:sz="0" w:space="0" w:color="auto"/>
          </w:divBdr>
          <w:divsChild>
            <w:div w:id="155459126">
              <w:marLeft w:val="0"/>
              <w:marRight w:val="0"/>
              <w:marTop w:val="0"/>
              <w:marBottom w:val="0"/>
              <w:divBdr>
                <w:top w:val="none" w:sz="0" w:space="0" w:color="auto"/>
                <w:left w:val="none" w:sz="0" w:space="0" w:color="auto"/>
                <w:bottom w:val="none" w:sz="0" w:space="0" w:color="auto"/>
                <w:right w:val="none" w:sz="0" w:space="0" w:color="auto"/>
              </w:divBdr>
              <w:divsChild>
                <w:div w:id="197941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010328">
      <w:bodyDiv w:val="1"/>
      <w:marLeft w:val="0"/>
      <w:marRight w:val="0"/>
      <w:marTop w:val="0"/>
      <w:marBottom w:val="0"/>
      <w:divBdr>
        <w:top w:val="none" w:sz="0" w:space="0" w:color="auto"/>
        <w:left w:val="none" w:sz="0" w:space="0" w:color="auto"/>
        <w:bottom w:val="none" w:sz="0" w:space="0" w:color="auto"/>
        <w:right w:val="none" w:sz="0" w:space="0" w:color="auto"/>
      </w:divBdr>
    </w:div>
    <w:div w:id="822966719">
      <w:bodyDiv w:val="1"/>
      <w:marLeft w:val="0"/>
      <w:marRight w:val="0"/>
      <w:marTop w:val="0"/>
      <w:marBottom w:val="0"/>
      <w:divBdr>
        <w:top w:val="none" w:sz="0" w:space="0" w:color="auto"/>
        <w:left w:val="none" w:sz="0" w:space="0" w:color="auto"/>
        <w:bottom w:val="none" w:sz="0" w:space="0" w:color="auto"/>
        <w:right w:val="none" w:sz="0" w:space="0" w:color="auto"/>
      </w:divBdr>
    </w:div>
    <w:div w:id="854729763">
      <w:bodyDiv w:val="1"/>
      <w:marLeft w:val="0"/>
      <w:marRight w:val="0"/>
      <w:marTop w:val="0"/>
      <w:marBottom w:val="0"/>
      <w:divBdr>
        <w:top w:val="none" w:sz="0" w:space="0" w:color="auto"/>
        <w:left w:val="none" w:sz="0" w:space="0" w:color="auto"/>
        <w:bottom w:val="none" w:sz="0" w:space="0" w:color="auto"/>
        <w:right w:val="none" w:sz="0" w:space="0" w:color="auto"/>
      </w:divBdr>
      <w:divsChild>
        <w:div w:id="1979459581">
          <w:marLeft w:val="0"/>
          <w:marRight w:val="0"/>
          <w:marTop w:val="0"/>
          <w:marBottom w:val="0"/>
          <w:divBdr>
            <w:top w:val="none" w:sz="0" w:space="0" w:color="auto"/>
            <w:left w:val="none" w:sz="0" w:space="0" w:color="auto"/>
            <w:bottom w:val="none" w:sz="0" w:space="0" w:color="auto"/>
            <w:right w:val="none" w:sz="0" w:space="0" w:color="auto"/>
          </w:divBdr>
          <w:divsChild>
            <w:div w:id="1078669201">
              <w:marLeft w:val="0"/>
              <w:marRight w:val="0"/>
              <w:marTop w:val="0"/>
              <w:marBottom w:val="0"/>
              <w:divBdr>
                <w:top w:val="none" w:sz="0" w:space="0" w:color="auto"/>
                <w:left w:val="none" w:sz="0" w:space="0" w:color="auto"/>
                <w:bottom w:val="none" w:sz="0" w:space="0" w:color="auto"/>
                <w:right w:val="none" w:sz="0" w:space="0" w:color="auto"/>
              </w:divBdr>
              <w:divsChild>
                <w:div w:id="199629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444609">
      <w:bodyDiv w:val="1"/>
      <w:marLeft w:val="0"/>
      <w:marRight w:val="0"/>
      <w:marTop w:val="0"/>
      <w:marBottom w:val="0"/>
      <w:divBdr>
        <w:top w:val="none" w:sz="0" w:space="0" w:color="auto"/>
        <w:left w:val="none" w:sz="0" w:space="0" w:color="auto"/>
        <w:bottom w:val="none" w:sz="0" w:space="0" w:color="auto"/>
        <w:right w:val="none" w:sz="0" w:space="0" w:color="auto"/>
      </w:divBdr>
      <w:divsChild>
        <w:div w:id="215703844">
          <w:marLeft w:val="0"/>
          <w:marRight w:val="0"/>
          <w:marTop w:val="0"/>
          <w:marBottom w:val="0"/>
          <w:divBdr>
            <w:top w:val="none" w:sz="0" w:space="0" w:color="auto"/>
            <w:left w:val="none" w:sz="0" w:space="0" w:color="auto"/>
            <w:bottom w:val="none" w:sz="0" w:space="0" w:color="auto"/>
            <w:right w:val="none" w:sz="0" w:space="0" w:color="auto"/>
          </w:divBdr>
          <w:divsChild>
            <w:div w:id="281307000">
              <w:marLeft w:val="0"/>
              <w:marRight w:val="0"/>
              <w:marTop w:val="0"/>
              <w:marBottom w:val="0"/>
              <w:divBdr>
                <w:top w:val="none" w:sz="0" w:space="0" w:color="auto"/>
                <w:left w:val="none" w:sz="0" w:space="0" w:color="auto"/>
                <w:bottom w:val="none" w:sz="0" w:space="0" w:color="auto"/>
                <w:right w:val="none" w:sz="0" w:space="0" w:color="auto"/>
              </w:divBdr>
              <w:divsChild>
                <w:div w:id="620841202">
                  <w:marLeft w:val="0"/>
                  <w:marRight w:val="0"/>
                  <w:marTop w:val="0"/>
                  <w:marBottom w:val="0"/>
                  <w:divBdr>
                    <w:top w:val="none" w:sz="0" w:space="0" w:color="auto"/>
                    <w:left w:val="none" w:sz="0" w:space="0" w:color="auto"/>
                    <w:bottom w:val="none" w:sz="0" w:space="0" w:color="auto"/>
                    <w:right w:val="none" w:sz="0" w:space="0" w:color="auto"/>
                  </w:divBdr>
                  <w:divsChild>
                    <w:div w:id="382753456">
                      <w:marLeft w:val="0"/>
                      <w:marRight w:val="0"/>
                      <w:marTop w:val="0"/>
                      <w:marBottom w:val="0"/>
                      <w:divBdr>
                        <w:top w:val="none" w:sz="0" w:space="0" w:color="auto"/>
                        <w:left w:val="none" w:sz="0" w:space="0" w:color="auto"/>
                        <w:bottom w:val="none" w:sz="0" w:space="0" w:color="auto"/>
                        <w:right w:val="none" w:sz="0" w:space="0" w:color="auto"/>
                      </w:divBdr>
                    </w:div>
                  </w:divsChild>
                </w:div>
                <w:div w:id="1055281508">
                  <w:marLeft w:val="0"/>
                  <w:marRight w:val="0"/>
                  <w:marTop w:val="0"/>
                  <w:marBottom w:val="0"/>
                  <w:divBdr>
                    <w:top w:val="none" w:sz="0" w:space="0" w:color="auto"/>
                    <w:left w:val="none" w:sz="0" w:space="0" w:color="auto"/>
                    <w:bottom w:val="none" w:sz="0" w:space="0" w:color="auto"/>
                    <w:right w:val="none" w:sz="0" w:space="0" w:color="auto"/>
                  </w:divBdr>
                  <w:divsChild>
                    <w:div w:id="37978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213192">
      <w:bodyDiv w:val="1"/>
      <w:marLeft w:val="0"/>
      <w:marRight w:val="0"/>
      <w:marTop w:val="0"/>
      <w:marBottom w:val="0"/>
      <w:divBdr>
        <w:top w:val="none" w:sz="0" w:space="0" w:color="auto"/>
        <w:left w:val="none" w:sz="0" w:space="0" w:color="auto"/>
        <w:bottom w:val="none" w:sz="0" w:space="0" w:color="auto"/>
        <w:right w:val="none" w:sz="0" w:space="0" w:color="auto"/>
      </w:divBdr>
      <w:divsChild>
        <w:div w:id="143397827">
          <w:marLeft w:val="0"/>
          <w:marRight w:val="0"/>
          <w:marTop w:val="0"/>
          <w:marBottom w:val="0"/>
          <w:divBdr>
            <w:top w:val="none" w:sz="0" w:space="0" w:color="auto"/>
            <w:left w:val="none" w:sz="0" w:space="0" w:color="auto"/>
            <w:bottom w:val="none" w:sz="0" w:space="0" w:color="auto"/>
            <w:right w:val="none" w:sz="0" w:space="0" w:color="auto"/>
          </w:divBdr>
          <w:divsChild>
            <w:div w:id="549077257">
              <w:marLeft w:val="0"/>
              <w:marRight w:val="0"/>
              <w:marTop w:val="0"/>
              <w:marBottom w:val="0"/>
              <w:divBdr>
                <w:top w:val="none" w:sz="0" w:space="0" w:color="auto"/>
                <w:left w:val="none" w:sz="0" w:space="0" w:color="auto"/>
                <w:bottom w:val="none" w:sz="0" w:space="0" w:color="auto"/>
                <w:right w:val="none" w:sz="0" w:space="0" w:color="auto"/>
              </w:divBdr>
              <w:divsChild>
                <w:div w:id="102636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109750">
      <w:bodyDiv w:val="1"/>
      <w:marLeft w:val="0"/>
      <w:marRight w:val="0"/>
      <w:marTop w:val="0"/>
      <w:marBottom w:val="0"/>
      <w:divBdr>
        <w:top w:val="none" w:sz="0" w:space="0" w:color="auto"/>
        <w:left w:val="none" w:sz="0" w:space="0" w:color="auto"/>
        <w:bottom w:val="none" w:sz="0" w:space="0" w:color="auto"/>
        <w:right w:val="none" w:sz="0" w:space="0" w:color="auto"/>
      </w:divBdr>
    </w:div>
    <w:div w:id="889071294">
      <w:bodyDiv w:val="1"/>
      <w:marLeft w:val="0"/>
      <w:marRight w:val="0"/>
      <w:marTop w:val="0"/>
      <w:marBottom w:val="0"/>
      <w:divBdr>
        <w:top w:val="none" w:sz="0" w:space="0" w:color="auto"/>
        <w:left w:val="none" w:sz="0" w:space="0" w:color="auto"/>
        <w:bottom w:val="none" w:sz="0" w:space="0" w:color="auto"/>
        <w:right w:val="none" w:sz="0" w:space="0" w:color="auto"/>
      </w:divBdr>
      <w:divsChild>
        <w:div w:id="1173107617">
          <w:marLeft w:val="0"/>
          <w:marRight w:val="0"/>
          <w:marTop w:val="0"/>
          <w:marBottom w:val="0"/>
          <w:divBdr>
            <w:top w:val="none" w:sz="0" w:space="0" w:color="auto"/>
            <w:left w:val="none" w:sz="0" w:space="0" w:color="auto"/>
            <w:bottom w:val="none" w:sz="0" w:space="0" w:color="auto"/>
            <w:right w:val="none" w:sz="0" w:space="0" w:color="auto"/>
          </w:divBdr>
          <w:divsChild>
            <w:div w:id="619071718">
              <w:marLeft w:val="0"/>
              <w:marRight w:val="0"/>
              <w:marTop w:val="0"/>
              <w:marBottom w:val="0"/>
              <w:divBdr>
                <w:top w:val="none" w:sz="0" w:space="0" w:color="auto"/>
                <w:left w:val="none" w:sz="0" w:space="0" w:color="auto"/>
                <w:bottom w:val="none" w:sz="0" w:space="0" w:color="auto"/>
                <w:right w:val="none" w:sz="0" w:space="0" w:color="auto"/>
              </w:divBdr>
              <w:divsChild>
                <w:div w:id="336423941">
                  <w:marLeft w:val="0"/>
                  <w:marRight w:val="0"/>
                  <w:marTop w:val="0"/>
                  <w:marBottom w:val="0"/>
                  <w:divBdr>
                    <w:top w:val="none" w:sz="0" w:space="0" w:color="auto"/>
                    <w:left w:val="none" w:sz="0" w:space="0" w:color="auto"/>
                    <w:bottom w:val="none" w:sz="0" w:space="0" w:color="auto"/>
                    <w:right w:val="none" w:sz="0" w:space="0" w:color="auto"/>
                  </w:divBdr>
                  <w:divsChild>
                    <w:div w:id="156074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3054780">
      <w:bodyDiv w:val="1"/>
      <w:marLeft w:val="0"/>
      <w:marRight w:val="0"/>
      <w:marTop w:val="0"/>
      <w:marBottom w:val="0"/>
      <w:divBdr>
        <w:top w:val="none" w:sz="0" w:space="0" w:color="auto"/>
        <w:left w:val="none" w:sz="0" w:space="0" w:color="auto"/>
        <w:bottom w:val="none" w:sz="0" w:space="0" w:color="auto"/>
        <w:right w:val="none" w:sz="0" w:space="0" w:color="auto"/>
      </w:divBdr>
    </w:div>
    <w:div w:id="972447520">
      <w:bodyDiv w:val="1"/>
      <w:marLeft w:val="0"/>
      <w:marRight w:val="0"/>
      <w:marTop w:val="0"/>
      <w:marBottom w:val="0"/>
      <w:divBdr>
        <w:top w:val="none" w:sz="0" w:space="0" w:color="auto"/>
        <w:left w:val="none" w:sz="0" w:space="0" w:color="auto"/>
        <w:bottom w:val="none" w:sz="0" w:space="0" w:color="auto"/>
        <w:right w:val="none" w:sz="0" w:space="0" w:color="auto"/>
      </w:divBdr>
    </w:div>
    <w:div w:id="980765595">
      <w:bodyDiv w:val="1"/>
      <w:marLeft w:val="0"/>
      <w:marRight w:val="0"/>
      <w:marTop w:val="0"/>
      <w:marBottom w:val="0"/>
      <w:divBdr>
        <w:top w:val="none" w:sz="0" w:space="0" w:color="auto"/>
        <w:left w:val="none" w:sz="0" w:space="0" w:color="auto"/>
        <w:bottom w:val="none" w:sz="0" w:space="0" w:color="auto"/>
        <w:right w:val="none" w:sz="0" w:space="0" w:color="auto"/>
      </w:divBdr>
      <w:divsChild>
        <w:div w:id="2116316556">
          <w:marLeft w:val="0"/>
          <w:marRight w:val="0"/>
          <w:marTop w:val="0"/>
          <w:marBottom w:val="0"/>
          <w:divBdr>
            <w:top w:val="none" w:sz="0" w:space="0" w:color="auto"/>
            <w:left w:val="none" w:sz="0" w:space="0" w:color="auto"/>
            <w:bottom w:val="none" w:sz="0" w:space="0" w:color="auto"/>
            <w:right w:val="none" w:sz="0" w:space="0" w:color="auto"/>
          </w:divBdr>
          <w:divsChild>
            <w:div w:id="269627789">
              <w:marLeft w:val="0"/>
              <w:marRight w:val="0"/>
              <w:marTop w:val="0"/>
              <w:marBottom w:val="0"/>
              <w:divBdr>
                <w:top w:val="none" w:sz="0" w:space="0" w:color="auto"/>
                <w:left w:val="none" w:sz="0" w:space="0" w:color="auto"/>
                <w:bottom w:val="none" w:sz="0" w:space="0" w:color="auto"/>
                <w:right w:val="none" w:sz="0" w:space="0" w:color="auto"/>
              </w:divBdr>
              <w:divsChild>
                <w:div w:id="1412657399">
                  <w:marLeft w:val="0"/>
                  <w:marRight w:val="0"/>
                  <w:marTop w:val="0"/>
                  <w:marBottom w:val="0"/>
                  <w:divBdr>
                    <w:top w:val="none" w:sz="0" w:space="0" w:color="auto"/>
                    <w:left w:val="none" w:sz="0" w:space="0" w:color="auto"/>
                    <w:bottom w:val="none" w:sz="0" w:space="0" w:color="auto"/>
                    <w:right w:val="none" w:sz="0" w:space="0" w:color="auto"/>
                  </w:divBdr>
                  <w:divsChild>
                    <w:div w:id="381908899">
                      <w:marLeft w:val="0"/>
                      <w:marRight w:val="0"/>
                      <w:marTop w:val="0"/>
                      <w:marBottom w:val="0"/>
                      <w:divBdr>
                        <w:top w:val="none" w:sz="0" w:space="0" w:color="auto"/>
                        <w:left w:val="none" w:sz="0" w:space="0" w:color="auto"/>
                        <w:bottom w:val="none" w:sz="0" w:space="0" w:color="auto"/>
                        <w:right w:val="none" w:sz="0" w:space="0" w:color="auto"/>
                      </w:divBdr>
                    </w:div>
                  </w:divsChild>
                </w:div>
                <w:div w:id="621959832">
                  <w:marLeft w:val="0"/>
                  <w:marRight w:val="0"/>
                  <w:marTop w:val="0"/>
                  <w:marBottom w:val="0"/>
                  <w:divBdr>
                    <w:top w:val="none" w:sz="0" w:space="0" w:color="auto"/>
                    <w:left w:val="none" w:sz="0" w:space="0" w:color="auto"/>
                    <w:bottom w:val="none" w:sz="0" w:space="0" w:color="auto"/>
                    <w:right w:val="none" w:sz="0" w:space="0" w:color="auto"/>
                  </w:divBdr>
                  <w:divsChild>
                    <w:div w:id="1406299154">
                      <w:marLeft w:val="0"/>
                      <w:marRight w:val="0"/>
                      <w:marTop w:val="0"/>
                      <w:marBottom w:val="0"/>
                      <w:divBdr>
                        <w:top w:val="none" w:sz="0" w:space="0" w:color="auto"/>
                        <w:left w:val="none" w:sz="0" w:space="0" w:color="auto"/>
                        <w:bottom w:val="none" w:sz="0" w:space="0" w:color="auto"/>
                        <w:right w:val="none" w:sz="0" w:space="0" w:color="auto"/>
                      </w:divBdr>
                    </w:div>
                  </w:divsChild>
                </w:div>
                <w:div w:id="351031819">
                  <w:marLeft w:val="0"/>
                  <w:marRight w:val="0"/>
                  <w:marTop w:val="0"/>
                  <w:marBottom w:val="0"/>
                  <w:divBdr>
                    <w:top w:val="none" w:sz="0" w:space="0" w:color="auto"/>
                    <w:left w:val="none" w:sz="0" w:space="0" w:color="auto"/>
                    <w:bottom w:val="none" w:sz="0" w:space="0" w:color="auto"/>
                    <w:right w:val="none" w:sz="0" w:space="0" w:color="auto"/>
                  </w:divBdr>
                  <w:divsChild>
                    <w:div w:id="72714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160698">
      <w:bodyDiv w:val="1"/>
      <w:marLeft w:val="0"/>
      <w:marRight w:val="0"/>
      <w:marTop w:val="0"/>
      <w:marBottom w:val="0"/>
      <w:divBdr>
        <w:top w:val="none" w:sz="0" w:space="0" w:color="auto"/>
        <w:left w:val="none" w:sz="0" w:space="0" w:color="auto"/>
        <w:bottom w:val="none" w:sz="0" w:space="0" w:color="auto"/>
        <w:right w:val="none" w:sz="0" w:space="0" w:color="auto"/>
      </w:divBdr>
    </w:div>
    <w:div w:id="1012340525">
      <w:bodyDiv w:val="1"/>
      <w:marLeft w:val="0"/>
      <w:marRight w:val="0"/>
      <w:marTop w:val="0"/>
      <w:marBottom w:val="0"/>
      <w:divBdr>
        <w:top w:val="none" w:sz="0" w:space="0" w:color="auto"/>
        <w:left w:val="none" w:sz="0" w:space="0" w:color="auto"/>
        <w:bottom w:val="none" w:sz="0" w:space="0" w:color="auto"/>
        <w:right w:val="none" w:sz="0" w:space="0" w:color="auto"/>
      </w:divBdr>
    </w:div>
    <w:div w:id="1019237609">
      <w:bodyDiv w:val="1"/>
      <w:marLeft w:val="0"/>
      <w:marRight w:val="0"/>
      <w:marTop w:val="0"/>
      <w:marBottom w:val="0"/>
      <w:divBdr>
        <w:top w:val="none" w:sz="0" w:space="0" w:color="auto"/>
        <w:left w:val="none" w:sz="0" w:space="0" w:color="auto"/>
        <w:bottom w:val="none" w:sz="0" w:space="0" w:color="auto"/>
        <w:right w:val="none" w:sz="0" w:space="0" w:color="auto"/>
      </w:divBdr>
    </w:div>
    <w:div w:id="1033648815">
      <w:bodyDiv w:val="1"/>
      <w:marLeft w:val="0"/>
      <w:marRight w:val="0"/>
      <w:marTop w:val="0"/>
      <w:marBottom w:val="0"/>
      <w:divBdr>
        <w:top w:val="none" w:sz="0" w:space="0" w:color="auto"/>
        <w:left w:val="none" w:sz="0" w:space="0" w:color="auto"/>
        <w:bottom w:val="none" w:sz="0" w:space="0" w:color="auto"/>
        <w:right w:val="none" w:sz="0" w:space="0" w:color="auto"/>
      </w:divBdr>
      <w:divsChild>
        <w:div w:id="687296135">
          <w:marLeft w:val="0"/>
          <w:marRight w:val="0"/>
          <w:marTop w:val="0"/>
          <w:marBottom w:val="0"/>
          <w:divBdr>
            <w:top w:val="none" w:sz="0" w:space="0" w:color="auto"/>
            <w:left w:val="none" w:sz="0" w:space="0" w:color="auto"/>
            <w:bottom w:val="none" w:sz="0" w:space="0" w:color="auto"/>
            <w:right w:val="none" w:sz="0" w:space="0" w:color="auto"/>
          </w:divBdr>
          <w:divsChild>
            <w:div w:id="639699102">
              <w:marLeft w:val="0"/>
              <w:marRight w:val="0"/>
              <w:marTop w:val="0"/>
              <w:marBottom w:val="0"/>
              <w:divBdr>
                <w:top w:val="none" w:sz="0" w:space="0" w:color="auto"/>
                <w:left w:val="none" w:sz="0" w:space="0" w:color="auto"/>
                <w:bottom w:val="none" w:sz="0" w:space="0" w:color="auto"/>
                <w:right w:val="none" w:sz="0" w:space="0" w:color="auto"/>
              </w:divBdr>
              <w:divsChild>
                <w:div w:id="1579709596">
                  <w:marLeft w:val="0"/>
                  <w:marRight w:val="0"/>
                  <w:marTop w:val="0"/>
                  <w:marBottom w:val="0"/>
                  <w:divBdr>
                    <w:top w:val="none" w:sz="0" w:space="0" w:color="auto"/>
                    <w:left w:val="none" w:sz="0" w:space="0" w:color="auto"/>
                    <w:bottom w:val="none" w:sz="0" w:space="0" w:color="auto"/>
                    <w:right w:val="none" w:sz="0" w:space="0" w:color="auto"/>
                  </w:divBdr>
                  <w:divsChild>
                    <w:div w:id="26426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955037">
      <w:bodyDiv w:val="1"/>
      <w:marLeft w:val="0"/>
      <w:marRight w:val="0"/>
      <w:marTop w:val="0"/>
      <w:marBottom w:val="0"/>
      <w:divBdr>
        <w:top w:val="none" w:sz="0" w:space="0" w:color="auto"/>
        <w:left w:val="none" w:sz="0" w:space="0" w:color="auto"/>
        <w:bottom w:val="none" w:sz="0" w:space="0" w:color="auto"/>
        <w:right w:val="none" w:sz="0" w:space="0" w:color="auto"/>
      </w:divBdr>
      <w:divsChild>
        <w:div w:id="1917084362">
          <w:marLeft w:val="0"/>
          <w:marRight w:val="0"/>
          <w:marTop w:val="0"/>
          <w:marBottom w:val="0"/>
          <w:divBdr>
            <w:top w:val="none" w:sz="0" w:space="0" w:color="auto"/>
            <w:left w:val="none" w:sz="0" w:space="0" w:color="auto"/>
            <w:bottom w:val="none" w:sz="0" w:space="0" w:color="auto"/>
            <w:right w:val="none" w:sz="0" w:space="0" w:color="auto"/>
          </w:divBdr>
          <w:divsChild>
            <w:div w:id="966474534">
              <w:marLeft w:val="0"/>
              <w:marRight w:val="0"/>
              <w:marTop w:val="0"/>
              <w:marBottom w:val="0"/>
              <w:divBdr>
                <w:top w:val="none" w:sz="0" w:space="0" w:color="auto"/>
                <w:left w:val="none" w:sz="0" w:space="0" w:color="auto"/>
                <w:bottom w:val="none" w:sz="0" w:space="0" w:color="auto"/>
                <w:right w:val="none" w:sz="0" w:space="0" w:color="auto"/>
              </w:divBdr>
              <w:divsChild>
                <w:div w:id="716781246">
                  <w:marLeft w:val="0"/>
                  <w:marRight w:val="0"/>
                  <w:marTop w:val="0"/>
                  <w:marBottom w:val="0"/>
                  <w:divBdr>
                    <w:top w:val="none" w:sz="0" w:space="0" w:color="auto"/>
                    <w:left w:val="none" w:sz="0" w:space="0" w:color="auto"/>
                    <w:bottom w:val="none" w:sz="0" w:space="0" w:color="auto"/>
                    <w:right w:val="none" w:sz="0" w:space="0" w:color="auto"/>
                  </w:divBdr>
                </w:div>
              </w:divsChild>
            </w:div>
            <w:div w:id="1384594876">
              <w:marLeft w:val="0"/>
              <w:marRight w:val="0"/>
              <w:marTop w:val="0"/>
              <w:marBottom w:val="0"/>
              <w:divBdr>
                <w:top w:val="none" w:sz="0" w:space="0" w:color="auto"/>
                <w:left w:val="none" w:sz="0" w:space="0" w:color="auto"/>
                <w:bottom w:val="none" w:sz="0" w:space="0" w:color="auto"/>
                <w:right w:val="none" w:sz="0" w:space="0" w:color="auto"/>
              </w:divBdr>
              <w:divsChild>
                <w:div w:id="113216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943688">
          <w:marLeft w:val="0"/>
          <w:marRight w:val="0"/>
          <w:marTop w:val="0"/>
          <w:marBottom w:val="0"/>
          <w:divBdr>
            <w:top w:val="none" w:sz="0" w:space="0" w:color="auto"/>
            <w:left w:val="none" w:sz="0" w:space="0" w:color="auto"/>
            <w:bottom w:val="none" w:sz="0" w:space="0" w:color="auto"/>
            <w:right w:val="none" w:sz="0" w:space="0" w:color="auto"/>
          </w:divBdr>
          <w:divsChild>
            <w:div w:id="25571714">
              <w:marLeft w:val="0"/>
              <w:marRight w:val="0"/>
              <w:marTop w:val="0"/>
              <w:marBottom w:val="0"/>
              <w:divBdr>
                <w:top w:val="none" w:sz="0" w:space="0" w:color="auto"/>
                <w:left w:val="none" w:sz="0" w:space="0" w:color="auto"/>
                <w:bottom w:val="none" w:sz="0" w:space="0" w:color="auto"/>
                <w:right w:val="none" w:sz="0" w:space="0" w:color="auto"/>
              </w:divBdr>
              <w:divsChild>
                <w:div w:id="66193065">
                  <w:marLeft w:val="0"/>
                  <w:marRight w:val="0"/>
                  <w:marTop w:val="0"/>
                  <w:marBottom w:val="0"/>
                  <w:divBdr>
                    <w:top w:val="none" w:sz="0" w:space="0" w:color="auto"/>
                    <w:left w:val="none" w:sz="0" w:space="0" w:color="auto"/>
                    <w:bottom w:val="none" w:sz="0" w:space="0" w:color="auto"/>
                    <w:right w:val="none" w:sz="0" w:space="0" w:color="auto"/>
                  </w:divBdr>
                </w:div>
                <w:div w:id="357003118">
                  <w:marLeft w:val="0"/>
                  <w:marRight w:val="0"/>
                  <w:marTop w:val="0"/>
                  <w:marBottom w:val="0"/>
                  <w:divBdr>
                    <w:top w:val="none" w:sz="0" w:space="0" w:color="auto"/>
                    <w:left w:val="none" w:sz="0" w:space="0" w:color="auto"/>
                    <w:bottom w:val="none" w:sz="0" w:space="0" w:color="auto"/>
                    <w:right w:val="none" w:sz="0" w:space="0" w:color="auto"/>
                  </w:divBdr>
                </w:div>
              </w:divsChild>
            </w:div>
            <w:div w:id="1901817210">
              <w:marLeft w:val="0"/>
              <w:marRight w:val="0"/>
              <w:marTop w:val="0"/>
              <w:marBottom w:val="0"/>
              <w:divBdr>
                <w:top w:val="none" w:sz="0" w:space="0" w:color="auto"/>
                <w:left w:val="none" w:sz="0" w:space="0" w:color="auto"/>
                <w:bottom w:val="none" w:sz="0" w:space="0" w:color="auto"/>
                <w:right w:val="none" w:sz="0" w:space="0" w:color="auto"/>
              </w:divBdr>
              <w:divsChild>
                <w:div w:id="1306932477">
                  <w:marLeft w:val="0"/>
                  <w:marRight w:val="0"/>
                  <w:marTop w:val="0"/>
                  <w:marBottom w:val="0"/>
                  <w:divBdr>
                    <w:top w:val="none" w:sz="0" w:space="0" w:color="auto"/>
                    <w:left w:val="none" w:sz="0" w:space="0" w:color="auto"/>
                    <w:bottom w:val="none" w:sz="0" w:space="0" w:color="auto"/>
                    <w:right w:val="none" w:sz="0" w:space="0" w:color="auto"/>
                  </w:divBdr>
                </w:div>
                <w:div w:id="146704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661432">
      <w:bodyDiv w:val="1"/>
      <w:marLeft w:val="0"/>
      <w:marRight w:val="0"/>
      <w:marTop w:val="0"/>
      <w:marBottom w:val="0"/>
      <w:divBdr>
        <w:top w:val="none" w:sz="0" w:space="0" w:color="auto"/>
        <w:left w:val="none" w:sz="0" w:space="0" w:color="auto"/>
        <w:bottom w:val="none" w:sz="0" w:space="0" w:color="auto"/>
        <w:right w:val="none" w:sz="0" w:space="0" w:color="auto"/>
      </w:divBdr>
    </w:div>
    <w:div w:id="1120879926">
      <w:bodyDiv w:val="1"/>
      <w:marLeft w:val="0"/>
      <w:marRight w:val="0"/>
      <w:marTop w:val="0"/>
      <w:marBottom w:val="0"/>
      <w:divBdr>
        <w:top w:val="none" w:sz="0" w:space="0" w:color="auto"/>
        <w:left w:val="none" w:sz="0" w:space="0" w:color="auto"/>
        <w:bottom w:val="none" w:sz="0" w:space="0" w:color="auto"/>
        <w:right w:val="none" w:sz="0" w:space="0" w:color="auto"/>
      </w:divBdr>
      <w:divsChild>
        <w:div w:id="674649062">
          <w:marLeft w:val="0"/>
          <w:marRight w:val="0"/>
          <w:marTop w:val="0"/>
          <w:marBottom w:val="0"/>
          <w:divBdr>
            <w:top w:val="none" w:sz="0" w:space="0" w:color="auto"/>
            <w:left w:val="none" w:sz="0" w:space="0" w:color="auto"/>
            <w:bottom w:val="none" w:sz="0" w:space="0" w:color="auto"/>
            <w:right w:val="none" w:sz="0" w:space="0" w:color="auto"/>
          </w:divBdr>
          <w:divsChild>
            <w:div w:id="1827817391">
              <w:marLeft w:val="0"/>
              <w:marRight w:val="0"/>
              <w:marTop w:val="0"/>
              <w:marBottom w:val="0"/>
              <w:divBdr>
                <w:top w:val="none" w:sz="0" w:space="0" w:color="auto"/>
                <w:left w:val="none" w:sz="0" w:space="0" w:color="auto"/>
                <w:bottom w:val="none" w:sz="0" w:space="0" w:color="auto"/>
                <w:right w:val="none" w:sz="0" w:space="0" w:color="auto"/>
              </w:divBdr>
              <w:divsChild>
                <w:div w:id="72202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134846">
      <w:bodyDiv w:val="1"/>
      <w:marLeft w:val="0"/>
      <w:marRight w:val="0"/>
      <w:marTop w:val="0"/>
      <w:marBottom w:val="0"/>
      <w:divBdr>
        <w:top w:val="none" w:sz="0" w:space="0" w:color="auto"/>
        <w:left w:val="none" w:sz="0" w:space="0" w:color="auto"/>
        <w:bottom w:val="none" w:sz="0" w:space="0" w:color="auto"/>
        <w:right w:val="none" w:sz="0" w:space="0" w:color="auto"/>
      </w:divBdr>
    </w:div>
    <w:div w:id="1133257151">
      <w:bodyDiv w:val="1"/>
      <w:marLeft w:val="0"/>
      <w:marRight w:val="0"/>
      <w:marTop w:val="0"/>
      <w:marBottom w:val="0"/>
      <w:divBdr>
        <w:top w:val="none" w:sz="0" w:space="0" w:color="auto"/>
        <w:left w:val="none" w:sz="0" w:space="0" w:color="auto"/>
        <w:bottom w:val="none" w:sz="0" w:space="0" w:color="auto"/>
        <w:right w:val="none" w:sz="0" w:space="0" w:color="auto"/>
      </w:divBdr>
    </w:div>
    <w:div w:id="1133671721">
      <w:bodyDiv w:val="1"/>
      <w:marLeft w:val="0"/>
      <w:marRight w:val="0"/>
      <w:marTop w:val="0"/>
      <w:marBottom w:val="0"/>
      <w:divBdr>
        <w:top w:val="none" w:sz="0" w:space="0" w:color="auto"/>
        <w:left w:val="none" w:sz="0" w:space="0" w:color="auto"/>
        <w:bottom w:val="none" w:sz="0" w:space="0" w:color="auto"/>
        <w:right w:val="none" w:sz="0" w:space="0" w:color="auto"/>
      </w:divBdr>
    </w:div>
    <w:div w:id="1147278405">
      <w:bodyDiv w:val="1"/>
      <w:marLeft w:val="0"/>
      <w:marRight w:val="0"/>
      <w:marTop w:val="0"/>
      <w:marBottom w:val="0"/>
      <w:divBdr>
        <w:top w:val="none" w:sz="0" w:space="0" w:color="auto"/>
        <w:left w:val="none" w:sz="0" w:space="0" w:color="auto"/>
        <w:bottom w:val="none" w:sz="0" w:space="0" w:color="auto"/>
        <w:right w:val="none" w:sz="0" w:space="0" w:color="auto"/>
      </w:divBdr>
      <w:divsChild>
        <w:div w:id="1764833783">
          <w:marLeft w:val="0"/>
          <w:marRight w:val="0"/>
          <w:marTop w:val="0"/>
          <w:marBottom w:val="120"/>
          <w:divBdr>
            <w:top w:val="none" w:sz="0" w:space="0" w:color="auto"/>
            <w:left w:val="none" w:sz="0" w:space="0" w:color="auto"/>
            <w:bottom w:val="none" w:sz="0" w:space="0" w:color="auto"/>
            <w:right w:val="none" w:sz="0" w:space="0" w:color="auto"/>
          </w:divBdr>
          <w:divsChild>
            <w:div w:id="1913850526">
              <w:marLeft w:val="0"/>
              <w:marRight w:val="0"/>
              <w:marTop w:val="0"/>
              <w:marBottom w:val="0"/>
              <w:divBdr>
                <w:top w:val="none" w:sz="0" w:space="0" w:color="auto"/>
                <w:left w:val="none" w:sz="0" w:space="0" w:color="auto"/>
                <w:bottom w:val="none" w:sz="0" w:space="0" w:color="auto"/>
                <w:right w:val="none" w:sz="0" w:space="0" w:color="auto"/>
              </w:divBdr>
              <w:divsChild>
                <w:div w:id="1452936302">
                  <w:marLeft w:val="0"/>
                  <w:marRight w:val="0"/>
                  <w:marTop w:val="0"/>
                  <w:marBottom w:val="0"/>
                  <w:divBdr>
                    <w:top w:val="none" w:sz="0" w:space="0" w:color="auto"/>
                    <w:left w:val="none" w:sz="0" w:space="0" w:color="auto"/>
                    <w:bottom w:val="none" w:sz="0" w:space="0" w:color="auto"/>
                    <w:right w:val="none" w:sz="0" w:space="0" w:color="auto"/>
                  </w:divBdr>
                  <w:divsChild>
                    <w:div w:id="857962">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sChild>
        </w:div>
      </w:divsChild>
    </w:div>
    <w:div w:id="1152019124">
      <w:bodyDiv w:val="1"/>
      <w:marLeft w:val="0"/>
      <w:marRight w:val="0"/>
      <w:marTop w:val="0"/>
      <w:marBottom w:val="0"/>
      <w:divBdr>
        <w:top w:val="none" w:sz="0" w:space="0" w:color="auto"/>
        <w:left w:val="none" w:sz="0" w:space="0" w:color="auto"/>
        <w:bottom w:val="none" w:sz="0" w:space="0" w:color="auto"/>
        <w:right w:val="none" w:sz="0" w:space="0" w:color="auto"/>
      </w:divBdr>
      <w:divsChild>
        <w:div w:id="981354076">
          <w:marLeft w:val="0"/>
          <w:marRight w:val="0"/>
          <w:marTop w:val="0"/>
          <w:marBottom w:val="0"/>
          <w:divBdr>
            <w:top w:val="none" w:sz="0" w:space="0" w:color="auto"/>
            <w:left w:val="none" w:sz="0" w:space="0" w:color="auto"/>
            <w:bottom w:val="none" w:sz="0" w:space="0" w:color="auto"/>
            <w:right w:val="none" w:sz="0" w:space="0" w:color="auto"/>
          </w:divBdr>
          <w:divsChild>
            <w:div w:id="1859923823">
              <w:marLeft w:val="0"/>
              <w:marRight w:val="0"/>
              <w:marTop w:val="0"/>
              <w:marBottom w:val="0"/>
              <w:divBdr>
                <w:top w:val="none" w:sz="0" w:space="0" w:color="auto"/>
                <w:left w:val="none" w:sz="0" w:space="0" w:color="auto"/>
                <w:bottom w:val="none" w:sz="0" w:space="0" w:color="auto"/>
                <w:right w:val="none" w:sz="0" w:space="0" w:color="auto"/>
              </w:divBdr>
              <w:divsChild>
                <w:div w:id="115769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243304">
      <w:bodyDiv w:val="1"/>
      <w:marLeft w:val="0"/>
      <w:marRight w:val="0"/>
      <w:marTop w:val="0"/>
      <w:marBottom w:val="0"/>
      <w:divBdr>
        <w:top w:val="none" w:sz="0" w:space="0" w:color="auto"/>
        <w:left w:val="none" w:sz="0" w:space="0" w:color="auto"/>
        <w:bottom w:val="none" w:sz="0" w:space="0" w:color="auto"/>
        <w:right w:val="none" w:sz="0" w:space="0" w:color="auto"/>
      </w:divBdr>
      <w:divsChild>
        <w:div w:id="1518498943">
          <w:marLeft w:val="0"/>
          <w:marRight w:val="0"/>
          <w:marTop w:val="0"/>
          <w:marBottom w:val="0"/>
          <w:divBdr>
            <w:top w:val="none" w:sz="0" w:space="0" w:color="auto"/>
            <w:left w:val="none" w:sz="0" w:space="0" w:color="auto"/>
            <w:bottom w:val="none" w:sz="0" w:space="0" w:color="auto"/>
            <w:right w:val="none" w:sz="0" w:space="0" w:color="auto"/>
          </w:divBdr>
          <w:divsChild>
            <w:div w:id="1431000729">
              <w:marLeft w:val="0"/>
              <w:marRight w:val="0"/>
              <w:marTop w:val="0"/>
              <w:marBottom w:val="0"/>
              <w:divBdr>
                <w:top w:val="none" w:sz="0" w:space="0" w:color="auto"/>
                <w:left w:val="none" w:sz="0" w:space="0" w:color="auto"/>
                <w:bottom w:val="none" w:sz="0" w:space="0" w:color="auto"/>
                <w:right w:val="none" w:sz="0" w:space="0" w:color="auto"/>
              </w:divBdr>
              <w:divsChild>
                <w:div w:id="14909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949347">
      <w:bodyDiv w:val="1"/>
      <w:marLeft w:val="0"/>
      <w:marRight w:val="0"/>
      <w:marTop w:val="0"/>
      <w:marBottom w:val="0"/>
      <w:divBdr>
        <w:top w:val="none" w:sz="0" w:space="0" w:color="auto"/>
        <w:left w:val="none" w:sz="0" w:space="0" w:color="auto"/>
        <w:bottom w:val="none" w:sz="0" w:space="0" w:color="auto"/>
        <w:right w:val="none" w:sz="0" w:space="0" w:color="auto"/>
      </w:divBdr>
    </w:div>
    <w:div w:id="1235623949">
      <w:bodyDiv w:val="1"/>
      <w:marLeft w:val="0"/>
      <w:marRight w:val="0"/>
      <w:marTop w:val="0"/>
      <w:marBottom w:val="0"/>
      <w:divBdr>
        <w:top w:val="none" w:sz="0" w:space="0" w:color="auto"/>
        <w:left w:val="none" w:sz="0" w:space="0" w:color="auto"/>
        <w:bottom w:val="none" w:sz="0" w:space="0" w:color="auto"/>
        <w:right w:val="none" w:sz="0" w:space="0" w:color="auto"/>
      </w:divBdr>
      <w:divsChild>
        <w:div w:id="1792745669">
          <w:marLeft w:val="0"/>
          <w:marRight w:val="0"/>
          <w:marTop w:val="0"/>
          <w:marBottom w:val="0"/>
          <w:divBdr>
            <w:top w:val="none" w:sz="0" w:space="0" w:color="auto"/>
            <w:left w:val="none" w:sz="0" w:space="0" w:color="auto"/>
            <w:bottom w:val="none" w:sz="0" w:space="0" w:color="auto"/>
            <w:right w:val="none" w:sz="0" w:space="0" w:color="auto"/>
          </w:divBdr>
          <w:divsChild>
            <w:div w:id="314183157">
              <w:marLeft w:val="0"/>
              <w:marRight w:val="0"/>
              <w:marTop w:val="0"/>
              <w:marBottom w:val="0"/>
              <w:divBdr>
                <w:top w:val="none" w:sz="0" w:space="0" w:color="auto"/>
                <w:left w:val="none" w:sz="0" w:space="0" w:color="auto"/>
                <w:bottom w:val="none" w:sz="0" w:space="0" w:color="auto"/>
                <w:right w:val="none" w:sz="0" w:space="0" w:color="auto"/>
              </w:divBdr>
              <w:divsChild>
                <w:div w:id="203850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395874">
      <w:bodyDiv w:val="1"/>
      <w:marLeft w:val="0"/>
      <w:marRight w:val="0"/>
      <w:marTop w:val="0"/>
      <w:marBottom w:val="0"/>
      <w:divBdr>
        <w:top w:val="none" w:sz="0" w:space="0" w:color="auto"/>
        <w:left w:val="none" w:sz="0" w:space="0" w:color="auto"/>
        <w:bottom w:val="none" w:sz="0" w:space="0" w:color="auto"/>
        <w:right w:val="none" w:sz="0" w:space="0" w:color="auto"/>
      </w:divBdr>
      <w:divsChild>
        <w:div w:id="1155075018">
          <w:marLeft w:val="0"/>
          <w:marRight w:val="0"/>
          <w:marTop w:val="0"/>
          <w:marBottom w:val="0"/>
          <w:divBdr>
            <w:top w:val="none" w:sz="0" w:space="0" w:color="auto"/>
            <w:left w:val="none" w:sz="0" w:space="0" w:color="auto"/>
            <w:bottom w:val="none" w:sz="0" w:space="0" w:color="auto"/>
            <w:right w:val="none" w:sz="0" w:space="0" w:color="auto"/>
          </w:divBdr>
          <w:divsChild>
            <w:div w:id="1891260664">
              <w:marLeft w:val="0"/>
              <w:marRight w:val="0"/>
              <w:marTop w:val="0"/>
              <w:marBottom w:val="0"/>
              <w:divBdr>
                <w:top w:val="none" w:sz="0" w:space="0" w:color="auto"/>
                <w:left w:val="none" w:sz="0" w:space="0" w:color="auto"/>
                <w:bottom w:val="none" w:sz="0" w:space="0" w:color="auto"/>
                <w:right w:val="none" w:sz="0" w:space="0" w:color="auto"/>
              </w:divBdr>
              <w:divsChild>
                <w:div w:id="134658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440697">
      <w:bodyDiv w:val="1"/>
      <w:marLeft w:val="0"/>
      <w:marRight w:val="0"/>
      <w:marTop w:val="0"/>
      <w:marBottom w:val="0"/>
      <w:divBdr>
        <w:top w:val="none" w:sz="0" w:space="0" w:color="auto"/>
        <w:left w:val="none" w:sz="0" w:space="0" w:color="auto"/>
        <w:bottom w:val="none" w:sz="0" w:space="0" w:color="auto"/>
        <w:right w:val="none" w:sz="0" w:space="0" w:color="auto"/>
      </w:divBdr>
    </w:div>
    <w:div w:id="1246957171">
      <w:bodyDiv w:val="1"/>
      <w:marLeft w:val="0"/>
      <w:marRight w:val="0"/>
      <w:marTop w:val="0"/>
      <w:marBottom w:val="0"/>
      <w:divBdr>
        <w:top w:val="none" w:sz="0" w:space="0" w:color="auto"/>
        <w:left w:val="none" w:sz="0" w:space="0" w:color="auto"/>
        <w:bottom w:val="none" w:sz="0" w:space="0" w:color="auto"/>
        <w:right w:val="none" w:sz="0" w:space="0" w:color="auto"/>
      </w:divBdr>
    </w:div>
    <w:div w:id="1254170306">
      <w:bodyDiv w:val="1"/>
      <w:marLeft w:val="0"/>
      <w:marRight w:val="0"/>
      <w:marTop w:val="0"/>
      <w:marBottom w:val="0"/>
      <w:divBdr>
        <w:top w:val="none" w:sz="0" w:space="0" w:color="auto"/>
        <w:left w:val="none" w:sz="0" w:space="0" w:color="auto"/>
        <w:bottom w:val="none" w:sz="0" w:space="0" w:color="auto"/>
        <w:right w:val="none" w:sz="0" w:space="0" w:color="auto"/>
      </w:divBdr>
      <w:divsChild>
        <w:div w:id="511990986">
          <w:marLeft w:val="0"/>
          <w:marRight w:val="0"/>
          <w:marTop w:val="0"/>
          <w:marBottom w:val="0"/>
          <w:divBdr>
            <w:top w:val="none" w:sz="0" w:space="0" w:color="auto"/>
            <w:left w:val="none" w:sz="0" w:space="0" w:color="auto"/>
            <w:bottom w:val="none" w:sz="0" w:space="0" w:color="auto"/>
            <w:right w:val="none" w:sz="0" w:space="0" w:color="auto"/>
          </w:divBdr>
          <w:divsChild>
            <w:div w:id="1669675346">
              <w:marLeft w:val="0"/>
              <w:marRight w:val="0"/>
              <w:marTop w:val="0"/>
              <w:marBottom w:val="0"/>
              <w:divBdr>
                <w:top w:val="none" w:sz="0" w:space="0" w:color="auto"/>
                <w:left w:val="none" w:sz="0" w:space="0" w:color="auto"/>
                <w:bottom w:val="none" w:sz="0" w:space="0" w:color="auto"/>
                <w:right w:val="none" w:sz="0" w:space="0" w:color="auto"/>
              </w:divBdr>
              <w:divsChild>
                <w:div w:id="36833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174567">
      <w:bodyDiv w:val="1"/>
      <w:marLeft w:val="0"/>
      <w:marRight w:val="0"/>
      <w:marTop w:val="0"/>
      <w:marBottom w:val="0"/>
      <w:divBdr>
        <w:top w:val="none" w:sz="0" w:space="0" w:color="auto"/>
        <w:left w:val="none" w:sz="0" w:space="0" w:color="auto"/>
        <w:bottom w:val="none" w:sz="0" w:space="0" w:color="auto"/>
        <w:right w:val="none" w:sz="0" w:space="0" w:color="auto"/>
      </w:divBdr>
    </w:div>
    <w:div w:id="1281961581">
      <w:bodyDiv w:val="1"/>
      <w:marLeft w:val="0"/>
      <w:marRight w:val="0"/>
      <w:marTop w:val="0"/>
      <w:marBottom w:val="0"/>
      <w:divBdr>
        <w:top w:val="none" w:sz="0" w:space="0" w:color="auto"/>
        <w:left w:val="none" w:sz="0" w:space="0" w:color="auto"/>
        <w:bottom w:val="none" w:sz="0" w:space="0" w:color="auto"/>
        <w:right w:val="none" w:sz="0" w:space="0" w:color="auto"/>
      </w:divBdr>
      <w:divsChild>
        <w:div w:id="531655840">
          <w:marLeft w:val="0"/>
          <w:marRight w:val="0"/>
          <w:marTop w:val="0"/>
          <w:marBottom w:val="0"/>
          <w:divBdr>
            <w:top w:val="none" w:sz="0" w:space="0" w:color="auto"/>
            <w:left w:val="none" w:sz="0" w:space="0" w:color="auto"/>
            <w:bottom w:val="none" w:sz="0" w:space="0" w:color="auto"/>
            <w:right w:val="none" w:sz="0" w:space="0" w:color="auto"/>
          </w:divBdr>
          <w:divsChild>
            <w:div w:id="972179598">
              <w:marLeft w:val="0"/>
              <w:marRight w:val="0"/>
              <w:marTop w:val="0"/>
              <w:marBottom w:val="0"/>
              <w:divBdr>
                <w:top w:val="none" w:sz="0" w:space="0" w:color="auto"/>
                <w:left w:val="none" w:sz="0" w:space="0" w:color="auto"/>
                <w:bottom w:val="none" w:sz="0" w:space="0" w:color="auto"/>
                <w:right w:val="none" w:sz="0" w:space="0" w:color="auto"/>
              </w:divBdr>
              <w:divsChild>
                <w:div w:id="1441606193">
                  <w:marLeft w:val="0"/>
                  <w:marRight w:val="0"/>
                  <w:marTop w:val="0"/>
                  <w:marBottom w:val="0"/>
                  <w:divBdr>
                    <w:top w:val="none" w:sz="0" w:space="0" w:color="auto"/>
                    <w:left w:val="none" w:sz="0" w:space="0" w:color="auto"/>
                    <w:bottom w:val="none" w:sz="0" w:space="0" w:color="auto"/>
                    <w:right w:val="none" w:sz="0" w:space="0" w:color="auto"/>
                  </w:divBdr>
                  <w:divsChild>
                    <w:div w:id="2087801640">
                      <w:marLeft w:val="0"/>
                      <w:marRight w:val="0"/>
                      <w:marTop w:val="0"/>
                      <w:marBottom w:val="0"/>
                      <w:divBdr>
                        <w:top w:val="none" w:sz="0" w:space="0" w:color="auto"/>
                        <w:left w:val="none" w:sz="0" w:space="0" w:color="auto"/>
                        <w:bottom w:val="none" w:sz="0" w:space="0" w:color="auto"/>
                        <w:right w:val="none" w:sz="0" w:space="0" w:color="auto"/>
                      </w:divBdr>
                      <w:divsChild>
                        <w:div w:id="1094208871">
                          <w:marLeft w:val="0"/>
                          <w:marRight w:val="0"/>
                          <w:marTop w:val="0"/>
                          <w:marBottom w:val="0"/>
                          <w:divBdr>
                            <w:top w:val="single" w:sz="6" w:space="12" w:color="DDDDDD"/>
                            <w:left w:val="single" w:sz="2" w:space="0" w:color="DDDDDD"/>
                            <w:bottom w:val="single" w:sz="6" w:space="12" w:color="DDDDDD"/>
                            <w:right w:val="single" w:sz="2" w:space="0" w:color="DDDDDD"/>
                          </w:divBdr>
                          <w:divsChild>
                            <w:div w:id="1743944991">
                              <w:marLeft w:val="0"/>
                              <w:marRight w:val="0"/>
                              <w:marTop w:val="0"/>
                              <w:marBottom w:val="0"/>
                              <w:divBdr>
                                <w:top w:val="none" w:sz="0" w:space="0" w:color="auto"/>
                                <w:left w:val="none" w:sz="0" w:space="0" w:color="auto"/>
                                <w:bottom w:val="none" w:sz="0" w:space="0" w:color="auto"/>
                                <w:right w:val="none" w:sz="0" w:space="0" w:color="auto"/>
                              </w:divBdr>
                              <w:divsChild>
                                <w:div w:id="747967338">
                                  <w:marLeft w:val="0"/>
                                  <w:marRight w:val="0"/>
                                  <w:marTop w:val="0"/>
                                  <w:marBottom w:val="0"/>
                                  <w:divBdr>
                                    <w:top w:val="none" w:sz="0" w:space="0" w:color="auto"/>
                                    <w:left w:val="none" w:sz="0" w:space="0" w:color="auto"/>
                                    <w:bottom w:val="none" w:sz="0" w:space="0" w:color="auto"/>
                                    <w:right w:val="none" w:sz="0" w:space="0" w:color="auto"/>
                                  </w:divBdr>
                                  <w:divsChild>
                                    <w:div w:id="16665778">
                                      <w:marLeft w:val="0"/>
                                      <w:marRight w:val="0"/>
                                      <w:marTop w:val="0"/>
                                      <w:marBottom w:val="0"/>
                                      <w:divBdr>
                                        <w:top w:val="none" w:sz="0" w:space="0" w:color="auto"/>
                                        <w:left w:val="none" w:sz="0" w:space="0" w:color="auto"/>
                                        <w:bottom w:val="none" w:sz="0" w:space="0" w:color="auto"/>
                                        <w:right w:val="none" w:sz="0" w:space="0" w:color="auto"/>
                                      </w:divBdr>
                                    </w:div>
                                    <w:div w:id="181259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8337937">
      <w:bodyDiv w:val="1"/>
      <w:marLeft w:val="0"/>
      <w:marRight w:val="0"/>
      <w:marTop w:val="0"/>
      <w:marBottom w:val="0"/>
      <w:divBdr>
        <w:top w:val="none" w:sz="0" w:space="0" w:color="auto"/>
        <w:left w:val="none" w:sz="0" w:space="0" w:color="auto"/>
        <w:bottom w:val="none" w:sz="0" w:space="0" w:color="auto"/>
        <w:right w:val="none" w:sz="0" w:space="0" w:color="auto"/>
      </w:divBdr>
      <w:divsChild>
        <w:div w:id="1757751941">
          <w:marLeft w:val="0"/>
          <w:marRight w:val="0"/>
          <w:marTop w:val="0"/>
          <w:marBottom w:val="0"/>
          <w:divBdr>
            <w:top w:val="none" w:sz="0" w:space="0" w:color="auto"/>
            <w:left w:val="none" w:sz="0" w:space="0" w:color="auto"/>
            <w:bottom w:val="none" w:sz="0" w:space="0" w:color="auto"/>
            <w:right w:val="none" w:sz="0" w:space="0" w:color="auto"/>
          </w:divBdr>
          <w:divsChild>
            <w:div w:id="1337996861">
              <w:marLeft w:val="0"/>
              <w:marRight w:val="0"/>
              <w:marTop w:val="0"/>
              <w:marBottom w:val="0"/>
              <w:divBdr>
                <w:top w:val="none" w:sz="0" w:space="0" w:color="auto"/>
                <w:left w:val="none" w:sz="0" w:space="0" w:color="auto"/>
                <w:bottom w:val="none" w:sz="0" w:space="0" w:color="auto"/>
                <w:right w:val="none" w:sz="0" w:space="0" w:color="auto"/>
              </w:divBdr>
              <w:divsChild>
                <w:div w:id="143558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723452">
      <w:bodyDiv w:val="1"/>
      <w:marLeft w:val="0"/>
      <w:marRight w:val="0"/>
      <w:marTop w:val="0"/>
      <w:marBottom w:val="0"/>
      <w:divBdr>
        <w:top w:val="none" w:sz="0" w:space="0" w:color="auto"/>
        <w:left w:val="none" w:sz="0" w:space="0" w:color="auto"/>
        <w:bottom w:val="none" w:sz="0" w:space="0" w:color="auto"/>
        <w:right w:val="none" w:sz="0" w:space="0" w:color="auto"/>
      </w:divBdr>
    </w:div>
    <w:div w:id="1305888550">
      <w:bodyDiv w:val="1"/>
      <w:marLeft w:val="0"/>
      <w:marRight w:val="0"/>
      <w:marTop w:val="0"/>
      <w:marBottom w:val="0"/>
      <w:divBdr>
        <w:top w:val="none" w:sz="0" w:space="0" w:color="auto"/>
        <w:left w:val="none" w:sz="0" w:space="0" w:color="auto"/>
        <w:bottom w:val="none" w:sz="0" w:space="0" w:color="auto"/>
        <w:right w:val="none" w:sz="0" w:space="0" w:color="auto"/>
      </w:divBdr>
    </w:div>
    <w:div w:id="1372608047">
      <w:bodyDiv w:val="1"/>
      <w:marLeft w:val="0"/>
      <w:marRight w:val="0"/>
      <w:marTop w:val="0"/>
      <w:marBottom w:val="0"/>
      <w:divBdr>
        <w:top w:val="none" w:sz="0" w:space="0" w:color="auto"/>
        <w:left w:val="none" w:sz="0" w:space="0" w:color="auto"/>
        <w:bottom w:val="none" w:sz="0" w:space="0" w:color="auto"/>
        <w:right w:val="none" w:sz="0" w:space="0" w:color="auto"/>
      </w:divBdr>
    </w:div>
    <w:div w:id="1396396218">
      <w:bodyDiv w:val="1"/>
      <w:marLeft w:val="0"/>
      <w:marRight w:val="0"/>
      <w:marTop w:val="0"/>
      <w:marBottom w:val="0"/>
      <w:divBdr>
        <w:top w:val="none" w:sz="0" w:space="0" w:color="auto"/>
        <w:left w:val="none" w:sz="0" w:space="0" w:color="auto"/>
        <w:bottom w:val="none" w:sz="0" w:space="0" w:color="auto"/>
        <w:right w:val="none" w:sz="0" w:space="0" w:color="auto"/>
      </w:divBdr>
      <w:divsChild>
        <w:div w:id="999115546">
          <w:marLeft w:val="0"/>
          <w:marRight w:val="0"/>
          <w:marTop w:val="0"/>
          <w:marBottom w:val="0"/>
          <w:divBdr>
            <w:top w:val="none" w:sz="0" w:space="0" w:color="auto"/>
            <w:left w:val="none" w:sz="0" w:space="0" w:color="auto"/>
            <w:bottom w:val="none" w:sz="0" w:space="0" w:color="auto"/>
            <w:right w:val="none" w:sz="0" w:space="0" w:color="auto"/>
          </w:divBdr>
          <w:divsChild>
            <w:div w:id="2064331077">
              <w:marLeft w:val="0"/>
              <w:marRight w:val="0"/>
              <w:marTop w:val="0"/>
              <w:marBottom w:val="0"/>
              <w:divBdr>
                <w:top w:val="none" w:sz="0" w:space="0" w:color="auto"/>
                <w:left w:val="none" w:sz="0" w:space="0" w:color="auto"/>
                <w:bottom w:val="none" w:sz="0" w:space="0" w:color="auto"/>
                <w:right w:val="none" w:sz="0" w:space="0" w:color="auto"/>
              </w:divBdr>
              <w:divsChild>
                <w:div w:id="2126346742">
                  <w:marLeft w:val="0"/>
                  <w:marRight w:val="0"/>
                  <w:marTop w:val="0"/>
                  <w:marBottom w:val="0"/>
                  <w:divBdr>
                    <w:top w:val="none" w:sz="0" w:space="0" w:color="auto"/>
                    <w:left w:val="none" w:sz="0" w:space="0" w:color="auto"/>
                    <w:bottom w:val="none" w:sz="0" w:space="0" w:color="auto"/>
                    <w:right w:val="none" w:sz="0" w:space="0" w:color="auto"/>
                  </w:divBdr>
                  <w:divsChild>
                    <w:div w:id="30208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0860025">
      <w:bodyDiv w:val="1"/>
      <w:marLeft w:val="0"/>
      <w:marRight w:val="0"/>
      <w:marTop w:val="0"/>
      <w:marBottom w:val="0"/>
      <w:divBdr>
        <w:top w:val="none" w:sz="0" w:space="0" w:color="auto"/>
        <w:left w:val="none" w:sz="0" w:space="0" w:color="auto"/>
        <w:bottom w:val="none" w:sz="0" w:space="0" w:color="auto"/>
        <w:right w:val="none" w:sz="0" w:space="0" w:color="auto"/>
      </w:divBdr>
    </w:div>
    <w:div w:id="1413432167">
      <w:bodyDiv w:val="1"/>
      <w:marLeft w:val="0"/>
      <w:marRight w:val="0"/>
      <w:marTop w:val="0"/>
      <w:marBottom w:val="0"/>
      <w:divBdr>
        <w:top w:val="none" w:sz="0" w:space="0" w:color="auto"/>
        <w:left w:val="none" w:sz="0" w:space="0" w:color="auto"/>
        <w:bottom w:val="none" w:sz="0" w:space="0" w:color="auto"/>
        <w:right w:val="none" w:sz="0" w:space="0" w:color="auto"/>
      </w:divBdr>
    </w:div>
    <w:div w:id="1426992974">
      <w:bodyDiv w:val="1"/>
      <w:marLeft w:val="0"/>
      <w:marRight w:val="0"/>
      <w:marTop w:val="0"/>
      <w:marBottom w:val="0"/>
      <w:divBdr>
        <w:top w:val="none" w:sz="0" w:space="0" w:color="auto"/>
        <w:left w:val="none" w:sz="0" w:space="0" w:color="auto"/>
        <w:bottom w:val="none" w:sz="0" w:space="0" w:color="auto"/>
        <w:right w:val="none" w:sz="0" w:space="0" w:color="auto"/>
      </w:divBdr>
    </w:div>
    <w:div w:id="1433016410">
      <w:bodyDiv w:val="1"/>
      <w:marLeft w:val="0"/>
      <w:marRight w:val="0"/>
      <w:marTop w:val="0"/>
      <w:marBottom w:val="0"/>
      <w:divBdr>
        <w:top w:val="none" w:sz="0" w:space="0" w:color="auto"/>
        <w:left w:val="none" w:sz="0" w:space="0" w:color="auto"/>
        <w:bottom w:val="none" w:sz="0" w:space="0" w:color="auto"/>
        <w:right w:val="none" w:sz="0" w:space="0" w:color="auto"/>
      </w:divBdr>
      <w:divsChild>
        <w:div w:id="1192763300">
          <w:marLeft w:val="0"/>
          <w:marRight w:val="0"/>
          <w:marTop w:val="0"/>
          <w:marBottom w:val="0"/>
          <w:divBdr>
            <w:top w:val="none" w:sz="0" w:space="0" w:color="auto"/>
            <w:left w:val="none" w:sz="0" w:space="0" w:color="auto"/>
            <w:bottom w:val="none" w:sz="0" w:space="0" w:color="auto"/>
            <w:right w:val="none" w:sz="0" w:space="0" w:color="auto"/>
          </w:divBdr>
          <w:divsChild>
            <w:div w:id="1689598995">
              <w:marLeft w:val="0"/>
              <w:marRight w:val="0"/>
              <w:marTop w:val="0"/>
              <w:marBottom w:val="0"/>
              <w:divBdr>
                <w:top w:val="none" w:sz="0" w:space="0" w:color="auto"/>
                <w:left w:val="none" w:sz="0" w:space="0" w:color="auto"/>
                <w:bottom w:val="none" w:sz="0" w:space="0" w:color="auto"/>
                <w:right w:val="none" w:sz="0" w:space="0" w:color="auto"/>
              </w:divBdr>
              <w:divsChild>
                <w:div w:id="207777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830767">
      <w:bodyDiv w:val="1"/>
      <w:marLeft w:val="0"/>
      <w:marRight w:val="0"/>
      <w:marTop w:val="0"/>
      <w:marBottom w:val="0"/>
      <w:divBdr>
        <w:top w:val="none" w:sz="0" w:space="0" w:color="auto"/>
        <w:left w:val="none" w:sz="0" w:space="0" w:color="auto"/>
        <w:bottom w:val="none" w:sz="0" w:space="0" w:color="auto"/>
        <w:right w:val="none" w:sz="0" w:space="0" w:color="auto"/>
      </w:divBdr>
    </w:div>
    <w:div w:id="1474716128">
      <w:bodyDiv w:val="1"/>
      <w:marLeft w:val="0"/>
      <w:marRight w:val="0"/>
      <w:marTop w:val="0"/>
      <w:marBottom w:val="0"/>
      <w:divBdr>
        <w:top w:val="none" w:sz="0" w:space="0" w:color="auto"/>
        <w:left w:val="none" w:sz="0" w:space="0" w:color="auto"/>
        <w:bottom w:val="none" w:sz="0" w:space="0" w:color="auto"/>
        <w:right w:val="none" w:sz="0" w:space="0" w:color="auto"/>
      </w:divBdr>
      <w:divsChild>
        <w:div w:id="439186909">
          <w:marLeft w:val="0"/>
          <w:marRight w:val="0"/>
          <w:marTop w:val="0"/>
          <w:marBottom w:val="0"/>
          <w:divBdr>
            <w:top w:val="none" w:sz="0" w:space="0" w:color="auto"/>
            <w:left w:val="none" w:sz="0" w:space="0" w:color="auto"/>
            <w:bottom w:val="none" w:sz="0" w:space="0" w:color="auto"/>
            <w:right w:val="none" w:sz="0" w:space="0" w:color="auto"/>
          </w:divBdr>
          <w:divsChild>
            <w:div w:id="372775548">
              <w:marLeft w:val="0"/>
              <w:marRight w:val="0"/>
              <w:marTop w:val="0"/>
              <w:marBottom w:val="0"/>
              <w:divBdr>
                <w:top w:val="none" w:sz="0" w:space="0" w:color="auto"/>
                <w:left w:val="none" w:sz="0" w:space="0" w:color="auto"/>
                <w:bottom w:val="none" w:sz="0" w:space="0" w:color="auto"/>
                <w:right w:val="none" w:sz="0" w:space="0" w:color="auto"/>
              </w:divBdr>
              <w:divsChild>
                <w:div w:id="182157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856884">
      <w:bodyDiv w:val="1"/>
      <w:marLeft w:val="0"/>
      <w:marRight w:val="0"/>
      <w:marTop w:val="0"/>
      <w:marBottom w:val="0"/>
      <w:divBdr>
        <w:top w:val="none" w:sz="0" w:space="0" w:color="auto"/>
        <w:left w:val="none" w:sz="0" w:space="0" w:color="auto"/>
        <w:bottom w:val="none" w:sz="0" w:space="0" w:color="auto"/>
        <w:right w:val="none" w:sz="0" w:space="0" w:color="auto"/>
      </w:divBdr>
      <w:divsChild>
        <w:div w:id="1231577974">
          <w:marLeft w:val="0"/>
          <w:marRight w:val="0"/>
          <w:marTop w:val="0"/>
          <w:marBottom w:val="0"/>
          <w:divBdr>
            <w:top w:val="none" w:sz="0" w:space="0" w:color="auto"/>
            <w:left w:val="none" w:sz="0" w:space="0" w:color="auto"/>
            <w:bottom w:val="none" w:sz="0" w:space="0" w:color="auto"/>
            <w:right w:val="none" w:sz="0" w:space="0" w:color="auto"/>
          </w:divBdr>
          <w:divsChild>
            <w:div w:id="1878196653">
              <w:marLeft w:val="0"/>
              <w:marRight w:val="0"/>
              <w:marTop w:val="0"/>
              <w:marBottom w:val="0"/>
              <w:divBdr>
                <w:top w:val="none" w:sz="0" w:space="0" w:color="auto"/>
                <w:left w:val="none" w:sz="0" w:space="0" w:color="auto"/>
                <w:bottom w:val="none" w:sz="0" w:space="0" w:color="auto"/>
                <w:right w:val="none" w:sz="0" w:space="0" w:color="auto"/>
              </w:divBdr>
              <w:divsChild>
                <w:div w:id="57477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794610">
      <w:bodyDiv w:val="1"/>
      <w:marLeft w:val="0"/>
      <w:marRight w:val="0"/>
      <w:marTop w:val="0"/>
      <w:marBottom w:val="0"/>
      <w:divBdr>
        <w:top w:val="none" w:sz="0" w:space="0" w:color="auto"/>
        <w:left w:val="none" w:sz="0" w:space="0" w:color="auto"/>
        <w:bottom w:val="none" w:sz="0" w:space="0" w:color="auto"/>
        <w:right w:val="none" w:sz="0" w:space="0" w:color="auto"/>
      </w:divBdr>
      <w:divsChild>
        <w:div w:id="357394838">
          <w:marLeft w:val="0"/>
          <w:marRight w:val="0"/>
          <w:marTop w:val="0"/>
          <w:marBottom w:val="0"/>
          <w:divBdr>
            <w:top w:val="none" w:sz="0" w:space="0" w:color="auto"/>
            <w:left w:val="none" w:sz="0" w:space="0" w:color="auto"/>
            <w:bottom w:val="none" w:sz="0" w:space="0" w:color="auto"/>
            <w:right w:val="none" w:sz="0" w:space="0" w:color="auto"/>
          </w:divBdr>
          <w:divsChild>
            <w:div w:id="2053380221">
              <w:marLeft w:val="0"/>
              <w:marRight w:val="0"/>
              <w:marTop w:val="0"/>
              <w:marBottom w:val="0"/>
              <w:divBdr>
                <w:top w:val="none" w:sz="0" w:space="0" w:color="auto"/>
                <w:left w:val="none" w:sz="0" w:space="0" w:color="auto"/>
                <w:bottom w:val="none" w:sz="0" w:space="0" w:color="auto"/>
                <w:right w:val="none" w:sz="0" w:space="0" w:color="auto"/>
              </w:divBdr>
              <w:divsChild>
                <w:div w:id="13600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894600">
      <w:bodyDiv w:val="1"/>
      <w:marLeft w:val="0"/>
      <w:marRight w:val="0"/>
      <w:marTop w:val="0"/>
      <w:marBottom w:val="0"/>
      <w:divBdr>
        <w:top w:val="none" w:sz="0" w:space="0" w:color="auto"/>
        <w:left w:val="none" w:sz="0" w:space="0" w:color="auto"/>
        <w:bottom w:val="none" w:sz="0" w:space="0" w:color="auto"/>
        <w:right w:val="none" w:sz="0" w:space="0" w:color="auto"/>
      </w:divBdr>
      <w:divsChild>
        <w:div w:id="253172810">
          <w:marLeft w:val="0"/>
          <w:marRight w:val="0"/>
          <w:marTop w:val="0"/>
          <w:marBottom w:val="0"/>
          <w:divBdr>
            <w:top w:val="none" w:sz="0" w:space="0" w:color="auto"/>
            <w:left w:val="none" w:sz="0" w:space="0" w:color="auto"/>
            <w:bottom w:val="none" w:sz="0" w:space="0" w:color="auto"/>
            <w:right w:val="none" w:sz="0" w:space="0" w:color="auto"/>
          </w:divBdr>
          <w:divsChild>
            <w:div w:id="829489910">
              <w:marLeft w:val="0"/>
              <w:marRight w:val="0"/>
              <w:marTop w:val="0"/>
              <w:marBottom w:val="0"/>
              <w:divBdr>
                <w:top w:val="none" w:sz="0" w:space="0" w:color="auto"/>
                <w:left w:val="none" w:sz="0" w:space="0" w:color="auto"/>
                <w:bottom w:val="none" w:sz="0" w:space="0" w:color="auto"/>
                <w:right w:val="none" w:sz="0" w:space="0" w:color="auto"/>
              </w:divBdr>
              <w:divsChild>
                <w:div w:id="1506166697">
                  <w:marLeft w:val="0"/>
                  <w:marRight w:val="0"/>
                  <w:marTop w:val="0"/>
                  <w:marBottom w:val="0"/>
                  <w:divBdr>
                    <w:top w:val="none" w:sz="0" w:space="0" w:color="auto"/>
                    <w:left w:val="none" w:sz="0" w:space="0" w:color="auto"/>
                    <w:bottom w:val="none" w:sz="0" w:space="0" w:color="auto"/>
                    <w:right w:val="none" w:sz="0" w:space="0" w:color="auto"/>
                  </w:divBdr>
                  <w:divsChild>
                    <w:div w:id="125778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358205">
      <w:bodyDiv w:val="1"/>
      <w:marLeft w:val="0"/>
      <w:marRight w:val="0"/>
      <w:marTop w:val="0"/>
      <w:marBottom w:val="0"/>
      <w:divBdr>
        <w:top w:val="none" w:sz="0" w:space="0" w:color="auto"/>
        <w:left w:val="none" w:sz="0" w:space="0" w:color="auto"/>
        <w:bottom w:val="none" w:sz="0" w:space="0" w:color="auto"/>
        <w:right w:val="none" w:sz="0" w:space="0" w:color="auto"/>
      </w:divBdr>
      <w:divsChild>
        <w:div w:id="484973425">
          <w:marLeft w:val="0"/>
          <w:marRight w:val="0"/>
          <w:marTop w:val="0"/>
          <w:marBottom w:val="0"/>
          <w:divBdr>
            <w:top w:val="none" w:sz="0" w:space="0" w:color="auto"/>
            <w:left w:val="none" w:sz="0" w:space="0" w:color="auto"/>
            <w:bottom w:val="none" w:sz="0" w:space="0" w:color="auto"/>
            <w:right w:val="none" w:sz="0" w:space="0" w:color="auto"/>
          </w:divBdr>
          <w:divsChild>
            <w:div w:id="271715283">
              <w:marLeft w:val="0"/>
              <w:marRight w:val="0"/>
              <w:marTop w:val="0"/>
              <w:marBottom w:val="0"/>
              <w:divBdr>
                <w:top w:val="none" w:sz="0" w:space="0" w:color="auto"/>
                <w:left w:val="none" w:sz="0" w:space="0" w:color="auto"/>
                <w:bottom w:val="none" w:sz="0" w:space="0" w:color="auto"/>
                <w:right w:val="none" w:sz="0" w:space="0" w:color="auto"/>
              </w:divBdr>
              <w:divsChild>
                <w:div w:id="114682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674540">
      <w:bodyDiv w:val="1"/>
      <w:marLeft w:val="0"/>
      <w:marRight w:val="0"/>
      <w:marTop w:val="0"/>
      <w:marBottom w:val="0"/>
      <w:divBdr>
        <w:top w:val="none" w:sz="0" w:space="0" w:color="auto"/>
        <w:left w:val="none" w:sz="0" w:space="0" w:color="auto"/>
        <w:bottom w:val="none" w:sz="0" w:space="0" w:color="auto"/>
        <w:right w:val="none" w:sz="0" w:space="0" w:color="auto"/>
      </w:divBdr>
    </w:div>
    <w:div w:id="1551839486">
      <w:bodyDiv w:val="1"/>
      <w:marLeft w:val="0"/>
      <w:marRight w:val="0"/>
      <w:marTop w:val="0"/>
      <w:marBottom w:val="0"/>
      <w:divBdr>
        <w:top w:val="none" w:sz="0" w:space="0" w:color="auto"/>
        <w:left w:val="none" w:sz="0" w:space="0" w:color="auto"/>
        <w:bottom w:val="none" w:sz="0" w:space="0" w:color="auto"/>
        <w:right w:val="none" w:sz="0" w:space="0" w:color="auto"/>
      </w:divBdr>
      <w:divsChild>
        <w:div w:id="1905408243">
          <w:marLeft w:val="0"/>
          <w:marRight w:val="0"/>
          <w:marTop w:val="0"/>
          <w:marBottom w:val="0"/>
          <w:divBdr>
            <w:top w:val="none" w:sz="0" w:space="0" w:color="auto"/>
            <w:left w:val="none" w:sz="0" w:space="0" w:color="auto"/>
            <w:bottom w:val="none" w:sz="0" w:space="0" w:color="auto"/>
            <w:right w:val="none" w:sz="0" w:space="0" w:color="auto"/>
          </w:divBdr>
        </w:div>
      </w:divsChild>
    </w:div>
    <w:div w:id="1554657183">
      <w:bodyDiv w:val="1"/>
      <w:marLeft w:val="0"/>
      <w:marRight w:val="0"/>
      <w:marTop w:val="0"/>
      <w:marBottom w:val="0"/>
      <w:divBdr>
        <w:top w:val="none" w:sz="0" w:space="0" w:color="auto"/>
        <w:left w:val="none" w:sz="0" w:space="0" w:color="auto"/>
        <w:bottom w:val="none" w:sz="0" w:space="0" w:color="auto"/>
        <w:right w:val="none" w:sz="0" w:space="0" w:color="auto"/>
      </w:divBdr>
      <w:divsChild>
        <w:div w:id="717704353">
          <w:marLeft w:val="0"/>
          <w:marRight w:val="0"/>
          <w:marTop w:val="0"/>
          <w:marBottom w:val="0"/>
          <w:divBdr>
            <w:top w:val="none" w:sz="0" w:space="0" w:color="auto"/>
            <w:left w:val="none" w:sz="0" w:space="0" w:color="auto"/>
            <w:bottom w:val="none" w:sz="0" w:space="0" w:color="auto"/>
            <w:right w:val="none" w:sz="0" w:space="0" w:color="auto"/>
          </w:divBdr>
          <w:divsChild>
            <w:div w:id="522012418">
              <w:marLeft w:val="0"/>
              <w:marRight w:val="0"/>
              <w:marTop w:val="0"/>
              <w:marBottom w:val="0"/>
              <w:divBdr>
                <w:top w:val="none" w:sz="0" w:space="0" w:color="auto"/>
                <w:left w:val="none" w:sz="0" w:space="0" w:color="auto"/>
                <w:bottom w:val="none" w:sz="0" w:space="0" w:color="auto"/>
                <w:right w:val="none" w:sz="0" w:space="0" w:color="auto"/>
              </w:divBdr>
              <w:divsChild>
                <w:div w:id="119638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583552">
      <w:bodyDiv w:val="1"/>
      <w:marLeft w:val="0"/>
      <w:marRight w:val="0"/>
      <w:marTop w:val="0"/>
      <w:marBottom w:val="0"/>
      <w:divBdr>
        <w:top w:val="none" w:sz="0" w:space="0" w:color="auto"/>
        <w:left w:val="none" w:sz="0" w:space="0" w:color="auto"/>
        <w:bottom w:val="none" w:sz="0" w:space="0" w:color="auto"/>
        <w:right w:val="none" w:sz="0" w:space="0" w:color="auto"/>
      </w:divBdr>
    </w:div>
    <w:div w:id="1559895783">
      <w:bodyDiv w:val="1"/>
      <w:marLeft w:val="0"/>
      <w:marRight w:val="0"/>
      <w:marTop w:val="0"/>
      <w:marBottom w:val="0"/>
      <w:divBdr>
        <w:top w:val="none" w:sz="0" w:space="0" w:color="auto"/>
        <w:left w:val="none" w:sz="0" w:space="0" w:color="auto"/>
        <w:bottom w:val="none" w:sz="0" w:space="0" w:color="auto"/>
        <w:right w:val="none" w:sz="0" w:space="0" w:color="auto"/>
      </w:divBdr>
      <w:divsChild>
        <w:div w:id="1966619031">
          <w:marLeft w:val="0"/>
          <w:marRight w:val="0"/>
          <w:marTop w:val="0"/>
          <w:marBottom w:val="0"/>
          <w:divBdr>
            <w:top w:val="none" w:sz="0" w:space="0" w:color="auto"/>
            <w:left w:val="none" w:sz="0" w:space="0" w:color="auto"/>
            <w:bottom w:val="none" w:sz="0" w:space="0" w:color="auto"/>
            <w:right w:val="none" w:sz="0" w:space="0" w:color="auto"/>
          </w:divBdr>
          <w:divsChild>
            <w:div w:id="1194656794">
              <w:marLeft w:val="0"/>
              <w:marRight w:val="0"/>
              <w:marTop w:val="0"/>
              <w:marBottom w:val="0"/>
              <w:divBdr>
                <w:top w:val="none" w:sz="0" w:space="0" w:color="auto"/>
                <w:left w:val="none" w:sz="0" w:space="0" w:color="auto"/>
                <w:bottom w:val="none" w:sz="0" w:space="0" w:color="auto"/>
                <w:right w:val="none" w:sz="0" w:space="0" w:color="auto"/>
              </w:divBdr>
              <w:divsChild>
                <w:div w:id="1430344555">
                  <w:marLeft w:val="0"/>
                  <w:marRight w:val="0"/>
                  <w:marTop w:val="0"/>
                  <w:marBottom w:val="0"/>
                  <w:divBdr>
                    <w:top w:val="none" w:sz="0" w:space="0" w:color="auto"/>
                    <w:left w:val="none" w:sz="0" w:space="0" w:color="auto"/>
                    <w:bottom w:val="none" w:sz="0" w:space="0" w:color="auto"/>
                    <w:right w:val="none" w:sz="0" w:space="0" w:color="auto"/>
                  </w:divBdr>
                  <w:divsChild>
                    <w:div w:id="12786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283706">
      <w:bodyDiv w:val="1"/>
      <w:marLeft w:val="0"/>
      <w:marRight w:val="0"/>
      <w:marTop w:val="0"/>
      <w:marBottom w:val="0"/>
      <w:divBdr>
        <w:top w:val="none" w:sz="0" w:space="0" w:color="auto"/>
        <w:left w:val="none" w:sz="0" w:space="0" w:color="auto"/>
        <w:bottom w:val="none" w:sz="0" w:space="0" w:color="auto"/>
        <w:right w:val="none" w:sz="0" w:space="0" w:color="auto"/>
      </w:divBdr>
      <w:divsChild>
        <w:div w:id="132866634">
          <w:marLeft w:val="0"/>
          <w:marRight w:val="0"/>
          <w:marTop w:val="0"/>
          <w:marBottom w:val="0"/>
          <w:divBdr>
            <w:top w:val="none" w:sz="0" w:space="0" w:color="auto"/>
            <w:left w:val="none" w:sz="0" w:space="0" w:color="auto"/>
            <w:bottom w:val="none" w:sz="0" w:space="0" w:color="auto"/>
            <w:right w:val="none" w:sz="0" w:space="0" w:color="auto"/>
          </w:divBdr>
          <w:divsChild>
            <w:div w:id="23600747">
              <w:marLeft w:val="0"/>
              <w:marRight w:val="0"/>
              <w:marTop w:val="0"/>
              <w:marBottom w:val="0"/>
              <w:divBdr>
                <w:top w:val="none" w:sz="0" w:space="0" w:color="auto"/>
                <w:left w:val="none" w:sz="0" w:space="0" w:color="auto"/>
                <w:bottom w:val="none" w:sz="0" w:space="0" w:color="auto"/>
                <w:right w:val="none" w:sz="0" w:space="0" w:color="auto"/>
              </w:divBdr>
              <w:divsChild>
                <w:div w:id="32119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809183">
      <w:bodyDiv w:val="1"/>
      <w:marLeft w:val="0"/>
      <w:marRight w:val="0"/>
      <w:marTop w:val="0"/>
      <w:marBottom w:val="0"/>
      <w:divBdr>
        <w:top w:val="none" w:sz="0" w:space="0" w:color="auto"/>
        <w:left w:val="none" w:sz="0" w:space="0" w:color="auto"/>
        <w:bottom w:val="none" w:sz="0" w:space="0" w:color="auto"/>
        <w:right w:val="none" w:sz="0" w:space="0" w:color="auto"/>
      </w:divBdr>
    </w:div>
    <w:div w:id="1635216668">
      <w:bodyDiv w:val="1"/>
      <w:marLeft w:val="0"/>
      <w:marRight w:val="0"/>
      <w:marTop w:val="0"/>
      <w:marBottom w:val="0"/>
      <w:divBdr>
        <w:top w:val="none" w:sz="0" w:space="0" w:color="auto"/>
        <w:left w:val="none" w:sz="0" w:space="0" w:color="auto"/>
        <w:bottom w:val="none" w:sz="0" w:space="0" w:color="auto"/>
        <w:right w:val="none" w:sz="0" w:space="0" w:color="auto"/>
      </w:divBdr>
      <w:divsChild>
        <w:div w:id="1102065900">
          <w:marLeft w:val="0"/>
          <w:marRight w:val="0"/>
          <w:marTop w:val="0"/>
          <w:marBottom w:val="0"/>
          <w:divBdr>
            <w:top w:val="none" w:sz="0" w:space="0" w:color="auto"/>
            <w:left w:val="none" w:sz="0" w:space="0" w:color="auto"/>
            <w:bottom w:val="none" w:sz="0" w:space="0" w:color="auto"/>
            <w:right w:val="none" w:sz="0" w:space="0" w:color="auto"/>
          </w:divBdr>
          <w:divsChild>
            <w:div w:id="953905965">
              <w:marLeft w:val="0"/>
              <w:marRight w:val="0"/>
              <w:marTop w:val="0"/>
              <w:marBottom w:val="0"/>
              <w:divBdr>
                <w:top w:val="none" w:sz="0" w:space="0" w:color="auto"/>
                <w:left w:val="none" w:sz="0" w:space="0" w:color="auto"/>
                <w:bottom w:val="none" w:sz="0" w:space="0" w:color="auto"/>
                <w:right w:val="none" w:sz="0" w:space="0" w:color="auto"/>
              </w:divBdr>
              <w:divsChild>
                <w:div w:id="76526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657947">
      <w:bodyDiv w:val="1"/>
      <w:marLeft w:val="0"/>
      <w:marRight w:val="0"/>
      <w:marTop w:val="0"/>
      <w:marBottom w:val="0"/>
      <w:divBdr>
        <w:top w:val="none" w:sz="0" w:space="0" w:color="auto"/>
        <w:left w:val="none" w:sz="0" w:space="0" w:color="auto"/>
        <w:bottom w:val="none" w:sz="0" w:space="0" w:color="auto"/>
        <w:right w:val="none" w:sz="0" w:space="0" w:color="auto"/>
      </w:divBdr>
    </w:div>
    <w:div w:id="1662348534">
      <w:bodyDiv w:val="1"/>
      <w:marLeft w:val="0"/>
      <w:marRight w:val="0"/>
      <w:marTop w:val="0"/>
      <w:marBottom w:val="0"/>
      <w:divBdr>
        <w:top w:val="none" w:sz="0" w:space="0" w:color="auto"/>
        <w:left w:val="none" w:sz="0" w:space="0" w:color="auto"/>
        <w:bottom w:val="none" w:sz="0" w:space="0" w:color="auto"/>
        <w:right w:val="none" w:sz="0" w:space="0" w:color="auto"/>
      </w:divBdr>
      <w:divsChild>
        <w:div w:id="115174246">
          <w:marLeft w:val="0"/>
          <w:marRight w:val="0"/>
          <w:marTop w:val="0"/>
          <w:marBottom w:val="0"/>
          <w:divBdr>
            <w:top w:val="none" w:sz="0" w:space="0" w:color="auto"/>
            <w:left w:val="none" w:sz="0" w:space="0" w:color="auto"/>
            <w:bottom w:val="none" w:sz="0" w:space="0" w:color="auto"/>
            <w:right w:val="none" w:sz="0" w:space="0" w:color="auto"/>
          </w:divBdr>
          <w:divsChild>
            <w:div w:id="1311324591">
              <w:marLeft w:val="0"/>
              <w:marRight w:val="0"/>
              <w:marTop w:val="0"/>
              <w:marBottom w:val="0"/>
              <w:divBdr>
                <w:top w:val="none" w:sz="0" w:space="0" w:color="auto"/>
                <w:left w:val="none" w:sz="0" w:space="0" w:color="auto"/>
                <w:bottom w:val="none" w:sz="0" w:space="0" w:color="auto"/>
                <w:right w:val="none" w:sz="0" w:space="0" w:color="auto"/>
              </w:divBdr>
              <w:divsChild>
                <w:div w:id="210012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164096">
      <w:bodyDiv w:val="1"/>
      <w:marLeft w:val="0"/>
      <w:marRight w:val="0"/>
      <w:marTop w:val="0"/>
      <w:marBottom w:val="0"/>
      <w:divBdr>
        <w:top w:val="none" w:sz="0" w:space="0" w:color="auto"/>
        <w:left w:val="none" w:sz="0" w:space="0" w:color="auto"/>
        <w:bottom w:val="none" w:sz="0" w:space="0" w:color="auto"/>
        <w:right w:val="none" w:sz="0" w:space="0" w:color="auto"/>
      </w:divBdr>
    </w:div>
    <w:div w:id="1691755594">
      <w:bodyDiv w:val="1"/>
      <w:marLeft w:val="0"/>
      <w:marRight w:val="0"/>
      <w:marTop w:val="0"/>
      <w:marBottom w:val="0"/>
      <w:divBdr>
        <w:top w:val="none" w:sz="0" w:space="0" w:color="auto"/>
        <w:left w:val="none" w:sz="0" w:space="0" w:color="auto"/>
        <w:bottom w:val="none" w:sz="0" w:space="0" w:color="auto"/>
        <w:right w:val="none" w:sz="0" w:space="0" w:color="auto"/>
      </w:divBdr>
      <w:divsChild>
        <w:div w:id="1519928517">
          <w:marLeft w:val="0"/>
          <w:marRight w:val="0"/>
          <w:marTop w:val="0"/>
          <w:marBottom w:val="0"/>
          <w:divBdr>
            <w:top w:val="none" w:sz="0" w:space="0" w:color="auto"/>
            <w:left w:val="none" w:sz="0" w:space="0" w:color="auto"/>
            <w:bottom w:val="none" w:sz="0" w:space="0" w:color="auto"/>
            <w:right w:val="none" w:sz="0" w:space="0" w:color="auto"/>
          </w:divBdr>
          <w:divsChild>
            <w:div w:id="817571004">
              <w:marLeft w:val="0"/>
              <w:marRight w:val="0"/>
              <w:marTop w:val="0"/>
              <w:marBottom w:val="0"/>
              <w:divBdr>
                <w:top w:val="none" w:sz="0" w:space="0" w:color="auto"/>
                <w:left w:val="none" w:sz="0" w:space="0" w:color="auto"/>
                <w:bottom w:val="none" w:sz="0" w:space="0" w:color="auto"/>
                <w:right w:val="none" w:sz="0" w:space="0" w:color="auto"/>
              </w:divBdr>
              <w:divsChild>
                <w:div w:id="36610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668363">
      <w:bodyDiv w:val="1"/>
      <w:marLeft w:val="0"/>
      <w:marRight w:val="0"/>
      <w:marTop w:val="0"/>
      <w:marBottom w:val="0"/>
      <w:divBdr>
        <w:top w:val="none" w:sz="0" w:space="0" w:color="auto"/>
        <w:left w:val="none" w:sz="0" w:space="0" w:color="auto"/>
        <w:bottom w:val="none" w:sz="0" w:space="0" w:color="auto"/>
        <w:right w:val="none" w:sz="0" w:space="0" w:color="auto"/>
      </w:divBdr>
    </w:div>
    <w:div w:id="1727685615">
      <w:bodyDiv w:val="1"/>
      <w:marLeft w:val="0"/>
      <w:marRight w:val="0"/>
      <w:marTop w:val="0"/>
      <w:marBottom w:val="0"/>
      <w:divBdr>
        <w:top w:val="none" w:sz="0" w:space="0" w:color="auto"/>
        <w:left w:val="none" w:sz="0" w:space="0" w:color="auto"/>
        <w:bottom w:val="none" w:sz="0" w:space="0" w:color="auto"/>
        <w:right w:val="none" w:sz="0" w:space="0" w:color="auto"/>
      </w:divBdr>
      <w:divsChild>
        <w:div w:id="860777385">
          <w:marLeft w:val="0"/>
          <w:marRight w:val="0"/>
          <w:marTop w:val="0"/>
          <w:marBottom w:val="0"/>
          <w:divBdr>
            <w:top w:val="none" w:sz="0" w:space="0" w:color="auto"/>
            <w:left w:val="none" w:sz="0" w:space="0" w:color="auto"/>
            <w:bottom w:val="none" w:sz="0" w:space="0" w:color="auto"/>
            <w:right w:val="none" w:sz="0" w:space="0" w:color="auto"/>
          </w:divBdr>
          <w:divsChild>
            <w:div w:id="372846640">
              <w:marLeft w:val="0"/>
              <w:marRight w:val="0"/>
              <w:marTop w:val="0"/>
              <w:marBottom w:val="0"/>
              <w:divBdr>
                <w:top w:val="none" w:sz="0" w:space="0" w:color="auto"/>
                <w:left w:val="none" w:sz="0" w:space="0" w:color="auto"/>
                <w:bottom w:val="none" w:sz="0" w:space="0" w:color="auto"/>
                <w:right w:val="none" w:sz="0" w:space="0" w:color="auto"/>
              </w:divBdr>
              <w:divsChild>
                <w:div w:id="641275332">
                  <w:marLeft w:val="0"/>
                  <w:marRight w:val="0"/>
                  <w:marTop w:val="0"/>
                  <w:marBottom w:val="0"/>
                  <w:divBdr>
                    <w:top w:val="none" w:sz="0" w:space="0" w:color="auto"/>
                    <w:left w:val="none" w:sz="0" w:space="0" w:color="auto"/>
                    <w:bottom w:val="none" w:sz="0" w:space="0" w:color="auto"/>
                    <w:right w:val="none" w:sz="0" w:space="0" w:color="auto"/>
                  </w:divBdr>
                  <w:divsChild>
                    <w:div w:id="209855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7803533">
      <w:bodyDiv w:val="1"/>
      <w:marLeft w:val="0"/>
      <w:marRight w:val="0"/>
      <w:marTop w:val="0"/>
      <w:marBottom w:val="0"/>
      <w:divBdr>
        <w:top w:val="none" w:sz="0" w:space="0" w:color="auto"/>
        <w:left w:val="none" w:sz="0" w:space="0" w:color="auto"/>
        <w:bottom w:val="none" w:sz="0" w:space="0" w:color="auto"/>
        <w:right w:val="none" w:sz="0" w:space="0" w:color="auto"/>
      </w:divBdr>
    </w:div>
    <w:div w:id="1751153110">
      <w:bodyDiv w:val="1"/>
      <w:marLeft w:val="0"/>
      <w:marRight w:val="0"/>
      <w:marTop w:val="0"/>
      <w:marBottom w:val="0"/>
      <w:divBdr>
        <w:top w:val="none" w:sz="0" w:space="0" w:color="auto"/>
        <w:left w:val="none" w:sz="0" w:space="0" w:color="auto"/>
        <w:bottom w:val="none" w:sz="0" w:space="0" w:color="auto"/>
        <w:right w:val="none" w:sz="0" w:space="0" w:color="auto"/>
      </w:divBdr>
      <w:divsChild>
        <w:div w:id="1713648343">
          <w:marLeft w:val="-225"/>
          <w:marRight w:val="0"/>
          <w:marTop w:val="0"/>
          <w:marBottom w:val="225"/>
          <w:divBdr>
            <w:top w:val="none" w:sz="0" w:space="0" w:color="auto"/>
            <w:left w:val="none" w:sz="0" w:space="11" w:color="auto"/>
            <w:bottom w:val="single" w:sz="36" w:space="0" w:color="000000"/>
            <w:right w:val="none" w:sz="0" w:space="0" w:color="auto"/>
          </w:divBdr>
        </w:div>
      </w:divsChild>
    </w:div>
    <w:div w:id="1768386930">
      <w:bodyDiv w:val="1"/>
      <w:marLeft w:val="0"/>
      <w:marRight w:val="0"/>
      <w:marTop w:val="0"/>
      <w:marBottom w:val="0"/>
      <w:divBdr>
        <w:top w:val="none" w:sz="0" w:space="0" w:color="auto"/>
        <w:left w:val="none" w:sz="0" w:space="0" w:color="auto"/>
        <w:bottom w:val="none" w:sz="0" w:space="0" w:color="auto"/>
        <w:right w:val="none" w:sz="0" w:space="0" w:color="auto"/>
      </w:divBdr>
    </w:div>
    <w:div w:id="1782649183">
      <w:bodyDiv w:val="1"/>
      <w:marLeft w:val="0"/>
      <w:marRight w:val="0"/>
      <w:marTop w:val="0"/>
      <w:marBottom w:val="0"/>
      <w:divBdr>
        <w:top w:val="none" w:sz="0" w:space="0" w:color="auto"/>
        <w:left w:val="none" w:sz="0" w:space="0" w:color="auto"/>
        <w:bottom w:val="none" w:sz="0" w:space="0" w:color="auto"/>
        <w:right w:val="none" w:sz="0" w:space="0" w:color="auto"/>
      </w:divBdr>
      <w:divsChild>
        <w:div w:id="691490634">
          <w:marLeft w:val="0"/>
          <w:marRight w:val="0"/>
          <w:marTop w:val="0"/>
          <w:marBottom w:val="0"/>
          <w:divBdr>
            <w:top w:val="none" w:sz="0" w:space="0" w:color="auto"/>
            <w:left w:val="none" w:sz="0" w:space="0" w:color="auto"/>
            <w:bottom w:val="none" w:sz="0" w:space="0" w:color="auto"/>
            <w:right w:val="none" w:sz="0" w:space="0" w:color="auto"/>
          </w:divBdr>
          <w:divsChild>
            <w:div w:id="724990722">
              <w:marLeft w:val="0"/>
              <w:marRight w:val="0"/>
              <w:marTop w:val="0"/>
              <w:marBottom w:val="0"/>
              <w:divBdr>
                <w:top w:val="none" w:sz="0" w:space="0" w:color="auto"/>
                <w:left w:val="none" w:sz="0" w:space="0" w:color="auto"/>
                <w:bottom w:val="none" w:sz="0" w:space="0" w:color="auto"/>
                <w:right w:val="none" w:sz="0" w:space="0" w:color="auto"/>
              </w:divBdr>
              <w:divsChild>
                <w:div w:id="37304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012247">
      <w:bodyDiv w:val="1"/>
      <w:marLeft w:val="0"/>
      <w:marRight w:val="0"/>
      <w:marTop w:val="0"/>
      <w:marBottom w:val="0"/>
      <w:divBdr>
        <w:top w:val="none" w:sz="0" w:space="0" w:color="auto"/>
        <w:left w:val="none" w:sz="0" w:space="0" w:color="auto"/>
        <w:bottom w:val="none" w:sz="0" w:space="0" w:color="auto"/>
        <w:right w:val="none" w:sz="0" w:space="0" w:color="auto"/>
      </w:divBdr>
    </w:div>
    <w:div w:id="1849824993">
      <w:bodyDiv w:val="1"/>
      <w:marLeft w:val="0"/>
      <w:marRight w:val="0"/>
      <w:marTop w:val="0"/>
      <w:marBottom w:val="0"/>
      <w:divBdr>
        <w:top w:val="none" w:sz="0" w:space="0" w:color="auto"/>
        <w:left w:val="none" w:sz="0" w:space="0" w:color="auto"/>
        <w:bottom w:val="none" w:sz="0" w:space="0" w:color="auto"/>
        <w:right w:val="none" w:sz="0" w:space="0" w:color="auto"/>
      </w:divBdr>
    </w:div>
    <w:div w:id="1864587243">
      <w:bodyDiv w:val="1"/>
      <w:marLeft w:val="0"/>
      <w:marRight w:val="0"/>
      <w:marTop w:val="0"/>
      <w:marBottom w:val="0"/>
      <w:divBdr>
        <w:top w:val="none" w:sz="0" w:space="0" w:color="auto"/>
        <w:left w:val="none" w:sz="0" w:space="0" w:color="auto"/>
        <w:bottom w:val="none" w:sz="0" w:space="0" w:color="auto"/>
        <w:right w:val="none" w:sz="0" w:space="0" w:color="auto"/>
      </w:divBdr>
      <w:divsChild>
        <w:div w:id="300575481">
          <w:marLeft w:val="0"/>
          <w:marRight w:val="0"/>
          <w:marTop w:val="0"/>
          <w:marBottom w:val="0"/>
          <w:divBdr>
            <w:top w:val="none" w:sz="0" w:space="0" w:color="auto"/>
            <w:left w:val="none" w:sz="0" w:space="0" w:color="auto"/>
            <w:bottom w:val="none" w:sz="0" w:space="0" w:color="auto"/>
            <w:right w:val="none" w:sz="0" w:space="0" w:color="auto"/>
          </w:divBdr>
          <w:divsChild>
            <w:div w:id="1334643890">
              <w:marLeft w:val="0"/>
              <w:marRight w:val="0"/>
              <w:marTop w:val="0"/>
              <w:marBottom w:val="0"/>
              <w:divBdr>
                <w:top w:val="none" w:sz="0" w:space="0" w:color="auto"/>
                <w:left w:val="none" w:sz="0" w:space="0" w:color="auto"/>
                <w:bottom w:val="none" w:sz="0" w:space="0" w:color="auto"/>
                <w:right w:val="none" w:sz="0" w:space="0" w:color="auto"/>
              </w:divBdr>
              <w:divsChild>
                <w:div w:id="155939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097254">
      <w:bodyDiv w:val="1"/>
      <w:marLeft w:val="0"/>
      <w:marRight w:val="0"/>
      <w:marTop w:val="0"/>
      <w:marBottom w:val="0"/>
      <w:divBdr>
        <w:top w:val="none" w:sz="0" w:space="0" w:color="auto"/>
        <w:left w:val="none" w:sz="0" w:space="0" w:color="auto"/>
        <w:bottom w:val="none" w:sz="0" w:space="0" w:color="auto"/>
        <w:right w:val="none" w:sz="0" w:space="0" w:color="auto"/>
      </w:divBdr>
      <w:divsChild>
        <w:div w:id="1041394415">
          <w:marLeft w:val="0"/>
          <w:marRight w:val="0"/>
          <w:marTop w:val="0"/>
          <w:marBottom w:val="0"/>
          <w:divBdr>
            <w:top w:val="none" w:sz="0" w:space="0" w:color="auto"/>
            <w:left w:val="none" w:sz="0" w:space="0" w:color="auto"/>
            <w:bottom w:val="none" w:sz="0" w:space="0" w:color="auto"/>
            <w:right w:val="none" w:sz="0" w:space="0" w:color="auto"/>
          </w:divBdr>
          <w:divsChild>
            <w:div w:id="203638323">
              <w:marLeft w:val="0"/>
              <w:marRight w:val="0"/>
              <w:marTop w:val="0"/>
              <w:marBottom w:val="0"/>
              <w:divBdr>
                <w:top w:val="none" w:sz="0" w:space="0" w:color="auto"/>
                <w:left w:val="none" w:sz="0" w:space="0" w:color="auto"/>
                <w:bottom w:val="none" w:sz="0" w:space="0" w:color="auto"/>
                <w:right w:val="none" w:sz="0" w:space="0" w:color="auto"/>
              </w:divBdr>
              <w:divsChild>
                <w:div w:id="558326177">
                  <w:marLeft w:val="0"/>
                  <w:marRight w:val="0"/>
                  <w:marTop w:val="0"/>
                  <w:marBottom w:val="0"/>
                  <w:divBdr>
                    <w:top w:val="none" w:sz="0" w:space="0" w:color="auto"/>
                    <w:left w:val="none" w:sz="0" w:space="0" w:color="auto"/>
                    <w:bottom w:val="none" w:sz="0" w:space="0" w:color="auto"/>
                    <w:right w:val="none" w:sz="0" w:space="0" w:color="auto"/>
                  </w:divBdr>
                  <w:divsChild>
                    <w:div w:id="126865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6964773">
      <w:bodyDiv w:val="1"/>
      <w:marLeft w:val="0"/>
      <w:marRight w:val="0"/>
      <w:marTop w:val="0"/>
      <w:marBottom w:val="0"/>
      <w:divBdr>
        <w:top w:val="none" w:sz="0" w:space="0" w:color="auto"/>
        <w:left w:val="none" w:sz="0" w:space="0" w:color="auto"/>
        <w:bottom w:val="none" w:sz="0" w:space="0" w:color="auto"/>
        <w:right w:val="none" w:sz="0" w:space="0" w:color="auto"/>
      </w:divBdr>
    </w:div>
    <w:div w:id="1879270763">
      <w:bodyDiv w:val="1"/>
      <w:marLeft w:val="0"/>
      <w:marRight w:val="0"/>
      <w:marTop w:val="0"/>
      <w:marBottom w:val="0"/>
      <w:divBdr>
        <w:top w:val="none" w:sz="0" w:space="0" w:color="auto"/>
        <w:left w:val="none" w:sz="0" w:space="0" w:color="auto"/>
        <w:bottom w:val="none" w:sz="0" w:space="0" w:color="auto"/>
        <w:right w:val="none" w:sz="0" w:space="0" w:color="auto"/>
      </w:divBdr>
      <w:divsChild>
        <w:div w:id="1330909855">
          <w:marLeft w:val="0"/>
          <w:marRight w:val="0"/>
          <w:marTop w:val="0"/>
          <w:marBottom w:val="0"/>
          <w:divBdr>
            <w:top w:val="none" w:sz="0" w:space="0" w:color="auto"/>
            <w:left w:val="none" w:sz="0" w:space="0" w:color="auto"/>
            <w:bottom w:val="none" w:sz="0" w:space="0" w:color="auto"/>
            <w:right w:val="none" w:sz="0" w:space="0" w:color="auto"/>
          </w:divBdr>
          <w:divsChild>
            <w:div w:id="998925254">
              <w:marLeft w:val="0"/>
              <w:marRight w:val="0"/>
              <w:marTop w:val="0"/>
              <w:marBottom w:val="0"/>
              <w:divBdr>
                <w:top w:val="none" w:sz="0" w:space="0" w:color="auto"/>
                <w:left w:val="none" w:sz="0" w:space="0" w:color="auto"/>
                <w:bottom w:val="none" w:sz="0" w:space="0" w:color="auto"/>
                <w:right w:val="none" w:sz="0" w:space="0" w:color="auto"/>
              </w:divBdr>
              <w:divsChild>
                <w:div w:id="160958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713683">
      <w:bodyDiv w:val="1"/>
      <w:marLeft w:val="0"/>
      <w:marRight w:val="0"/>
      <w:marTop w:val="0"/>
      <w:marBottom w:val="0"/>
      <w:divBdr>
        <w:top w:val="none" w:sz="0" w:space="0" w:color="auto"/>
        <w:left w:val="none" w:sz="0" w:space="0" w:color="auto"/>
        <w:bottom w:val="none" w:sz="0" w:space="0" w:color="auto"/>
        <w:right w:val="none" w:sz="0" w:space="0" w:color="auto"/>
      </w:divBdr>
    </w:div>
    <w:div w:id="1903906194">
      <w:bodyDiv w:val="1"/>
      <w:marLeft w:val="0"/>
      <w:marRight w:val="0"/>
      <w:marTop w:val="0"/>
      <w:marBottom w:val="0"/>
      <w:divBdr>
        <w:top w:val="none" w:sz="0" w:space="0" w:color="auto"/>
        <w:left w:val="none" w:sz="0" w:space="0" w:color="auto"/>
        <w:bottom w:val="none" w:sz="0" w:space="0" w:color="auto"/>
        <w:right w:val="none" w:sz="0" w:space="0" w:color="auto"/>
      </w:divBdr>
    </w:div>
    <w:div w:id="1968118530">
      <w:bodyDiv w:val="1"/>
      <w:marLeft w:val="0"/>
      <w:marRight w:val="0"/>
      <w:marTop w:val="0"/>
      <w:marBottom w:val="0"/>
      <w:divBdr>
        <w:top w:val="none" w:sz="0" w:space="0" w:color="auto"/>
        <w:left w:val="none" w:sz="0" w:space="0" w:color="auto"/>
        <w:bottom w:val="none" w:sz="0" w:space="0" w:color="auto"/>
        <w:right w:val="none" w:sz="0" w:space="0" w:color="auto"/>
      </w:divBdr>
    </w:div>
    <w:div w:id="1968854957">
      <w:bodyDiv w:val="1"/>
      <w:marLeft w:val="0"/>
      <w:marRight w:val="0"/>
      <w:marTop w:val="0"/>
      <w:marBottom w:val="0"/>
      <w:divBdr>
        <w:top w:val="none" w:sz="0" w:space="0" w:color="auto"/>
        <w:left w:val="none" w:sz="0" w:space="0" w:color="auto"/>
        <w:bottom w:val="none" w:sz="0" w:space="0" w:color="auto"/>
        <w:right w:val="none" w:sz="0" w:space="0" w:color="auto"/>
      </w:divBdr>
    </w:div>
    <w:div w:id="2045910714">
      <w:bodyDiv w:val="1"/>
      <w:marLeft w:val="0"/>
      <w:marRight w:val="0"/>
      <w:marTop w:val="0"/>
      <w:marBottom w:val="0"/>
      <w:divBdr>
        <w:top w:val="none" w:sz="0" w:space="0" w:color="auto"/>
        <w:left w:val="none" w:sz="0" w:space="0" w:color="auto"/>
        <w:bottom w:val="none" w:sz="0" w:space="0" w:color="auto"/>
        <w:right w:val="none" w:sz="0" w:space="0" w:color="auto"/>
      </w:divBdr>
    </w:div>
    <w:div w:id="2055695963">
      <w:bodyDiv w:val="1"/>
      <w:marLeft w:val="0"/>
      <w:marRight w:val="0"/>
      <w:marTop w:val="0"/>
      <w:marBottom w:val="0"/>
      <w:divBdr>
        <w:top w:val="none" w:sz="0" w:space="0" w:color="auto"/>
        <w:left w:val="none" w:sz="0" w:space="0" w:color="auto"/>
        <w:bottom w:val="none" w:sz="0" w:space="0" w:color="auto"/>
        <w:right w:val="none" w:sz="0" w:space="0" w:color="auto"/>
      </w:divBdr>
    </w:div>
    <w:div w:id="2135173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aehler@usc.edu" TargetMode="External"/><Relationship Id="rId13" Type="http://schemas.openxmlformats.org/officeDocument/2006/relationships/image" Target="media/image3.emf"/><Relationship Id="rId18" Type="http://schemas.openxmlformats.org/officeDocument/2006/relationships/image" Target="media/image8.emf"/><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emf"/><Relationship Id="rId25"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14.emf"/><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footer" Target="footer2.xml"/><Relationship Id="rId10" Type="http://schemas.openxmlformats.org/officeDocument/2006/relationships/hyperlink" Target="mailto:yothin.jinjarak@vuw.ac.nz" TargetMode="External"/><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hyperlink" Target="mailto:aizenman@usc.edu" TargetMode="External"/><Relationship Id="rId14" Type="http://schemas.openxmlformats.org/officeDocument/2006/relationships/image" Target="media/image4.emf"/><Relationship Id="rId22" Type="http://schemas.openxmlformats.org/officeDocument/2006/relationships/image" Target="media/image12.emf"/><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6FB22B-747C-4EB0-A72D-3285CEA131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31</Pages>
  <Words>10093</Words>
  <Characters>57536</Characters>
  <Application>Microsoft Office Word</Application>
  <DocSecurity>0</DocSecurity>
  <Lines>479</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 Dahler</dc:creator>
  <cp:keywords/>
  <dc:description/>
  <cp:lastModifiedBy>Timo Dahler</cp:lastModifiedBy>
  <cp:revision>8</cp:revision>
  <cp:lastPrinted>2020-09-18T09:40:00Z</cp:lastPrinted>
  <dcterms:created xsi:type="dcterms:W3CDTF">2020-10-05T20:20:00Z</dcterms:created>
  <dcterms:modified xsi:type="dcterms:W3CDTF">2020-10-05T20:42:00Z</dcterms:modified>
</cp:coreProperties>
</file>