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F178F" w14:textId="6902F3B4" w:rsidR="00926A94" w:rsidRPr="00B63F34" w:rsidRDefault="00B63F34" w:rsidP="00926A94">
      <w:pPr>
        <w:rPr>
          <w:rFonts w:cstheme="minorHAnsi"/>
          <w:b/>
          <w:bCs/>
          <w:color w:val="000000" w:themeColor="text1"/>
          <w:lang w:val="en-US" w:eastAsia="en-GB"/>
        </w:rPr>
      </w:pPr>
      <w:r w:rsidRPr="00B63F34">
        <w:rPr>
          <w:rFonts w:cstheme="minorHAnsi"/>
          <w:b/>
          <w:bCs/>
          <w:color w:val="000000" w:themeColor="text1"/>
          <w:lang w:val="en-US" w:eastAsia="en-GB"/>
        </w:rPr>
        <w:t>5 highlights each under 85 characters including spaces:</w:t>
      </w:r>
    </w:p>
    <w:p w14:paraId="15EA128B" w14:textId="1ACC5409" w:rsidR="00101E83" w:rsidRPr="00B63F34" w:rsidRDefault="00843550" w:rsidP="00663B98">
      <w:pPr>
        <w:pStyle w:val="ListParagraph"/>
        <w:numPr>
          <w:ilvl w:val="0"/>
          <w:numId w:val="5"/>
        </w:numPr>
        <w:rPr>
          <w:rFonts w:cstheme="minorHAnsi"/>
          <w:color w:val="000000" w:themeColor="text1"/>
          <w:lang w:val="en-US" w:eastAsia="en-GB"/>
        </w:rPr>
      </w:pPr>
      <w:r w:rsidRPr="00B63F34">
        <w:rPr>
          <w:rFonts w:cstheme="minorHAnsi"/>
          <w:color w:val="000000" w:themeColor="text1"/>
          <w:lang w:val="en-US" w:eastAsia="en-GB"/>
        </w:rPr>
        <w:t>A</w:t>
      </w:r>
      <w:r w:rsidR="00101E83" w:rsidRPr="00B63F34">
        <w:rPr>
          <w:rFonts w:cstheme="minorHAnsi"/>
          <w:color w:val="000000" w:themeColor="text1"/>
          <w:lang w:val="en-US" w:eastAsia="en-GB"/>
        </w:rPr>
        <w:t xml:space="preserve"> </w:t>
      </w:r>
      <w:r w:rsidR="00663B98" w:rsidRPr="00B63F34">
        <w:rPr>
          <w:rFonts w:cstheme="minorHAnsi"/>
          <w:color w:val="000000" w:themeColor="text1"/>
          <w:lang w:val="en-US" w:eastAsia="en-GB"/>
        </w:rPr>
        <w:t>global/regional</w:t>
      </w:r>
      <w:r w:rsidR="00101E83" w:rsidRPr="00B63F34">
        <w:rPr>
          <w:rFonts w:cstheme="minorHAnsi"/>
          <w:color w:val="000000" w:themeColor="text1"/>
          <w:lang w:val="en-US" w:eastAsia="en-GB"/>
        </w:rPr>
        <w:t xml:space="preserve"> factor model predict</w:t>
      </w:r>
      <w:r w:rsidRPr="00B63F34">
        <w:rPr>
          <w:rFonts w:cstheme="minorHAnsi"/>
          <w:color w:val="000000" w:themeColor="text1"/>
          <w:lang w:val="en-US" w:eastAsia="en-GB"/>
        </w:rPr>
        <w:t>s</w:t>
      </w:r>
      <w:r w:rsidR="00101E83" w:rsidRPr="00B63F34">
        <w:rPr>
          <w:rFonts w:cstheme="minorHAnsi"/>
          <w:color w:val="000000" w:themeColor="text1"/>
          <w:lang w:val="en-US" w:eastAsia="en-GB"/>
        </w:rPr>
        <w:t xml:space="preserve"> sovereign CDS spreads of emerging markets.</w:t>
      </w:r>
      <w:r w:rsidR="00663B98" w:rsidRPr="00B63F34">
        <w:rPr>
          <w:rFonts w:cstheme="minorHAnsi"/>
          <w:color w:val="000000" w:themeColor="text1"/>
          <w:lang w:val="en-US" w:eastAsia="en-GB"/>
        </w:rPr>
        <w:t xml:space="preserve"> </w:t>
      </w:r>
      <w:r w:rsidR="00101E83" w:rsidRPr="00B63F34">
        <w:rPr>
          <w:rFonts w:cstheme="minorHAnsi"/>
          <w:color w:val="000000" w:themeColor="text1"/>
          <w:lang w:val="en-US" w:eastAsia="en-GB"/>
        </w:rPr>
        <w:t>8</w:t>
      </w:r>
      <w:r w:rsidRPr="00B63F34">
        <w:rPr>
          <w:rFonts w:cstheme="minorHAnsi"/>
          <w:color w:val="000000" w:themeColor="text1"/>
          <w:lang w:val="en-US" w:eastAsia="en-GB"/>
        </w:rPr>
        <w:t>5</w:t>
      </w:r>
      <w:r w:rsidR="00101E83" w:rsidRPr="00B63F34">
        <w:rPr>
          <w:rFonts w:cstheme="minorHAnsi"/>
          <w:color w:val="000000" w:themeColor="text1"/>
          <w:lang w:val="en-US" w:eastAsia="en-GB"/>
        </w:rPr>
        <w:t xml:space="preserve"> characters </w:t>
      </w:r>
    </w:p>
    <w:p w14:paraId="76D138EC" w14:textId="63741135" w:rsidR="00101E83" w:rsidRPr="00B63F34" w:rsidRDefault="00843550" w:rsidP="00663B98">
      <w:pPr>
        <w:pStyle w:val="ListParagraph"/>
        <w:numPr>
          <w:ilvl w:val="0"/>
          <w:numId w:val="5"/>
        </w:numPr>
        <w:rPr>
          <w:rFonts w:cstheme="minorHAnsi"/>
          <w:color w:val="000000" w:themeColor="text1"/>
          <w:lang w:val="en-US" w:eastAsia="en-GB"/>
        </w:rPr>
      </w:pPr>
      <w:r w:rsidRPr="00B63F34">
        <w:rPr>
          <w:rFonts w:cstheme="minorHAnsi"/>
          <w:color w:val="000000" w:themeColor="text1"/>
          <w:lang w:val="en-US" w:eastAsia="en-GB"/>
        </w:rPr>
        <w:t>Predictive</w:t>
      </w:r>
      <w:r w:rsidR="00663B98" w:rsidRPr="00B63F34">
        <w:rPr>
          <w:rFonts w:cstheme="minorHAnsi"/>
          <w:color w:val="000000" w:themeColor="text1"/>
          <w:lang w:val="en-US" w:eastAsia="en-GB"/>
        </w:rPr>
        <w:t xml:space="preserve"> accuracy falls </w:t>
      </w:r>
      <w:r w:rsidR="00B63F34" w:rsidRPr="00B63F34">
        <w:rPr>
          <w:rFonts w:cstheme="minorHAnsi"/>
          <w:color w:val="000000" w:themeColor="text1"/>
          <w:lang w:val="en-US" w:eastAsia="en-GB"/>
        </w:rPr>
        <w:t>and residuals increase</w:t>
      </w:r>
      <w:r w:rsidR="00B63F34" w:rsidRPr="00B63F34">
        <w:rPr>
          <w:rFonts w:cstheme="minorHAnsi"/>
          <w:color w:val="000000" w:themeColor="text1"/>
          <w:lang w:val="en-US" w:eastAsia="en-GB"/>
        </w:rPr>
        <w:t xml:space="preserve"> </w:t>
      </w:r>
      <w:r w:rsidR="00663B98" w:rsidRPr="00B63F34">
        <w:rPr>
          <w:rFonts w:cstheme="minorHAnsi"/>
          <w:color w:val="000000" w:themeColor="text1"/>
          <w:lang w:val="en-US" w:eastAsia="en-GB"/>
        </w:rPr>
        <w:t xml:space="preserve">during </w:t>
      </w:r>
      <w:r w:rsidRPr="00B63F34">
        <w:rPr>
          <w:rFonts w:cstheme="minorHAnsi"/>
          <w:color w:val="000000" w:themeColor="text1"/>
          <w:lang w:val="en-US" w:eastAsia="en-GB"/>
        </w:rPr>
        <w:t xml:space="preserve">the </w:t>
      </w:r>
      <w:r w:rsidR="00663B98" w:rsidRPr="00B63F34">
        <w:rPr>
          <w:rFonts w:cstheme="minorHAnsi"/>
          <w:color w:val="000000" w:themeColor="text1"/>
          <w:lang w:val="en-US" w:eastAsia="en-GB"/>
        </w:rPr>
        <w:t>COVID-19</w:t>
      </w:r>
      <w:r w:rsidRPr="00B63F34">
        <w:rPr>
          <w:rFonts w:cstheme="minorHAnsi"/>
          <w:color w:val="000000" w:themeColor="text1"/>
          <w:lang w:val="en-US" w:eastAsia="en-GB"/>
        </w:rPr>
        <w:t xml:space="preserve"> pandemic</w:t>
      </w:r>
      <w:r w:rsidR="00663B98" w:rsidRPr="00B63F34">
        <w:rPr>
          <w:rFonts w:cstheme="minorHAnsi"/>
          <w:color w:val="000000" w:themeColor="text1"/>
          <w:lang w:val="en-US" w:eastAsia="en-GB"/>
        </w:rPr>
        <w:t xml:space="preserve">. </w:t>
      </w:r>
      <w:r w:rsidRPr="00B63F34">
        <w:rPr>
          <w:rFonts w:cstheme="minorHAnsi"/>
          <w:color w:val="000000" w:themeColor="text1"/>
          <w:lang w:val="en-US" w:eastAsia="en-GB"/>
        </w:rPr>
        <w:t>80</w:t>
      </w:r>
      <w:r w:rsidR="00663B98" w:rsidRPr="00B63F34">
        <w:rPr>
          <w:rFonts w:cstheme="minorHAnsi"/>
          <w:color w:val="000000" w:themeColor="text1"/>
          <w:lang w:val="en-US" w:eastAsia="en-GB"/>
        </w:rPr>
        <w:t xml:space="preserve"> characters</w:t>
      </w:r>
    </w:p>
    <w:p w14:paraId="208D93DB" w14:textId="6350E2E8" w:rsidR="00843550" w:rsidRPr="00B63F34" w:rsidRDefault="00843550" w:rsidP="00663B98">
      <w:pPr>
        <w:pStyle w:val="ListParagraph"/>
        <w:numPr>
          <w:ilvl w:val="0"/>
          <w:numId w:val="5"/>
        </w:numPr>
        <w:rPr>
          <w:rFonts w:cstheme="minorHAnsi"/>
          <w:color w:val="000000" w:themeColor="text1"/>
          <w:lang w:val="en-US" w:eastAsia="en-GB"/>
        </w:rPr>
      </w:pPr>
      <w:r w:rsidRPr="00B63F34">
        <w:rPr>
          <w:rFonts w:cstheme="minorHAnsi"/>
          <w:color w:val="000000" w:themeColor="text1"/>
          <w:lang w:val="en-US" w:eastAsia="en-GB"/>
        </w:rPr>
        <w:t>Residuals are largest</w:t>
      </w:r>
      <w:r w:rsidR="00663B98" w:rsidRPr="00B63F34">
        <w:rPr>
          <w:rFonts w:cstheme="minorHAnsi"/>
          <w:color w:val="000000" w:themeColor="text1"/>
          <w:lang w:val="en-US" w:eastAsia="en-GB"/>
        </w:rPr>
        <w:t xml:space="preserve"> in March 2020</w:t>
      </w:r>
      <w:r w:rsidRPr="00B63F34">
        <w:rPr>
          <w:rFonts w:cstheme="minorHAnsi"/>
          <w:color w:val="000000" w:themeColor="text1"/>
          <w:lang w:val="en-US" w:eastAsia="en-GB"/>
        </w:rPr>
        <w:t xml:space="preserve">. </w:t>
      </w:r>
      <w:r w:rsidR="00B63F34" w:rsidRPr="00B63F34">
        <w:rPr>
          <w:rFonts w:cstheme="minorHAnsi"/>
          <w:color w:val="000000" w:themeColor="text1"/>
          <w:lang w:val="en-US" w:eastAsia="en-GB"/>
        </w:rPr>
        <w:t>38 characters</w:t>
      </w:r>
    </w:p>
    <w:p w14:paraId="5436B668" w14:textId="1D6D3AC2" w:rsidR="00663B98" w:rsidRPr="00B63F34" w:rsidRDefault="00B63F34" w:rsidP="00663B98">
      <w:pPr>
        <w:pStyle w:val="ListParagraph"/>
        <w:numPr>
          <w:ilvl w:val="0"/>
          <w:numId w:val="5"/>
        </w:numPr>
        <w:rPr>
          <w:rFonts w:cstheme="minorHAnsi"/>
          <w:color w:val="000000" w:themeColor="text1"/>
          <w:lang w:val="en-US" w:eastAsia="en-GB"/>
        </w:rPr>
      </w:pPr>
      <w:r w:rsidRPr="00B63F34">
        <w:rPr>
          <w:rFonts w:cstheme="minorHAnsi"/>
          <w:color w:val="000000" w:themeColor="text1"/>
          <w:lang w:val="en-US" w:eastAsia="en-GB"/>
        </w:rPr>
        <w:t>March r</w:t>
      </w:r>
      <w:r w:rsidR="00843550" w:rsidRPr="00B63F34">
        <w:rPr>
          <w:rFonts w:cstheme="minorHAnsi"/>
          <w:color w:val="000000" w:themeColor="text1"/>
          <w:lang w:val="en-US" w:eastAsia="en-GB"/>
        </w:rPr>
        <w:t>esiduals driven by economic factors such as fiscal space and oil dependence. 8</w:t>
      </w:r>
      <w:r w:rsidRPr="00B63F34">
        <w:rPr>
          <w:rFonts w:cstheme="minorHAnsi"/>
          <w:color w:val="000000" w:themeColor="text1"/>
          <w:lang w:val="en-US" w:eastAsia="en-GB"/>
        </w:rPr>
        <w:t>5</w:t>
      </w:r>
    </w:p>
    <w:p w14:paraId="7F208EDC" w14:textId="156B7019" w:rsidR="00B63F34" w:rsidRPr="00B63F34" w:rsidRDefault="00B63F34" w:rsidP="00663B98">
      <w:pPr>
        <w:pStyle w:val="ListParagraph"/>
        <w:numPr>
          <w:ilvl w:val="0"/>
          <w:numId w:val="5"/>
        </w:numPr>
        <w:rPr>
          <w:rFonts w:cstheme="minorHAnsi"/>
          <w:color w:val="000000" w:themeColor="text1"/>
          <w:lang w:val="en-US" w:eastAsia="en-GB"/>
        </w:rPr>
      </w:pPr>
      <w:r w:rsidRPr="00B63F34">
        <w:rPr>
          <w:rFonts w:cstheme="minorHAnsi"/>
          <w:color w:val="000000" w:themeColor="text1"/>
          <w:lang w:val="en-US" w:eastAsia="en-GB"/>
        </w:rPr>
        <w:t>Independent positive effect of growth in cumulative mortality rate on CDS spreads. 84 characters</w:t>
      </w:r>
    </w:p>
    <w:p w14:paraId="7FD3C8E8" w14:textId="314C2ED6" w:rsidR="00926A94" w:rsidRPr="00B63F34" w:rsidRDefault="00926A94" w:rsidP="00B63F34">
      <w:pPr>
        <w:rPr>
          <w:rFonts w:cstheme="minorHAnsi"/>
          <w:color w:val="000000" w:themeColor="text1"/>
          <w:lang w:val="en-US" w:eastAsia="en-GB"/>
        </w:rPr>
      </w:pPr>
    </w:p>
    <w:p w14:paraId="52AD978A" w14:textId="46D60BE1" w:rsidR="00B63F34" w:rsidRPr="00B63F34" w:rsidRDefault="00B63F34" w:rsidP="00B63F34">
      <w:pPr>
        <w:rPr>
          <w:rFonts w:cstheme="minorHAnsi"/>
          <w:b/>
          <w:bCs/>
          <w:color w:val="000000" w:themeColor="text1"/>
          <w:lang w:val="en-US" w:eastAsia="en-GB"/>
        </w:rPr>
      </w:pPr>
      <w:r w:rsidRPr="00B63F34">
        <w:rPr>
          <w:rFonts w:cstheme="minorHAnsi"/>
          <w:b/>
          <w:bCs/>
          <w:color w:val="000000" w:themeColor="text1"/>
          <w:lang w:val="en-US" w:eastAsia="en-GB"/>
        </w:rPr>
        <w:t>Long-form highlights in the conclusion section of the paper:</w:t>
      </w:r>
    </w:p>
    <w:p w14:paraId="51524627" w14:textId="1C8EE290" w:rsidR="00101E83" w:rsidRPr="00B63F34" w:rsidRDefault="00926A94" w:rsidP="00926A94">
      <w:pPr>
        <w:rPr>
          <w:rFonts w:cstheme="minorHAnsi"/>
          <w:color w:val="000000" w:themeColor="text1"/>
          <w:lang w:val="en-US"/>
        </w:rPr>
      </w:pPr>
      <w:r w:rsidRPr="00B63F34">
        <w:rPr>
          <w:rFonts w:cstheme="minorHAnsi"/>
          <w:color w:val="000000" w:themeColor="text1"/>
          <w:lang w:val="en-US"/>
        </w:rPr>
        <w:t xml:space="preserve">First, a model that uses global/regional factors to model spread changes traces the realized spread changes well for the period before the pandemic. This observation suggests that emerging market spreads are driven largely by global/regional factors in risk-on environments. </w:t>
      </w:r>
    </w:p>
    <w:p w14:paraId="07B3281A" w14:textId="30965E58" w:rsidR="00101E83" w:rsidRPr="00B63F34" w:rsidRDefault="00926A94" w:rsidP="00926A94">
      <w:pPr>
        <w:rPr>
          <w:rFonts w:cstheme="minorHAnsi"/>
          <w:color w:val="000000" w:themeColor="text1"/>
          <w:lang w:val="en-US"/>
        </w:rPr>
      </w:pPr>
      <w:r w:rsidRPr="00B63F34">
        <w:rPr>
          <w:rFonts w:cstheme="minorHAnsi"/>
          <w:color w:val="000000" w:themeColor="text1"/>
          <w:lang w:val="en-US"/>
        </w:rPr>
        <w:t xml:space="preserve">Second, the relationship between actual spread changes and their changes predicted by the factor model breaks down during the pandemic. This suggests that spread determinants are of time-varying nature and that investors weigh country-specific factors more heavily in their decision-making process in risk-off environments. </w:t>
      </w:r>
    </w:p>
    <w:p w14:paraId="0F3BEC6F" w14:textId="13AE1A02" w:rsidR="00101E83" w:rsidRPr="00B63F34" w:rsidRDefault="00926A94" w:rsidP="00926A94">
      <w:pPr>
        <w:rPr>
          <w:rFonts w:cstheme="minorHAnsi"/>
          <w:color w:val="000000" w:themeColor="text1"/>
          <w:lang w:val="en-US"/>
        </w:rPr>
      </w:pPr>
      <w:r w:rsidRPr="00B63F34">
        <w:rPr>
          <w:rFonts w:cstheme="minorHAnsi"/>
          <w:color w:val="000000" w:themeColor="text1"/>
          <w:lang w:val="en-US"/>
        </w:rPr>
        <w:t xml:space="preserve">Third, actual spread changes experience the biggest deviations from model-implied values in March 2020, suggesting that uncertainties around ramifications of the pandemic were highest at the peak of the first wave. </w:t>
      </w:r>
    </w:p>
    <w:p w14:paraId="7645418E" w14:textId="19286F82" w:rsidR="00B63F34" w:rsidRPr="00B63F34" w:rsidRDefault="00926A94" w:rsidP="00926A94">
      <w:pPr>
        <w:rPr>
          <w:rFonts w:cstheme="minorHAnsi"/>
          <w:color w:val="000000" w:themeColor="text1"/>
          <w:lang w:val="en-US"/>
        </w:rPr>
      </w:pPr>
      <w:r w:rsidRPr="00B63F34">
        <w:rPr>
          <w:rFonts w:cstheme="minorHAnsi"/>
          <w:color w:val="000000" w:themeColor="text1"/>
          <w:lang w:val="en-US"/>
        </w:rPr>
        <w:t>Fourth, spreads at peak COVID-19 (March 2020) were primarily driven by traditional country-specific factors of sovereign solvency such as fiscal space and oil income dependence rather than epidemiological policies and dynamics. This suggests, maybe surprisingly, that the severity of the pandemic in terms of mortalities in a specific country didn’t influence investors’ behavior much, at least not during peak COVID-19.</w:t>
      </w:r>
    </w:p>
    <w:p w14:paraId="7BA31579" w14:textId="77777777" w:rsidR="00926A94" w:rsidRPr="00B63F34" w:rsidRDefault="00926A94" w:rsidP="00926A94">
      <w:pPr>
        <w:rPr>
          <w:rFonts w:cstheme="minorHAnsi"/>
          <w:color w:val="000000" w:themeColor="text1"/>
          <w:lang w:val="en-US"/>
        </w:rPr>
      </w:pPr>
      <w:r w:rsidRPr="00B63F34">
        <w:rPr>
          <w:rFonts w:cstheme="minorHAnsi"/>
          <w:color w:val="000000" w:themeColor="text1"/>
          <w:lang w:val="en-US"/>
        </w:rPr>
        <w:t xml:space="preserve">Fifth, over the entire pandemic period, however, the growth in the cumulative mortality rate is significantly positively associated with CDS spread changes after taking the economic ramifications of lockdowns and the oil price decline into account. This suggests </w:t>
      </w:r>
      <w:r w:rsidRPr="00B63F34">
        <w:rPr>
          <w:rFonts w:cstheme="minorHAnsi"/>
          <w:bCs/>
          <w:color w:val="000000" w:themeColor="text1"/>
          <w:lang w:val="en-US"/>
        </w:rPr>
        <w:t>that investors either feared a near-term intensification of lockdowns or a</w:t>
      </w:r>
      <w:r w:rsidRPr="00B63F34">
        <w:rPr>
          <w:rFonts w:cstheme="minorHAnsi"/>
          <w:bCs/>
          <w:color w:val="000000" w:themeColor="text1"/>
          <w:shd w:val="clear" w:color="auto" w:fill="FFFFFF"/>
          <w:lang w:val="en-US"/>
        </w:rPr>
        <w:t xml:space="preserve"> longer-term continuation of </w:t>
      </w:r>
      <w:r w:rsidRPr="00B63F34">
        <w:rPr>
          <w:rFonts w:cstheme="minorHAnsi"/>
          <w:bCs/>
          <w:color w:val="000000" w:themeColor="text1"/>
          <w:lang w:val="en-US"/>
        </w:rPr>
        <w:t>lockdowns, and possibly a slower GDP growth recovery</w:t>
      </w:r>
      <w:r w:rsidRPr="00B63F34">
        <w:rPr>
          <w:rFonts w:cstheme="minorHAnsi"/>
          <w:color w:val="000000" w:themeColor="text1"/>
          <w:lang w:val="en-US"/>
        </w:rPr>
        <w:t xml:space="preserve">.  </w:t>
      </w:r>
    </w:p>
    <w:p w14:paraId="043F2ED4" w14:textId="4C95A397" w:rsidR="00926A94" w:rsidRPr="00B63F34" w:rsidRDefault="00926A94" w:rsidP="00926A94">
      <w:pPr>
        <w:rPr>
          <w:rFonts w:cstheme="minorHAnsi"/>
          <w:color w:val="000000" w:themeColor="text1"/>
          <w:lang w:val="en-US" w:eastAsia="en-GB"/>
        </w:rPr>
      </w:pPr>
    </w:p>
    <w:p w14:paraId="23B1AAA7" w14:textId="2C037AE8" w:rsidR="00926A94" w:rsidRPr="00B63F34" w:rsidRDefault="00B63F34" w:rsidP="00926A94">
      <w:pPr>
        <w:rPr>
          <w:rFonts w:cstheme="minorHAnsi"/>
          <w:b/>
          <w:bCs/>
          <w:color w:val="000000" w:themeColor="text1"/>
          <w:lang w:val="en-US" w:eastAsia="en-GB"/>
        </w:rPr>
      </w:pPr>
      <w:r w:rsidRPr="00B63F34">
        <w:rPr>
          <w:rFonts w:cstheme="minorHAnsi"/>
          <w:b/>
          <w:bCs/>
          <w:color w:val="000000" w:themeColor="text1"/>
          <w:lang w:val="en-US" w:eastAsia="en-GB"/>
        </w:rPr>
        <w:t>Highlights of a selection of other papers that were published in Economic Modelling to show how they phrased their highlights</w:t>
      </w:r>
      <w:r>
        <w:rPr>
          <w:rFonts w:cstheme="minorHAnsi"/>
          <w:b/>
          <w:bCs/>
          <w:color w:val="000000" w:themeColor="text1"/>
          <w:lang w:val="en-US" w:eastAsia="en-GB"/>
        </w:rPr>
        <w:t>:</w:t>
      </w:r>
    </w:p>
    <w:p w14:paraId="1C7C99E9" w14:textId="73295117" w:rsidR="00926A94" w:rsidRPr="00B63F34" w:rsidRDefault="00926A94" w:rsidP="00926A94">
      <w:pPr>
        <w:rPr>
          <w:rFonts w:cstheme="minorHAnsi"/>
          <w:color w:val="000000" w:themeColor="text1"/>
          <w:lang w:val="en-US" w:eastAsia="en-GB"/>
        </w:rPr>
      </w:pPr>
    </w:p>
    <w:p w14:paraId="1F5194A2" w14:textId="51594FA6" w:rsidR="00926A94" w:rsidRPr="00B63F34" w:rsidRDefault="00B63F34" w:rsidP="00B63F34">
      <w:pPr>
        <w:rPr>
          <w:rFonts w:cstheme="minorHAnsi"/>
          <w:b/>
          <w:bCs/>
          <w:color w:val="000000" w:themeColor="text1"/>
          <w:lang w:val="en-US" w:eastAsia="en-GB"/>
        </w:rPr>
      </w:pPr>
      <w:r>
        <w:rPr>
          <w:rFonts w:cstheme="minorHAnsi"/>
          <w:b/>
          <w:bCs/>
          <w:color w:val="000000" w:themeColor="text1"/>
          <w:lang w:val="en-US" w:eastAsia="en-GB"/>
        </w:rPr>
        <w:t xml:space="preserve">Example </w:t>
      </w:r>
      <w:r w:rsidRPr="00B63F34">
        <w:rPr>
          <w:rFonts w:cstheme="minorHAnsi"/>
          <w:b/>
          <w:bCs/>
          <w:color w:val="000000" w:themeColor="text1"/>
          <w:lang w:val="en-US" w:eastAsia="en-GB"/>
        </w:rPr>
        <w:t>Paper 1</w:t>
      </w:r>
      <w:proofErr w:type="spellStart"/>
    </w:p>
    <w:p w14:paraId="33823358" w14:textId="1F421C45" w:rsidR="00926A94" w:rsidRPr="00B63F34" w:rsidRDefault="00926A94" w:rsidP="00B63F34">
      <w:pPr>
        <w:pStyle w:val="ListParagraph"/>
        <w:numPr>
          <w:ilvl w:val="0"/>
          <w:numId w:val="6"/>
        </w:numPr>
        <w:rPr>
          <w:rFonts w:cstheme="minorHAnsi"/>
          <w:color w:val="000000" w:themeColor="text1"/>
          <w:lang w:val="en-US" w:eastAsia="en-GB"/>
        </w:rPr>
      </w:pPr>
      <w:r w:rsidRPr="00B63F34">
        <w:rPr>
          <w:rFonts w:cstheme="minorHAnsi"/>
          <w:color w:val="000000" w:themeColor="text1"/>
          <w:lang w:val="en-US" w:eastAsia="en-GB"/>
        </w:rPr>
        <w:t>W</w:t>
      </w:r>
      <w:proofErr w:type="spellEnd"/>
      <w:r w:rsidRPr="00B63F34">
        <w:rPr>
          <w:rFonts w:cstheme="minorHAnsi"/>
          <w:color w:val="000000" w:themeColor="text1"/>
          <w:lang w:val="en-US" w:eastAsia="en-GB"/>
        </w:rPr>
        <w:t>e construct a dynamic-factor-based indicator of China’s monetary policy stance.</w:t>
      </w:r>
    </w:p>
    <w:p w14:paraId="6E6DCBA7" w14:textId="464354E3" w:rsidR="00926A94" w:rsidRPr="00B63F34" w:rsidRDefault="00926A94" w:rsidP="00B63F34">
      <w:pPr>
        <w:pStyle w:val="ListParagraph"/>
        <w:numPr>
          <w:ilvl w:val="0"/>
          <w:numId w:val="6"/>
        </w:numPr>
        <w:rPr>
          <w:rFonts w:cstheme="minorHAnsi"/>
          <w:color w:val="000000" w:themeColor="text1"/>
          <w:lang w:val="en-US" w:eastAsia="en-GB"/>
        </w:rPr>
      </w:pPr>
      <w:r w:rsidRPr="00B63F34">
        <w:rPr>
          <w:rFonts w:cstheme="minorHAnsi"/>
          <w:color w:val="000000" w:themeColor="text1"/>
          <w:lang w:val="en-US" w:eastAsia="en-GB"/>
        </w:rPr>
        <w:t xml:space="preserve">Estimates reveal the </w:t>
      </w:r>
      <w:proofErr w:type="spellStart"/>
      <w:r w:rsidRPr="00B63F34">
        <w:rPr>
          <w:rFonts w:cstheme="minorHAnsi"/>
          <w:color w:val="000000" w:themeColor="text1"/>
          <w:lang w:val="en-US" w:eastAsia="en-GB"/>
        </w:rPr>
        <w:t>PBoC’s</w:t>
      </w:r>
      <w:proofErr w:type="spellEnd"/>
      <w:r w:rsidRPr="00B63F34">
        <w:rPr>
          <w:rFonts w:cstheme="minorHAnsi"/>
          <w:color w:val="000000" w:themeColor="text1"/>
          <w:lang w:val="en-US" w:eastAsia="en-GB"/>
        </w:rPr>
        <w:t xml:space="preserve"> novel policy measures during the COVID-19 crisis.</w:t>
      </w:r>
    </w:p>
    <w:p w14:paraId="54BF3024" w14:textId="201C6FCB" w:rsidR="00926A94" w:rsidRPr="00B63F34" w:rsidRDefault="00926A94" w:rsidP="00B63F34">
      <w:pPr>
        <w:pStyle w:val="ListParagraph"/>
        <w:numPr>
          <w:ilvl w:val="0"/>
          <w:numId w:val="6"/>
        </w:numPr>
        <w:rPr>
          <w:rFonts w:cstheme="minorHAnsi"/>
          <w:color w:val="000000" w:themeColor="text1"/>
          <w:lang w:val="en-US" w:eastAsia="en-GB"/>
        </w:rPr>
      </w:pPr>
      <w:r w:rsidRPr="00B63F34">
        <w:rPr>
          <w:rFonts w:cstheme="minorHAnsi"/>
          <w:color w:val="000000" w:themeColor="text1"/>
          <w:lang w:val="en-US" w:eastAsia="en-GB"/>
        </w:rPr>
        <w:t>The Chinese monetary policy response to the pandemic has been swift and decisive.</w:t>
      </w:r>
    </w:p>
    <w:p w14:paraId="45A6B00B" w14:textId="77777777" w:rsidR="00926A94" w:rsidRPr="00B63F34" w:rsidRDefault="00926A94" w:rsidP="00B63F34">
      <w:pPr>
        <w:pStyle w:val="ListParagraph"/>
        <w:numPr>
          <w:ilvl w:val="0"/>
          <w:numId w:val="6"/>
        </w:numPr>
        <w:rPr>
          <w:rFonts w:cstheme="minorHAnsi"/>
          <w:color w:val="000000" w:themeColor="text1"/>
          <w:lang w:val="en-US" w:eastAsia="en-GB"/>
        </w:rPr>
      </w:pPr>
      <w:r w:rsidRPr="00B63F34">
        <w:rPr>
          <w:rFonts w:cstheme="minorHAnsi"/>
          <w:color w:val="000000" w:themeColor="text1"/>
          <w:lang w:val="en-US" w:eastAsia="en-GB"/>
        </w:rPr>
        <w:t>The measures ensure liquidity access and credit provision by commercial banks.</w:t>
      </w:r>
    </w:p>
    <w:p w14:paraId="3D4889FB" w14:textId="77777777" w:rsidR="00AF1EFC" w:rsidRPr="00B63F34" w:rsidRDefault="00AF1EFC" w:rsidP="00B63F34">
      <w:pPr>
        <w:rPr>
          <w:rFonts w:cstheme="minorHAnsi"/>
          <w:color w:val="000000" w:themeColor="text1"/>
          <w:lang w:val="en-US" w:eastAsia="en-GB"/>
        </w:rPr>
      </w:pPr>
    </w:p>
    <w:p w14:paraId="69A796B2" w14:textId="28767992" w:rsidR="00926A94" w:rsidRPr="00B63F34" w:rsidRDefault="00B63F34" w:rsidP="00B63F34">
      <w:pPr>
        <w:rPr>
          <w:rFonts w:cstheme="minorHAnsi"/>
          <w:color w:val="000000" w:themeColor="text1"/>
          <w:lang w:val="en-US" w:eastAsia="en-GB"/>
        </w:rPr>
      </w:pPr>
      <w:r w:rsidRPr="00B63F34">
        <w:rPr>
          <w:rFonts w:cstheme="minorHAnsi"/>
          <w:b/>
          <w:bCs/>
          <w:color w:val="000000" w:themeColor="text1"/>
          <w:lang w:val="en-US" w:eastAsia="en-GB"/>
        </w:rPr>
        <w:t>Example Paper 2</w:t>
      </w:r>
    </w:p>
    <w:p w14:paraId="71E8B58C" w14:textId="0A75C18F" w:rsidR="00926A94" w:rsidRPr="00B63F34" w:rsidRDefault="00926A94" w:rsidP="00B63F34">
      <w:pPr>
        <w:pStyle w:val="ListParagraph"/>
        <w:numPr>
          <w:ilvl w:val="0"/>
          <w:numId w:val="7"/>
        </w:numPr>
        <w:rPr>
          <w:color w:val="000000" w:themeColor="text1"/>
          <w:lang w:val="en-US" w:eastAsia="en-GB"/>
        </w:rPr>
      </w:pPr>
      <w:r w:rsidRPr="00B63F34">
        <w:rPr>
          <w:color w:val="000000" w:themeColor="text1"/>
          <w:lang w:val="en-US" w:eastAsia="en-GB"/>
        </w:rPr>
        <w:lastRenderedPageBreak/>
        <w:t>A feedback mechanism links credit default swaps, equities, and cross-currency basis swaps.</w:t>
      </w:r>
    </w:p>
    <w:p w14:paraId="45C7B430" w14:textId="01F761F6" w:rsidR="00926A94" w:rsidRPr="00B63F34" w:rsidRDefault="00926A94" w:rsidP="00B63F34">
      <w:pPr>
        <w:pStyle w:val="ListParagraph"/>
        <w:numPr>
          <w:ilvl w:val="0"/>
          <w:numId w:val="7"/>
        </w:numPr>
        <w:rPr>
          <w:color w:val="000000" w:themeColor="text1"/>
          <w:lang w:val="en-US" w:eastAsia="en-GB"/>
        </w:rPr>
      </w:pPr>
      <w:r w:rsidRPr="00B63F34">
        <w:rPr>
          <w:color w:val="000000" w:themeColor="text1"/>
          <w:lang w:val="en-US" w:eastAsia="en-GB"/>
        </w:rPr>
        <w:t>Higher credit default swaps induce wider cross-currency basis swaps and equities fall.</w:t>
      </w:r>
    </w:p>
    <w:p w14:paraId="6E2B0590" w14:textId="148819C5" w:rsidR="00926A94" w:rsidRPr="00B63F34" w:rsidRDefault="00926A94" w:rsidP="00B63F34">
      <w:pPr>
        <w:pStyle w:val="ListParagraph"/>
        <w:numPr>
          <w:ilvl w:val="0"/>
          <w:numId w:val="7"/>
        </w:numPr>
        <w:rPr>
          <w:color w:val="000000" w:themeColor="text1"/>
          <w:lang w:val="en-US" w:eastAsia="en-GB"/>
        </w:rPr>
      </w:pPr>
      <w:r w:rsidRPr="00B63F34">
        <w:rPr>
          <w:color w:val="000000" w:themeColor="text1"/>
          <w:lang w:val="en-US" w:eastAsia="en-GB"/>
        </w:rPr>
        <w:t>Tighter cross-currency basis lessens credit defaults swaps and raises equities.</w:t>
      </w:r>
    </w:p>
    <w:p w14:paraId="1149625E" w14:textId="4451675E" w:rsidR="00926A94" w:rsidRPr="00B63F34" w:rsidRDefault="00926A94" w:rsidP="00B63F34">
      <w:pPr>
        <w:pStyle w:val="ListParagraph"/>
        <w:numPr>
          <w:ilvl w:val="0"/>
          <w:numId w:val="7"/>
        </w:numPr>
        <w:rPr>
          <w:color w:val="000000" w:themeColor="text1"/>
          <w:lang w:val="en-US" w:eastAsia="en-GB"/>
        </w:rPr>
      </w:pPr>
      <w:r w:rsidRPr="00B63F34">
        <w:rPr>
          <w:color w:val="000000" w:themeColor="text1"/>
          <w:lang w:val="en-US" w:eastAsia="en-GB"/>
        </w:rPr>
        <w:t>Stronger equities lower credit default swaps and tighten cross-currency basis swaps.</w:t>
      </w:r>
    </w:p>
    <w:p w14:paraId="474F6EA3" w14:textId="347A0971" w:rsidR="00926A94" w:rsidRPr="00B63F34" w:rsidRDefault="00926A94" w:rsidP="00B63F34">
      <w:pPr>
        <w:pStyle w:val="ListParagraph"/>
        <w:numPr>
          <w:ilvl w:val="0"/>
          <w:numId w:val="7"/>
        </w:numPr>
        <w:rPr>
          <w:color w:val="000000" w:themeColor="text1"/>
          <w:lang w:val="en-US" w:eastAsia="en-GB"/>
        </w:rPr>
      </w:pPr>
      <w:r w:rsidRPr="00B63F34">
        <w:rPr>
          <w:color w:val="000000" w:themeColor="text1"/>
          <w:lang w:val="en-US" w:eastAsia="en-GB"/>
        </w:rPr>
        <w:t>Credit defaults drive the feedback mechanism as an indicator of default on obligations.</w:t>
      </w:r>
    </w:p>
    <w:p w14:paraId="5F999A2D" w14:textId="22BCAA2F" w:rsidR="00926A94" w:rsidRPr="00B63F34" w:rsidRDefault="00926A94" w:rsidP="00B63F34">
      <w:pPr>
        <w:rPr>
          <w:rFonts w:cstheme="minorHAnsi"/>
          <w:color w:val="000000" w:themeColor="text1"/>
          <w:lang w:val="en-US" w:eastAsia="en-GB"/>
        </w:rPr>
      </w:pPr>
    </w:p>
    <w:p w14:paraId="1DCC7CF9" w14:textId="3D956B71" w:rsidR="00926A94" w:rsidRPr="00B63F34" w:rsidRDefault="00B63F34" w:rsidP="00B63F34">
      <w:pPr>
        <w:rPr>
          <w:rFonts w:cstheme="minorHAnsi"/>
          <w:b/>
          <w:bCs/>
          <w:color w:val="000000" w:themeColor="text1"/>
          <w:lang w:val="en-US" w:eastAsia="en-GB"/>
        </w:rPr>
      </w:pPr>
      <w:r w:rsidRPr="00B63F34">
        <w:rPr>
          <w:rFonts w:cstheme="minorHAnsi"/>
          <w:b/>
          <w:bCs/>
          <w:color w:val="000000" w:themeColor="text1"/>
          <w:lang w:val="en-US" w:eastAsia="en-GB"/>
        </w:rPr>
        <w:t>Example Paper 3</w:t>
      </w:r>
    </w:p>
    <w:p w14:paraId="4BBE8049" w14:textId="2B9F3477" w:rsidR="00926A94" w:rsidRPr="00B63F34" w:rsidRDefault="00926A94" w:rsidP="00B63F34">
      <w:pPr>
        <w:pStyle w:val="ListParagraph"/>
        <w:numPr>
          <w:ilvl w:val="0"/>
          <w:numId w:val="8"/>
        </w:numPr>
        <w:rPr>
          <w:color w:val="000000" w:themeColor="text1"/>
          <w:lang w:val="en-US" w:eastAsia="en-GB"/>
        </w:rPr>
      </w:pPr>
      <w:r w:rsidRPr="00B63F34">
        <w:rPr>
          <w:color w:val="000000" w:themeColor="text1"/>
          <w:lang w:val="en-US" w:eastAsia="en-GB"/>
        </w:rPr>
        <w:t>High-tech firms with requisite levels of R&amp;D enhance productivity gains from foreign investment.</w:t>
      </w:r>
    </w:p>
    <w:p w14:paraId="19EFA486" w14:textId="15AC7819" w:rsidR="00926A94" w:rsidRPr="00B63F34" w:rsidRDefault="00926A94" w:rsidP="00B63F34">
      <w:pPr>
        <w:pStyle w:val="ListParagraph"/>
        <w:numPr>
          <w:ilvl w:val="0"/>
          <w:numId w:val="8"/>
        </w:numPr>
        <w:rPr>
          <w:color w:val="000000" w:themeColor="text1"/>
          <w:lang w:val="en-US" w:eastAsia="en-GB"/>
        </w:rPr>
      </w:pPr>
      <w:r w:rsidRPr="00B63F34">
        <w:rPr>
          <w:color w:val="000000" w:themeColor="text1"/>
          <w:lang w:val="en-US" w:eastAsia="en-GB"/>
        </w:rPr>
        <w:t>High-tech firms with appropriate R&amp;D boost productivity gains from imported inputs and capital goods.</w:t>
      </w:r>
    </w:p>
    <w:p w14:paraId="19877256" w14:textId="77777777" w:rsidR="00926A94" w:rsidRPr="00B63F34" w:rsidRDefault="00926A94" w:rsidP="00B63F34">
      <w:pPr>
        <w:pStyle w:val="ListParagraph"/>
        <w:numPr>
          <w:ilvl w:val="0"/>
          <w:numId w:val="8"/>
        </w:numPr>
        <w:rPr>
          <w:color w:val="000000" w:themeColor="text1"/>
          <w:lang w:val="en-US" w:eastAsia="en-GB"/>
        </w:rPr>
      </w:pPr>
      <w:r w:rsidRPr="00B63F34">
        <w:rPr>
          <w:color w:val="000000" w:themeColor="text1"/>
          <w:lang w:val="en-US" w:eastAsia="en-GB"/>
        </w:rPr>
        <w:t>Internationally active high-tech firms in India should invest in R&amp;D for productivity improvement.</w:t>
      </w:r>
    </w:p>
    <w:p w14:paraId="5B67DFEA" w14:textId="3B06047A" w:rsidR="00926A94" w:rsidRPr="00B63F34" w:rsidRDefault="00926A94" w:rsidP="00B63F34">
      <w:pPr>
        <w:rPr>
          <w:rFonts w:cstheme="minorHAnsi"/>
          <w:color w:val="000000" w:themeColor="text1"/>
          <w:lang w:val="en-US" w:eastAsia="en-GB"/>
        </w:rPr>
      </w:pPr>
    </w:p>
    <w:p w14:paraId="79A536D2" w14:textId="48AF4C41" w:rsidR="00B63F34" w:rsidRPr="00B63F34" w:rsidRDefault="00B63F34" w:rsidP="00B63F34">
      <w:pPr>
        <w:rPr>
          <w:rFonts w:cstheme="minorHAnsi"/>
          <w:b/>
          <w:bCs/>
          <w:color w:val="000000" w:themeColor="text1"/>
          <w:lang w:val="en-US" w:eastAsia="en-GB"/>
        </w:rPr>
      </w:pPr>
      <w:r w:rsidRPr="00B63F34">
        <w:rPr>
          <w:rFonts w:cstheme="minorHAnsi"/>
          <w:b/>
          <w:bCs/>
          <w:color w:val="000000" w:themeColor="text1"/>
          <w:lang w:val="en-US" w:eastAsia="en-GB"/>
        </w:rPr>
        <w:t>Example Paper 4</w:t>
      </w:r>
    </w:p>
    <w:p w14:paraId="6A0B37DB" w14:textId="4C7B58F2" w:rsidR="00926A94" w:rsidRPr="00B63F34" w:rsidRDefault="00926A94" w:rsidP="00B63F34">
      <w:pPr>
        <w:pStyle w:val="ListParagraph"/>
        <w:numPr>
          <w:ilvl w:val="0"/>
          <w:numId w:val="10"/>
        </w:numPr>
        <w:rPr>
          <w:rFonts w:cstheme="minorHAnsi"/>
          <w:color w:val="000000" w:themeColor="text1"/>
          <w:lang w:val="en-US" w:eastAsia="en-GB"/>
        </w:rPr>
      </w:pPr>
      <w:r w:rsidRPr="00B63F34">
        <w:rPr>
          <w:rFonts w:cstheme="minorHAnsi"/>
          <w:color w:val="000000" w:themeColor="text1"/>
          <w:lang w:val="en-US" w:eastAsia="en-GB"/>
        </w:rPr>
        <w:t>Empirical evidence on the effects of IPR on innovation and growth is mixed.</w:t>
      </w:r>
    </w:p>
    <w:p w14:paraId="55F4436C" w14:textId="33102317" w:rsidR="00926A94" w:rsidRPr="00B63F34" w:rsidRDefault="00926A94" w:rsidP="00B63F34">
      <w:pPr>
        <w:pStyle w:val="ListParagraph"/>
        <w:numPr>
          <w:ilvl w:val="0"/>
          <w:numId w:val="10"/>
        </w:numPr>
        <w:rPr>
          <w:rFonts w:cstheme="minorHAnsi"/>
          <w:color w:val="000000" w:themeColor="text1"/>
          <w:lang w:val="en-US" w:eastAsia="en-GB"/>
        </w:rPr>
      </w:pPr>
      <w:r w:rsidRPr="00B63F34">
        <w:rPr>
          <w:rFonts w:cstheme="minorHAnsi"/>
          <w:color w:val="000000" w:themeColor="text1"/>
          <w:lang w:val="en-US" w:eastAsia="en-GB"/>
        </w:rPr>
        <w:t>We conduct a meta-analysis of this empirical literature.</w:t>
      </w:r>
    </w:p>
    <w:p w14:paraId="168D03E9" w14:textId="0D1F07C5" w:rsidR="00926A94" w:rsidRPr="00B63F34" w:rsidRDefault="00926A94" w:rsidP="00B63F34">
      <w:pPr>
        <w:pStyle w:val="ListParagraph"/>
        <w:numPr>
          <w:ilvl w:val="0"/>
          <w:numId w:val="10"/>
        </w:numPr>
        <w:rPr>
          <w:rFonts w:cstheme="minorHAnsi"/>
          <w:color w:val="000000" w:themeColor="text1"/>
          <w:lang w:val="en-US" w:eastAsia="en-GB"/>
        </w:rPr>
      </w:pPr>
      <w:r w:rsidRPr="00B63F34">
        <w:rPr>
          <w:rFonts w:cstheme="minorHAnsi"/>
          <w:color w:val="000000" w:themeColor="text1"/>
          <w:lang w:val="en-US" w:eastAsia="en-GB"/>
        </w:rPr>
        <w:t>We find that IPR have an overall positive effect on innovation and growth.</w:t>
      </w:r>
    </w:p>
    <w:p w14:paraId="18FFA09A" w14:textId="7A79BEF2" w:rsidR="00926A94" w:rsidRPr="00B63F34" w:rsidRDefault="00926A94" w:rsidP="00B63F34">
      <w:pPr>
        <w:pStyle w:val="ListParagraph"/>
        <w:numPr>
          <w:ilvl w:val="0"/>
          <w:numId w:val="10"/>
        </w:numPr>
        <w:rPr>
          <w:rFonts w:cstheme="minorHAnsi"/>
          <w:color w:val="000000" w:themeColor="text1"/>
          <w:lang w:val="en-US" w:eastAsia="en-GB"/>
        </w:rPr>
      </w:pPr>
      <w:r w:rsidRPr="00B63F34">
        <w:rPr>
          <w:rFonts w:cstheme="minorHAnsi"/>
          <w:color w:val="000000" w:themeColor="text1"/>
          <w:lang w:val="en-US" w:eastAsia="en-GB"/>
        </w:rPr>
        <w:t>IPR have a weaker effect in developing countries than developed countries.</w:t>
      </w:r>
    </w:p>
    <w:p w14:paraId="21C0EE8B" w14:textId="77777777" w:rsidR="00926A94" w:rsidRPr="00B63F34" w:rsidRDefault="00926A94" w:rsidP="00B63F34">
      <w:pPr>
        <w:pStyle w:val="ListParagraph"/>
        <w:numPr>
          <w:ilvl w:val="0"/>
          <w:numId w:val="10"/>
        </w:numPr>
        <w:rPr>
          <w:rFonts w:cstheme="minorHAnsi"/>
          <w:color w:val="000000" w:themeColor="text1"/>
          <w:lang w:val="en-US" w:eastAsia="en-GB"/>
        </w:rPr>
      </w:pPr>
      <w:r w:rsidRPr="00B63F34">
        <w:rPr>
          <w:rFonts w:cstheme="minorHAnsi"/>
          <w:color w:val="000000" w:themeColor="text1"/>
          <w:lang w:val="en-US" w:eastAsia="en-GB"/>
        </w:rPr>
        <w:t>The magnitude of the IPR effect depends on studies’ methodological characteristics.</w:t>
      </w:r>
    </w:p>
    <w:p w14:paraId="72DA4848" w14:textId="3B13E3F9" w:rsidR="00926A94" w:rsidRPr="00B63F34" w:rsidRDefault="00926A94" w:rsidP="00B63F34">
      <w:pPr>
        <w:rPr>
          <w:rFonts w:cstheme="minorHAnsi"/>
          <w:color w:val="000000" w:themeColor="text1"/>
          <w:lang w:val="en-US" w:eastAsia="en-GB"/>
        </w:rPr>
      </w:pPr>
    </w:p>
    <w:p w14:paraId="7413B0CA" w14:textId="7CDF5986" w:rsidR="00926A94" w:rsidRPr="00B63F34" w:rsidRDefault="00B63F34" w:rsidP="00B63F34">
      <w:pPr>
        <w:rPr>
          <w:rFonts w:cstheme="minorHAnsi"/>
          <w:b/>
          <w:bCs/>
          <w:color w:val="000000" w:themeColor="text1"/>
          <w:lang w:val="en-US" w:eastAsia="en-GB"/>
        </w:rPr>
      </w:pPr>
      <w:r w:rsidRPr="00B63F34">
        <w:rPr>
          <w:rFonts w:cstheme="minorHAnsi"/>
          <w:b/>
          <w:bCs/>
          <w:color w:val="000000" w:themeColor="text1"/>
          <w:lang w:val="en-US" w:eastAsia="en-GB"/>
        </w:rPr>
        <w:t>Example Paper 5</w:t>
      </w:r>
    </w:p>
    <w:p w14:paraId="636762B0" w14:textId="61A4E8E8" w:rsidR="00926A94" w:rsidRPr="00B63F34" w:rsidRDefault="00926A94" w:rsidP="00B63F34">
      <w:pPr>
        <w:pStyle w:val="ListParagraph"/>
        <w:numPr>
          <w:ilvl w:val="0"/>
          <w:numId w:val="9"/>
        </w:numPr>
        <w:rPr>
          <w:rFonts w:cstheme="minorHAnsi"/>
          <w:color w:val="000000" w:themeColor="text1"/>
          <w:lang w:val="en-US" w:eastAsia="en-GB"/>
        </w:rPr>
      </w:pPr>
      <w:r w:rsidRPr="00B63F34">
        <w:rPr>
          <w:rFonts w:cstheme="minorHAnsi"/>
          <w:color w:val="000000" w:themeColor="text1"/>
          <w:lang w:val="en-US" w:eastAsia="en-GB"/>
        </w:rPr>
        <w:t>We investigate the stock price – trading volume relation found in theoretical models.</w:t>
      </w:r>
    </w:p>
    <w:p w14:paraId="4A0CD7F4" w14:textId="054D285D" w:rsidR="00926A94" w:rsidRPr="00B63F34" w:rsidRDefault="00926A94" w:rsidP="00B63F34">
      <w:pPr>
        <w:pStyle w:val="ListParagraph"/>
        <w:numPr>
          <w:ilvl w:val="0"/>
          <w:numId w:val="9"/>
        </w:numPr>
        <w:rPr>
          <w:rFonts w:cstheme="minorHAnsi"/>
          <w:color w:val="000000" w:themeColor="text1"/>
          <w:lang w:val="en-US" w:eastAsia="en-GB"/>
        </w:rPr>
      </w:pPr>
      <w:r w:rsidRPr="00B63F34">
        <w:rPr>
          <w:rFonts w:cstheme="minorHAnsi"/>
          <w:color w:val="000000" w:themeColor="text1"/>
          <w:lang w:val="en-US" w:eastAsia="en-GB"/>
        </w:rPr>
        <w:t>Most empirical investigations of this relation are restricted by linear models.</w:t>
      </w:r>
    </w:p>
    <w:p w14:paraId="5AC0E44B" w14:textId="08F430D7" w:rsidR="00926A94" w:rsidRPr="00B63F34" w:rsidRDefault="00926A94" w:rsidP="00B63F34">
      <w:pPr>
        <w:pStyle w:val="ListParagraph"/>
        <w:numPr>
          <w:ilvl w:val="0"/>
          <w:numId w:val="9"/>
        </w:numPr>
        <w:rPr>
          <w:rFonts w:cstheme="minorHAnsi"/>
          <w:color w:val="000000" w:themeColor="text1"/>
          <w:lang w:val="en-US" w:eastAsia="en-GB"/>
        </w:rPr>
      </w:pPr>
      <w:r w:rsidRPr="00B63F34">
        <w:rPr>
          <w:rFonts w:cstheme="minorHAnsi"/>
          <w:color w:val="000000" w:themeColor="text1"/>
          <w:lang w:val="en-US" w:eastAsia="en-GB"/>
        </w:rPr>
        <w:t>We test for nonlinearities in the system of stock returns and trading volume growth.</w:t>
      </w:r>
    </w:p>
    <w:p w14:paraId="4CCD937B" w14:textId="0E4F080A" w:rsidR="00926A94" w:rsidRPr="00B63F34" w:rsidRDefault="00926A94" w:rsidP="00B63F34">
      <w:pPr>
        <w:pStyle w:val="ListParagraph"/>
        <w:numPr>
          <w:ilvl w:val="0"/>
          <w:numId w:val="9"/>
        </w:numPr>
        <w:rPr>
          <w:rFonts w:cstheme="minorHAnsi"/>
          <w:color w:val="000000" w:themeColor="text1"/>
          <w:lang w:val="en-US" w:eastAsia="en-GB"/>
        </w:rPr>
      </w:pPr>
      <w:r w:rsidRPr="00B63F34">
        <w:rPr>
          <w:rFonts w:cstheme="minorHAnsi"/>
          <w:color w:val="000000" w:themeColor="text1"/>
          <w:lang w:val="en-US" w:eastAsia="en-GB"/>
        </w:rPr>
        <w:t>The dominant nonlinear information flow is from returns to trading volume growth.</w:t>
      </w:r>
    </w:p>
    <w:p w14:paraId="70C03A37" w14:textId="715C8C9A" w:rsidR="005D5F81" w:rsidRPr="00B63F34" w:rsidRDefault="00926A94" w:rsidP="00B63F34">
      <w:pPr>
        <w:pStyle w:val="ListParagraph"/>
        <w:numPr>
          <w:ilvl w:val="0"/>
          <w:numId w:val="9"/>
        </w:numPr>
        <w:rPr>
          <w:rFonts w:cstheme="minorHAnsi"/>
          <w:color w:val="000000" w:themeColor="text1"/>
          <w:lang w:val="en-US" w:eastAsia="en-GB"/>
        </w:rPr>
      </w:pPr>
      <w:r w:rsidRPr="00B63F34">
        <w:rPr>
          <w:rFonts w:cstheme="minorHAnsi"/>
          <w:color w:val="000000" w:themeColor="text1"/>
          <w:lang w:val="en-US" w:eastAsia="en-GB"/>
        </w:rPr>
        <w:t>Our empirical evidence highlights the nonlinear nature of this relation.</w:t>
      </w:r>
    </w:p>
    <w:sectPr w:rsidR="005D5F81" w:rsidRPr="00B63F34" w:rsidSect="006F072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48F12" w14:textId="77777777" w:rsidR="004A5761" w:rsidRDefault="004A5761" w:rsidP="00101E83">
      <w:r>
        <w:separator/>
      </w:r>
    </w:p>
  </w:endnote>
  <w:endnote w:type="continuationSeparator" w:id="0">
    <w:p w14:paraId="4DAF2E35" w14:textId="77777777" w:rsidR="004A5761" w:rsidRDefault="004A5761" w:rsidP="00101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E7AD6" w14:textId="77777777" w:rsidR="004A5761" w:rsidRDefault="004A5761" w:rsidP="00101E83">
      <w:r>
        <w:separator/>
      </w:r>
    </w:p>
  </w:footnote>
  <w:footnote w:type="continuationSeparator" w:id="0">
    <w:p w14:paraId="5EBFA51B" w14:textId="77777777" w:rsidR="004A5761" w:rsidRDefault="004A5761" w:rsidP="00101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37673"/>
    <w:multiLevelType w:val="hybridMultilevel"/>
    <w:tmpl w:val="CC36B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024728"/>
    <w:multiLevelType w:val="hybridMultilevel"/>
    <w:tmpl w:val="394C7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5742E1"/>
    <w:multiLevelType w:val="hybridMultilevel"/>
    <w:tmpl w:val="D1DED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68565C"/>
    <w:multiLevelType w:val="hybridMultilevel"/>
    <w:tmpl w:val="8E32A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0907B9"/>
    <w:multiLevelType w:val="hybridMultilevel"/>
    <w:tmpl w:val="EFBC7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E776E8"/>
    <w:multiLevelType w:val="hybridMultilevel"/>
    <w:tmpl w:val="ED5EF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C0007D"/>
    <w:multiLevelType w:val="hybridMultilevel"/>
    <w:tmpl w:val="F238F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B46FDC"/>
    <w:multiLevelType w:val="hybridMultilevel"/>
    <w:tmpl w:val="3DA08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CF5AB1"/>
    <w:multiLevelType w:val="hybridMultilevel"/>
    <w:tmpl w:val="F9E68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F86864"/>
    <w:multiLevelType w:val="hybridMultilevel"/>
    <w:tmpl w:val="46F45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0"/>
  </w:num>
  <w:num w:numId="5">
    <w:abstractNumId w:val="5"/>
  </w:num>
  <w:num w:numId="6">
    <w:abstractNumId w:val="9"/>
  </w:num>
  <w:num w:numId="7">
    <w:abstractNumId w:val="7"/>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EFC"/>
    <w:rsid w:val="00101E83"/>
    <w:rsid w:val="004A5761"/>
    <w:rsid w:val="00586254"/>
    <w:rsid w:val="005D5F81"/>
    <w:rsid w:val="00663B98"/>
    <w:rsid w:val="006F072E"/>
    <w:rsid w:val="00843550"/>
    <w:rsid w:val="00926A94"/>
    <w:rsid w:val="00AF1EFC"/>
    <w:rsid w:val="00B63F34"/>
    <w:rsid w:val="00CB21AA"/>
    <w:rsid w:val="00D54DBB"/>
    <w:rsid w:val="00FB725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500F94C9"/>
  <w15:chartTrackingRefBased/>
  <w15:docId w15:val="{3B197EF3-4B79-7240-BA46-96D2C543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6A94"/>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6A9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26A9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926A94"/>
    <w:pPr>
      <w:ind w:left="720"/>
      <w:contextualSpacing/>
    </w:pPr>
  </w:style>
  <w:style w:type="paragraph" w:styleId="Header">
    <w:name w:val="header"/>
    <w:basedOn w:val="Normal"/>
    <w:link w:val="HeaderChar"/>
    <w:uiPriority w:val="99"/>
    <w:unhideWhenUsed/>
    <w:rsid w:val="00101E83"/>
    <w:pPr>
      <w:tabs>
        <w:tab w:val="center" w:pos="4513"/>
        <w:tab w:val="right" w:pos="9026"/>
      </w:tabs>
    </w:pPr>
  </w:style>
  <w:style w:type="character" w:customStyle="1" w:styleId="HeaderChar">
    <w:name w:val="Header Char"/>
    <w:basedOn w:val="DefaultParagraphFont"/>
    <w:link w:val="Header"/>
    <w:uiPriority w:val="99"/>
    <w:rsid w:val="00101E83"/>
  </w:style>
  <w:style w:type="paragraph" w:styleId="Footer">
    <w:name w:val="footer"/>
    <w:basedOn w:val="Normal"/>
    <w:link w:val="FooterChar"/>
    <w:uiPriority w:val="99"/>
    <w:unhideWhenUsed/>
    <w:rsid w:val="00101E83"/>
    <w:pPr>
      <w:tabs>
        <w:tab w:val="center" w:pos="4513"/>
        <w:tab w:val="right" w:pos="9026"/>
      </w:tabs>
    </w:pPr>
  </w:style>
  <w:style w:type="character" w:customStyle="1" w:styleId="FooterChar">
    <w:name w:val="Footer Char"/>
    <w:basedOn w:val="DefaultParagraphFont"/>
    <w:link w:val="Footer"/>
    <w:uiPriority w:val="99"/>
    <w:rsid w:val="00101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276359">
      <w:bodyDiv w:val="1"/>
      <w:marLeft w:val="0"/>
      <w:marRight w:val="0"/>
      <w:marTop w:val="0"/>
      <w:marBottom w:val="0"/>
      <w:divBdr>
        <w:top w:val="none" w:sz="0" w:space="0" w:color="auto"/>
        <w:left w:val="none" w:sz="0" w:space="0" w:color="auto"/>
        <w:bottom w:val="none" w:sz="0" w:space="0" w:color="auto"/>
        <w:right w:val="none" w:sz="0" w:space="0" w:color="auto"/>
      </w:divBdr>
      <w:divsChild>
        <w:div w:id="1279216662">
          <w:marLeft w:val="0"/>
          <w:marRight w:val="0"/>
          <w:marTop w:val="0"/>
          <w:marBottom w:val="0"/>
          <w:divBdr>
            <w:top w:val="none" w:sz="0" w:space="0" w:color="auto"/>
            <w:left w:val="none" w:sz="0" w:space="0" w:color="auto"/>
            <w:bottom w:val="none" w:sz="0" w:space="0" w:color="auto"/>
            <w:right w:val="none" w:sz="0" w:space="0" w:color="auto"/>
          </w:divBdr>
        </w:div>
      </w:divsChild>
    </w:div>
    <w:div w:id="387267007">
      <w:bodyDiv w:val="1"/>
      <w:marLeft w:val="0"/>
      <w:marRight w:val="0"/>
      <w:marTop w:val="0"/>
      <w:marBottom w:val="0"/>
      <w:divBdr>
        <w:top w:val="none" w:sz="0" w:space="0" w:color="auto"/>
        <w:left w:val="none" w:sz="0" w:space="0" w:color="auto"/>
        <w:bottom w:val="none" w:sz="0" w:space="0" w:color="auto"/>
        <w:right w:val="none" w:sz="0" w:space="0" w:color="auto"/>
      </w:divBdr>
      <w:divsChild>
        <w:div w:id="1143036565">
          <w:marLeft w:val="0"/>
          <w:marRight w:val="0"/>
          <w:marTop w:val="0"/>
          <w:marBottom w:val="0"/>
          <w:divBdr>
            <w:top w:val="none" w:sz="0" w:space="0" w:color="auto"/>
            <w:left w:val="none" w:sz="0" w:space="0" w:color="auto"/>
            <w:bottom w:val="none" w:sz="0" w:space="0" w:color="auto"/>
            <w:right w:val="none" w:sz="0" w:space="0" w:color="auto"/>
          </w:divBdr>
        </w:div>
      </w:divsChild>
    </w:div>
    <w:div w:id="741175155">
      <w:bodyDiv w:val="1"/>
      <w:marLeft w:val="0"/>
      <w:marRight w:val="0"/>
      <w:marTop w:val="0"/>
      <w:marBottom w:val="0"/>
      <w:divBdr>
        <w:top w:val="none" w:sz="0" w:space="0" w:color="auto"/>
        <w:left w:val="none" w:sz="0" w:space="0" w:color="auto"/>
        <w:bottom w:val="none" w:sz="0" w:space="0" w:color="auto"/>
        <w:right w:val="none" w:sz="0" w:space="0" w:color="auto"/>
      </w:divBdr>
      <w:divsChild>
        <w:div w:id="86729442">
          <w:marLeft w:val="0"/>
          <w:marRight w:val="0"/>
          <w:marTop w:val="0"/>
          <w:marBottom w:val="0"/>
          <w:divBdr>
            <w:top w:val="none" w:sz="0" w:space="0" w:color="auto"/>
            <w:left w:val="none" w:sz="0" w:space="0" w:color="auto"/>
            <w:bottom w:val="none" w:sz="0" w:space="0" w:color="auto"/>
            <w:right w:val="none" w:sz="0" w:space="0" w:color="auto"/>
          </w:divBdr>
        </w:div>
      </w:divsChild>
    </w:div>
    <w:div w:id="1697390450">
      <w:bodyDiv w:val="1"/>
      <w:marLeft w:val="0"/>
      <w:marRight w:val="0"/>
      <w:marTop w:val="0"/>
      <w:marBottom w:val="0"/>
      <w:divBdr>
        <w:top w:val="none" w:sz="0" w:space="0" w:color="auto"/>
        <w:left w:val="none" w:sz="0" w:space="0" w:color="auto"/>
        <w:bottom w:val="none" w:sz="0" w:space="0" w:color="auto"/>
        <w:right w:val="none" w:sz="0" w:space="0" w:color="auto"/>
      </w:divBdr>
    </w:div>
    <w:div w:id="1708874425">
      <w:bodyDiv w:val="1"/>
      <w:marLeft w:val="0"/>
      <w:marRight w:val="0"/>
      <w:marTop w:val="0"/>
      <w:marBottom w:val="0"/>
      <w:divBdr>
        <w:top w:val="none" w:sz="0" w:space="0" w:color="auto"/>
        <w:left w:val="none" w:sz="0" w:space="0" w:color="auto"/>
        <w:bottom w:val="none" w:sz="0" w:space="0" w:color="auto"/>
        <w:right w:val="none" w:sz="0" w:space="0" w:color="auto"/>
      </w:divBdr>
      <w:divsChild>
        <w:div w:id="36897288">
          <w:marLeft w:val="0"/>
          <w:marRight w:val="0"/>
          <w:marTop w:val="0"/>
          <w:marBottom w:val="0"/>
          <w:divBdr>
            <w:top w:val="none" w:sz="0" w:space="0" w:color="auto"/>
            <w:left w:val="none" w:sz="0" w:space="0" w:color="auto"/>
            <w:bottom w:val="none" w:sz="0" w:space="0" w:color="auto"/>
            <w:right w:val="none" w:sz="0" w:space="0" w:color="auto"/>
          </w:divBdr>
        </w:div>
      </w:divsChild>
    </w:div>
    <w:div w:id="1881473340">
      <w:bodyDiv w:val="1"/>
      <w:marLeft w:val="0"/>
      <w:marRight w:val="0"/>
      <w:marTop w:val="0"/>
      <w:marBottom w:val="0"/>
      <w:divBdr>
        <w:top w:val="none" w:sz="0" w:space="0" w:color="auto"/>
        <w:left w:val="none" w:sz="0" w:space="0" w:color="auto"/>
        <w:bottom w:val="none" w:sz="0" w:space="0" w:color="auto"/>
        <w:right w:val="none" w:sz="0" w:space="0" w:color="auto"/>
      </w:divBdr>
    </w:div>
    <w:div w:id="1948927601">
      <w:bodyDiv w:val="1"/>
      <w:marLeft w:val="0"/>
      <w:marRight w:val="0"/>
      <w:marTop w:val="0"/>
      <w:marBottom w:val="0"/>
      <w:divBdr>
        <w:top w:val="none" w:sz="0" w:space="0" w:color="auto"/>
        <w:left w:val="none" w:sz="0" w:space="0" w:color="auto"/>
        <w:bottom w:val="none" w:sz="0" w:space="0" w:color="auto"/>
        <w:right w:val="none" w:sz="0" w:space="0" w:color="auto"/>
      </w:divBdr>
      <w:divsChild>
        <w:div w:id="71202283">
          <w:marLeft w:val="0"/>
          <w:marRight w:val="0"/>
          <w:marTop w:val="0"/>
          <w:marBottom w:val="0"/>
          <w:divBdr>
            <w:top w:val="none" w:sz="0" w:space="0" w:color="auto"/>
            <w:left w:val="none" w:sz="0" w:space="0" w:color="auto"/>
            <w:bottom w:val="none" w:sz="0" w:space="0" w:color="auto"/>
            <w:right w:val="none" w:sz="0" w:space="0" w:color="auto"/>
          </w:divBdr>
        </w:div>
      </w:divsChild>
    </w:div>
    <w:div w:id="202816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595</Words>
  <Characters>3644</Characters>
  <Application>Microsoft Office Word</Application>
  <DocSecurity>0</DocSecurity>
  <Lines>110</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Dahler</dc:creator>
  <cp:keywords/>
  <dc:description/>
  <cp:lastModifiedBy>Timo Dahler</cp:lastModifiedBy>
  <cp:revision>1</cp:revision>
  <dcterms:created xsi:type="dcterms:W3CDTF">2021-02-03T08:36:00Z</dcterms:created>
  <dcterms:modified xsi:type="dcterms:W3CDTF">2021-02-04T12:17:00Z</dcterms:modified>
</cp:coreProperties>
</file>