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FA59D8">
      <w:pPr>
        <w:spacing w:after="0" w:line="240" w:lineRule="auto"/>
        <w:ind w:left="-840" w:leftChars="-300" w:firstLine="0" w:firstLineChars="0"/>
        <w:jc w:val="center"/>
        <w:rPr>
          <w:rFonts w:eastAsia="Times New Roman" w:cs="Times New Roman"/>
          <w:szCs w:val="28"/>
          <w:lang w:eastAsia="ru-RU"/>
          <w14:ligatures w14:val="standardContextual"/>
        </w:rPr>
      </w:pPr>
      <w:bookmarkStart w:id="0" w:name="_nmdspyjr1yoy"/>
      <w:bookmarkEnd w:id="0"/>
      <w:r>
        <w:rPr>
          <w:rFonts w:eastAsia="Times New Roman" w:cs="Times New Roman"/>
          <w:szCs w:val="28"/>
          <w:lang w:eastAsia="ru-RU"/>
          <w14:ligatures w14:val="standardContextual"/>
        </w:rPr>
        <w:t>МИНОБРНАУКИ РОССИИ</w:t>
      </w:r>
    </w:p>
    <w:p w14:paraId="29555CE8">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ФГБОУ ВО «ИжГТУ имени М.Т. Калашникова»</w:t>
      </w:r>
    </w:p>
    <w:p w14:paraId="4AD9F4EA">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Факультет «Информационные технологии»</w:t>
      </w:r>
    </w:p>
    <w:p w14:paraId="26959D89">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Кафедра «Программное обеспечение»</w:t>
      </w:r>
    </w:p>
    <w:p w14:paraId="54C95328">
      <w:pPr>
        <w:spacing w:after="0" w:line="240" w:lineRule="auto"/>
        <w:ind w:left="-840" w:leftChars="-300" w:firstLine="0" w:firstLineChars="0"/>
        <w:jc w:val="center"/>
        <w:rPr>
          <w:rFonts w:eastAsia="Times New Roman" w:cs="Times New Roman"/>
          <w:szCs w:val="28"/>
          <w:lang w:eastAsia="ru-RU"/>
          <w14:ligatures w14:val="standardContextual"/>
        </w:rPr>
      </w:pPr>
    </w:p>
    <w:p w14:paraId="4A87FCD3">
      <w:pPr>
        <w:spacing w:after="0" w:line="240" w:lineRule="auto"/>
        <w:ind w:left="-840" w:leftChars="-300" w:firstLine="0" w:firstLineChars="0"/>
        <w:jc w:val="center"/>
        <w:rPr>
          <w:rFonts w:eastAsia="Times New Roman" w:cs="Times New Roman"/>
          <w:szCs w:val="28"/>
          <w:lang w:eastAsia="ru-RU"/>
          <w14:ligatures w14:val="standardContextual"/>
        </w:rPr>
      </w:pPr>
    </w:p>
    <w:p w14:paraId="5DFAF594">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Направление 09.03.04 «Программная инженерия»</w:t>
      </w:r>
    </w:p>
    <w:p w14:paraId="7FAC212D">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Профиль «Разработка программно-информационных систем»</w:t>
      </w:r>
    </w:p>
    <w:p w14:paraId="0981C991">
      <w:pPr>
        <w:spacing w:after="0" w:line="240" w:lineRule="auto"/>
        <w:ind w:left="-840" w:leftChars="-300" w:firstLine="0" w:firstLineChars="0"/>
        <w:jc w:val="center"/>
        <w:rPr>
          <w:rFonts w:eastAsia="Times New Roman" w:cs="Times New Roman"/>
          <w:szCs w:val="28"/>
          <w:lang w:eastAsia="ru-RU"/>
          <w14:ligatures w14:val="standardContextual"/>
        </w:rPr>
      </w:pPr>
    </w:p>
    <w:p w14:paraId="531E69DC">
      <w:pPr>
        <w:spacing w:after="0" w:line="240" w:lineRule="auto"/>
        <w:ind w:left="-840" w:leftChars="-300" w:firstLine="0" w:firstLineChars="0"/>
        <w:jc w:val="center"/>
        <w:rPr>
          <w:rFonts w:eastAsia="Times New Roman" w:cs="Times New Roman"/>
          <w:szCs w:val="28"/>
          <w:lang w:eastAsia="ru-RU"/>
          <w14:ligatures w14:val="standardContextual"/>
        </w:rPr>
      </w:pPr>
    </w:p>
    <w:p w14:paraId="1CF757AA">
      <w:pPr>
        <w:spacing w:after="0" w:line="240" w:lineRule="auto"/>
        <w:ind w:left="-840" w:leftChars="-300" w:firstLine="0" w:firstLineChars="0"/>
        <w:jc w:val="center"/>
        <w:rPr>
          <w:rFonts w:eastAsia="Times New Roman" w:cs="Times New Roman"/>
          <w:szCs w:val="28"/>
          <w:lang w:eastAsia="ru-RU"/>
          <w14:ligatures w14:val="standardContextual"/>
        </w:rPr>
      </w:pPr>
    </w:p>
    <w:p w14:paraId="50D000E0">
      <w:pPr>
        <w:spacing w:after="0" w:line="240" w:lineRule="auto"/>
        <w:ind w:left="-840" w:leftChars="-300" w:firstLine="0" w:firstLineChars="0"/>
        <w:jc w:val="center"/>
        <w:rPr>
          <w:rFonts w:eastAsia="Times New Roman" w:cs="Times New Roman"/>
          <w:szCs w:val="28"/>
          <w:lang w:eastAsia="ru-RU"/>
          <w14:ligatures w14:val="standardContextual"/>
        </w:rPr>
      </w:pPr>
    </w:p>
    <w:p w14:paraId="56BE770D">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ОТЧЕТ ПО ПРАКТИКЕ</w:t>
      </w:r>
    </w:p>
    <w:p w14:paraId="63EA1A38">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Учебная практика</w:t>
      </w:r>
    </w:p>
    <w:p w14:paraId="26FCB0C9">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«Научно-исследовательская работа </w:t>
      </w:r>
    </w:p>
    <w:p w14:paraId="4716CBB6">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(получение первичных навыков научно-исследовательской работы)»</w:t>
      </w:r>
    </w:p>
    <w:p w14:paraId="5091E3E7">
      <w:pPr>
        <w:spacing w:after="0" w:line="240" w:lineRule="auto"/>
        <w:ind w:left="-840" w:leftChars="-300" w:firstLine="0" w:firstLineChars="0"/>
        <w:jc w:val="center"/>
        <w:rPr>
          <w:rFonts w:eastAsia="Times New Roman" w:cs="Times New Roman"/>
          <w:szCs w:val="28"/>
          <w:lang w:eastAsia="ru-RU"/>
          <w14:ligatures w14:val="standardContextual"/>
        </w:rPr>
      </w:pPr>
    </w:p>
    <w:p w14:paraId="07E0E625">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Место прохождения практики и структурного подразделения: </w:t>
      </w:r>
    </w:p>
    <w:p w14:paraId="59E9C905">
      <w:pPr>
        <w:spacing w:after="0" w:line="240" w:lineRule="auto"/>
        <w:ind w:left="-840" w:leftChars="-300" w:firstLine="0" w:firstLineChars="0"/>
        <w:jc w:val="center"/>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кафедра «Программное обеспечение» </w:t>
      </w:r>
    </w:p>
    <w:p w14:paraId="78D1ABC4">
      <w:pPr>
        <w:spacing w:after="0" w:line="240" w:lineRule="auto"/>
        <w:ind w:left="-840" w:leftChars="-300" w:firstLine="0" w:firstLineChars="0"/>
        <w:jc w:val="center"/>
        <w:rPr>
          <w:rFonts w:eastAsia="Times New Roman" w:cs="Times New Roman"/>
          <w:szCs w:val="28"/>
          <w:lang w:eastAsia="ru-RU"/>
          <w14:ligatures w14:val="standardContextual"/>
        </w:rPr>
      </w:pPr>
    </w:p>
    <w:p w14:paraId="681E544A">
      <w:pPr>
        <w:spacing w:after="0" w:line="240" w:lineRule="auto"/>
        <w:ind w:left="-840" w:leftChars="-300" w:firstLine="0" w:firstLineChars="0"/>
        <w:jc w:val="center"/>
        <w:rPr>
          <w:rFonts w:eastAsia="Times New Roman" w:cs="Times New Roman"/>
          <w:szCs w:val="28"/>
          <w:lang w:eastAsia="ru-RU"/>
          <w14:ligatures w14:val="standardContextual"/>
        </w:rPr>
      </w:pPr>
    </w:p>
    <w:p w14:paraId="54BB3BEC">
      <w:pPr>
        <w:spacing w:after="0" w:line="240" w:lineRule="auto"/>
        <w:ind w:left="-840" w:leftChars="-300" w:firstLine="0" w:firstLineChars="0"/>
        <w:jc w:val="center"/>
        <w:rPr>
          <w:rFonts w:eastAsia="Times New Roman" w:cs="Times New Roman"/>
          <w:szCs w:val="28"/>
          <w:lang w:eastAsia="ru-RU"/>
          <w14:ligatures w14:val="standardContextual"/>
        </w:rPr>
      </w:pPr>
    </w:p>
    <w:p w14:paraId="1EB76E13">
      <w:pPr>
        <w:spacing w:after="0" w:line="240" w:lineRule="auto"/>
        <w:ind w:left="-840" w:leftChars="-300" w:firstLine="0" w:firstLineChars="0"/>
        <w:jc w:val="center"/>
        <w:rPr>
          <w:rFonts w:eastAsia="Times New Roman" w:cs="Times New Roman"/>
          <w:szCs w:val="28"/>
          <w:lang w:eastAsia="ru-RU"/>
          <w14:ligatures w14:val="standardContextual"/>
        </w:rPr>
      </w:pPr>
    </w:p>
    <w:p w14:paraId="7E0689B8">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Выполнил обучающийся</w:t>
      </w:r>
    </w:p>
    <w:p w14:paraId="5BDE483C">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ФИО:</w:t>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 xml:space="preserve"> </w:t>
      </w:r>
      <w:r>
        <w:rPr>
          <w:rFonts w:cs="Times New Roman"/>
          <w:szCs w:val="28"/>
          <w:lang w:eastAsia="ru-RU"/>
          <w14:ligatures w14:val="standardContextual"/>
        </w:rPr>
        <w:t>Ишматов</w:t>
      </w:r>
      <w:r>
        <w:rPr>
          <w:rFonts w:hint="default" w:cs="Times New Roman"/>
          <w:szCs w:val="28"/>
          <w:lang w:val="en-US" w:eastAsia="ru-RU"/>
          <w14:ligatures w14:val="standardContextual"/>
        </w:rPr>
        <w:t xml:space="preserve"> Т.И.</w:t>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/Подпись</w:t>
      </w:r>
    </w:p>
    <w:p w14:paraId="79861151">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Курс: 2</w:t>
      </w:r>
    </w:p>
    <w:p w14:paraId="2753435E">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Номер группы: Б24-191-3</w:t>
      </w:r>
    </w:p>
    <w:p w14:paraId="404C3933">
      <w:pPr>
        <w:spacing w:after="0" w:line="240" w:lineRule="auto"/>
        <w:ind w:left="-840" w:leftChars="-300" w:firstLine="0" w:firstLineChars="0"/>
        <w:rPr>
          <w:rFonts w:eastAsia="Times New Roman" w:cs="Times New Roman"/>
          <w:szCs w:val="28"/>
          <w:lang w:eastAsia="ru-RU"/>
          <w14:ligatures w14:val="standardContextual"/>
        </w:rPr>
      </w:pPr>
    </w:p>
    <w:p w14:paraId="473B4161">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Дата сдачи отчета:</w:t>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«_____» ______________ 202 __ г.</w:t>
      </w:r>
    </w:p>
    <w:p w14:paraId="4747F6A3">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Дата аттестации:</w:t>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«_____» _______________ 202 __ г.</w:t>
      </w:r>
    </w:p>
    <w:p w14:paraId="2ECDA13C">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Оценка </w:t>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ab/>
      </w:r>
      <w:r>
        <w:rPr>
          <w:rFonts w:eastAsia="Times New Roman" w:cs="Times New Roman"/>
          <w:szCs w:val="28"/>
          <w:lang w:eastAsia="ru-RU"/>
          <w14:ligatures w14:val="standardContextual"/>
        </w:rPr>
        <w:t xml:space="preserve">________________________ </w:t>
      </w:r>
    </w:p>
    <w:p w14:paraId="21AF425B">
      <w:pPr>
        <w:spacing w:after="0" w:line="240" w:lineRule="auto"/>
        <w:ind w:left="-840" w:leftChars="-300" w:firstLine="0" w:firstLineChars="0"/>
        <w:rPr>
          <w:rFonts w:eastAsia="Times New Roman" w:cs="Times New Roman"/>
          <w:szCs w:val="28"/>
          <w:lang w:eastAsia="ru-RU"/>
          <w14:ligatures w14:val="standardContextual"/>
        </w:rPr>
      </w:pPr>
    </w:p>
    <w:p w14:paraId="5B916271">
      <w:pPr>
        <w:spacing w:after="0" w:line="240" w:lineRule="auto"/>
        <w:ind w:left="-840" w:leftChars="-300" w:firstLine="0" w:firstLineChars="0"/>
        <w:rPr>
          <w:rFonts w:eastAsia="Times New Roman" w:cs="Times New Roman"/>
          <w:szCs w:val="28"/>
          <w:lang w:eastAsia="ru-RU"/>
          <w14:ligatures w14:val="standardContextual"/>
        </w:rPr>
      </w:pPr>
    </w:p>
    <w:p w14:paraId="737A6A88">
      <w:pPr>
        <w:spacing w:after="0" w:line="240" w:lineRule="auto"/>
        <w:ind w:left="-840" w:leftChars="-300" w:firstLine="0" w:firstLineChars="0"/>
        <w:rPr>
          <w:rFonts w:eastAsia="Times New Roman" w:cs="Times New Roman"/>
          <w:szCs w:val="28"/>
          <w:lang w:eastAsia="ru-RU"/>
          <w14:ligatures w14:val="standardContextual"/>
        </w:rPr>
      </w:pPr>
    </w:p>
    <w:p w14:paraId="3A55C94F">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Руководитель практики от ИжГТУ имени М.Т. Калашникова </w:t>
      </w:r>
    </w:p>
    <w:p w14:paraId="0818B6BE">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______________ Леонов М.В., д.э.н, доцент, заведующий кафедрой ПО</w:t>
      </w:r>
    </w:p>
    <w:p w14:paraId="37273EBC">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подпись </w:t>
      </w:r>
    </w:p>
    <w:p w14:paraId="779E9679">
      <w:pPr>
        <w:spacing w:after="0" w:line="240" w:lineRule="auto"/>
        <w:ind w:left="-840" w:leftChars="-300" w:firstLine="0" w:firstLineChars="0"/>
        <w:rPr>
          <w:rFonts w:eastAsia="Times New Roman" w:cs="Times New Roman"/>
          <w:szCs w:val="28"/>
          <w:lang w:eastAsia="ru-RU"/>
          <w14:ligatures w14:val="standardContextual"/>
        </w:rPr>
      </w:pPr>
    </w:p>
    <w:p w14:paraId="19FF9A8B">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Заведующий кафедрой </w:t>
      </w:r>
    </w:p>
    <w:p w14:paraId="7DD88043">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______________ Леонов М.В., д.э.н, доцент, заведующий кафедрой ПО</w:t>
      </w:r>
    </w:p>
    <w:p w14:paraId="75BD8C43">
      <w:pPr>
        <w:spacing w:after="0" w:line="240" w:lineRule="auto"/>
        <w:ind w:left="-840" w:leftChars="-300" w:firstLine="0" w:firstLineChars="0"/>
        <w:rPr>
          <w:rFonts w:eastAsia="Times New Roman" w:cs="Times New Roman"/>
          <w:szCs w:val="28"/>
          <w:lang w:eastAsia="ru-RU"/>
          <w14:ligatures w14:val="standardContextual"/>
        </w:rPr>
      </w:pPr>
      <w:r>
        <w:rPr>
          <w:rFonts w:eastAsia="Times New Roman" w:cs="Times New Roman"/>
          <w:szCs w:val="28"/>
          <w:lang w:eastAsia="ru-RU"/>
          <w14:ligatures w14:val="standardContextual"/>
        </w:rPr>
        <w:t xml:space="preserve">подпись </w:t>
      </w:r>
    </w:p>
    <w:p w14:paraId="3CCB0EEC">
      <w:pPr>
        <w:ind w:left="-840" w:leftChars="-300" w:firstLine="0" w:firstLineChars="0"/>
      </w:pPr>
    </w:p>
    <w:p w14:paraId="0BF665E5">
      <w:pPr>
        <w:ind w:left="-840" w:leftChars="-300" w:firstLine="0" w:firstLineChars="0"/>
      </w:pPr>
    </w:p>
    <w:p w14:paraId="2872D681">
      <w:pPr>
        <w:ind w:left="-840" w:leftChars="-300" w:firstLine="0" w:firstLineChars="0"/>
      </w:pPr>
    </w:p>
    <w:p w14:paraId="72330FA3">
      <w:pPr>
        <w:ind w:left="-840" w:leftChars="-300" w:firstLine="0" w:firstLineChars="0"/>
      </w:pPr>
    </w:p>
    <w:p w14:paraId="2284DF1A">
      <w:pPr>
        <w:pStyle w:val="9"/>
        <w:tabs>
          <w:tab w:val="right" w:leader="dot" w:pos="8960"/>
        </w:tabs>
        <w:jc w:val="center"/>
      </w:pPr>
      <w:r>
        <w:rPr>
          <w:rStyle w:val="13"/>
          <w:rFonts w:eastAsiaTheme="majorEastAsia"/>
          <w:b/>
          <w:color w:val="000000" w:themeColor="text1"/>
          <w14:textFill>
            <w14:solidFill>
              <w14:schemeClr w14:val="tx1"/>
            </w14:solidFill>
          </w14:textFill>
        </w:rPr>
        <w:t>СОДЕРЖАНИЕ</w:t>
      </w:r>
    </w:p>
    <w:p w14:paraId="23D5CE5D">
      <w:pPr>
        <w:pStyle w:val="9"/>
        <w:tabs>
          <w:tab w:val="right" w:leader="dot" w:pos="8960"/>
        </w:tabs>
      </w:pPr>
      <w:r>
        <w:fldChar w:fldCharType="begin"/>
      </w:r>
      <w:r>
        <w:instrText xml:space="preserve">TOC \o "1-3" \h \u </w:instrText>
      </w:r>
      <w:r>
        <w:fldChar w:fldCharType="separate"/>
      </w:r>
      <w:r>
        <w:fldChar w:fldCharType="begin"/>
      </w:r>
      <w:r>
        <w:instrText xml:space="preserve"> HYPERLINK \l _Toc4233 </w:instrText>
      </w:r>
      <w:r>
        <w:fldChar w:fldCharType="separate"/>
      </w:r>
      <w:r>
        <w:rPr>
          <w:rFonts w:hint="default" w:ascii="Times New Roman" w:hAnsi="Times New Roman" w:cs="Times New Roman"/>
          <w:lang w:val="ru-RU"/>
        </w:rPr>
        <w:t>Введение</w:t>
      </w:r>
      <w:r>
        <w:tab/>
      </w:r>
      <w:r>
        <w:fldChar w:fldCharType="begin"/>
      </w:r>
      <w:r>
        <w:instrText xml:space="preserve"> PAGEREF _Toc4233 \h </w:instrText>
      </w:r>
      <w:r>
        <w:fldChar w:fldCharType="separate"/>
      </w:r>
      <w:r>
        <w:t>3</w:t>
      </w:r>
      <w:r>
        <w:fldChar w:fldCharType="end"/>
      </w:r>
      <w:r>
        <w:fldChar w:fldCharType="end"/>
      </w:r>
    </w:p>
    <w:p w14:paraId="1F07DB54">
      <w:pPr>
        <w:pStyle w:val="9"/>
        <w:tabs>
          <w:tab w:val="right" w:leader="dot" w:pos="8960"/>
        </w:tabs>
      </w:pPr>
      <w:r>
        <w:fldChar w:fldCharType="begin"/>
      </w:r>
      <w:r>
        <w:instrText xml:space="preserve"> HYPERLINK \l _Toc17508 </w:instrText>
      </w:r>
      <w:r>
        <w:fldChar w:fldCharType="separate"/>
      </w:r>
      <w:r>
        <w:rPr>
          <w:rFonts w:hint="default" w:ascii="Times New Roman" w:hAnsi="Times New Roman" w:cs="Times New Roman"/>
          <w:bCs/>
          <w:szCs w:val="28"/>
          <w:lang w:val="ru-RU"/>
        </w:rPr>
        <w:t>ОБЗОР НАУЧНОЙ ЛИТЕРАТУРЫ</w:t>
      </w:r>
      <w:r>
        <w:tab/>
      </w:r>
      <w:r>
        <w:fldChar w:fldCharType="begin"/>
      </w:r>
      <w:r>
        <w:instrText xml:space="preserve"> PAGEREF _Toc17508 \h </w:instrText>
      </w:r>
      <w:r>
        <w:fldChar w:fldCharType="separate"/>
      </w:r>
      <w:r>
        <w:t>4</w:t>
      </w:r>
      <w:r>
        <w:fldChar w:fldCharType="end"/>
      </w:r>
      <w:r>
        <w:fldChar w:fldCharType="end"/>
      </w:r>
    </w:p>
    <w:p w14:paraId="51668113">
      <w:pPr>
        <w:pStyle w:val="9"/>
        <w:tabs>
          <w:tab w:val="right" w:leader="dot" w:pos="8960"/>
        </w:tabs>
      </w:pPr>
      <w:r>
        <w:fldChar w:fldCharType="begin"/>
      </w:r>
      <w:r>
        <w:instrText xml:space="preserve"> HYPERLINK \l _Toc19797 </w:instrText>
      </w:r>
      <w:r>
        <w:fldChar w:fldCharType="separate"/>
      </w:r>
      <w:r>
        <w:rPr>
          <w:rFonts w:hint="default" w:ascii="Times New Roman" w:hAnsi="Times New Roman" w:cs="Times New Roman"/>
          <w:szCs w:val="28"/>
        </w:rPr>
        <w:t>ФОРМИРОВАНИЕ ГИПОТЕЗ</w:t>
      </w:r>
      <w:r>
        <w:tab/>
      </w:r>
      <w:r>
        <w:fldChar w:fldCharType="begin"/>
      </w:r>
      <w:r>
        <w:instrText xml:space="preserve"> PAGEREF _Toc19797 \h </w:instrText>
      </w:r>
      <w:r>
        <w:fldChar w:fldCharType="separate"/>
      </w:r>
      <w:r>
        <w:t>6</w:t>
      </w:r>
      <w:r>
        <w:fldChar w:fldCharType="end"/>
      </w:r>
      <w:r>
        <w:fldChar w:fldCharType="end"/>
      </w:r>
    </w:p>
    <w:p w14:paraId="7FE4F1EA">
      <w:pPr>
        <w:pStyle w:val="9"/>
        <w:tabs>
          <w:tab w:val="right" w:leader="dot" w:pos="8960"/>
        </w:tabs>
      </w:pPr>
      <w:r>
        <w:fldChar w:fldCharType="begin"/>
      </w:r>
      <w:r>
        <w:instrText xml:space="preserve"> HYPERLINK \l _Toc31083 </w:instrText>
      </w:r>
      <w:r>
        <w:fldChar w:fldCharType="separate"/>
      </w:r>
      <w:r>
        <w:rPr>
          <w:rFonts w:hint="default" w:ascii="Times New Roman" w:hAnsi="Times New Roman" w:cs="Times New Roman"/>
          <w:szCs w:val="28"/>
        </w:rPr>
        <w:t>СБОР ДАННЫХ</w:t>
      </w:r>
      <w:r>
        <w:tab/>
      </w:r>
      <w:r>
        <w:fldChar w:fldCharType="begin"/>
      </w:r>
      <w:r>
        <w:instrText xml:space="preserve"> PAGEREF _Toc31083 \h </w:instrText>
      </w:r>
      <w:r>
        <w:fldChar w:fldCharType="separate"/>
      </w:r>
      <w:r>
        <w:t>7</w:t>
      </w:r>
      <w:r>
        <w:fldChar w:fldCharType="end"/>
      </w:r>
      <w:r>
        <w:fldChar w:fldCharType="end"/>
      </w:r>
    </w:p>
    <w:p w14:paraId="7129BD8A">
      <w:pPr>
        <w:pStyle w:val="9"/>
        <w:tabs>
          <w:tab w:val="right" w:leader="dot" w:pos="8960"/>
        </w:tabs>
      </w:pPr>
      <w:r>
        <w:fldChar w:fldCharType="begin"/>
      </w:r>
      <w:r>
        <w:instrText xml:space="preserve"> HYPERLINK \l _Toc17182 </w:instrText>
      </w:r>
      <w:r>
        <w:fldChar w:fldCharType="separate"/>
      </w:r>
      <w:r>
        <w:rPr>
          <w:rFonts w:hint="default" w:ascii="Times New Roman" w:hAnsi="Times New Roman" w:cs="Times New Roman"/>
          <w:szCs w:val="28"/>
        </w:rPr>
        <w:t>ОПИСАТЕЛЬНАЯ СТАТИСТИКА</w:t>
      </w:r>
      <w:r>
        <w:tab/>
      </w:r>
      <w:r>
        <w:fldChar w:fldCharType="begin"/>
      </w:r>
      <w:r>
        <w:instrText xml:space="preserve"> PAGEREF _Toc17182 \h </w:instrText>
      </w:r>
      <w:r>
        <w:fldChar w:fldCharType="separate"/>
      </w:r>
      <w:r>
        <w:t>8</w:t>
      </w:r>
      <w:r>
        <w:fldChar w:fldCharType="end"/>
      </w:r>
      <w:r>
        <w:fldChar w:fldCharType="end"/>
      </w:r>
    </w:p>
    <w:p w14:paraId="232EE236">
      <w:pPr>
        <w:pStyle w:val="9"/>
        <w:tabs>
          <w:tab w:val="right" w:leader="dot" w:pos="8960"/>
        </w:tabs>
      </w:pPr>
      <w:r>
        <w:fldChar w:fldCharType="begin"/>
      </w:r>
      <w:r>
        <w:instrText xml:space="preserve"> HYPERLINK \l _Toc21525 </w:instrText>
      </w:r>
      <w:r>
        <w:fldChar w:fldCharType="separate"/>
      </w:r>
      <w:r>
        <w:rPr>
          <w:rFonts w:hint="default" w:ascii="Times New Roman" w:hAnsi="Times New Roman" w:cs="Times New Roman"/>
          <w:szCs w:val="28"/>
        </w:rPr>
        <w:t>КОРРЕЛЯЦИОННЫЙ АНАЛИЗ</w:t>
      </w:r>
      <w:r>
        <w:tab/>
      </w:r>
      <w:r>
        <w:fldChar w:fldCharType="begin"/>
      </w:r>
      <w:r>
        <w:instrText xml:space="preserve"> PAGEREF _Toc21525 \h </w:instrText>
      </w:r>
      <w:r>
        <w:fldChar w:fldCharType="separate"/>
      </w:r>
      <w:r>
        <w:t>11</w:t>
      </w:r>
      <w:r>
        <w:fldChar w:fldCharType="end"/>
      </w:r>
      <w:r>
        <w:fldChar w:fldCharType="end"/>
      </w:r>
    </w:p>
    <w:p w14:paraId="22EB959B">
      <w:pPr>
        <w:pStyle w:val="9"/>
        <w:tabs>
          <w:tab w:val="right" w:leader="dot" w:pos="8960"/>
        </w:tabs>
      </w:pPr>
      <w:r>
        <w:fldChar w:fldCharType="begin"/>
      </w:r>
      <w:r>
        <w:instrText xml:space="preserve"> HYPERLINK \l _Toc3885 </w:instrText>
      </w:r>
      <w:r>
        <w:fldChar w:fldCharType="separate"/>
      </w:r>
      <w:r>
        <w:rPr>
          <w:rFonts w:hint="default" w:ascii="Times New Roman" w:hAnsi="Times New Roman" w:cs="Times New Roman"/>
          <w:bCs/>
          <w:szCs w:val="28"/>
        </w:rPr>
        <w:t>ПОСТРОЕНИЕ РЕГРЕССИОННЫХ МОДЕЛЕЙ</w:t>
      </w:r>
      <w:r>
        <w:tab/>
      </w:r>
      <w:r>
        <w:fldChar w:fldCharType="begin"/>
      </w:r>
      <w:r>
        <w:instrText xml:space="preserve"> PAGEREF _Toc3885 \h </w:instrText>
      </w:r>
      <w:r>
        <w:fldChar w:fldCharType="separate"/>
      </w:r>
      <w:r>
        <w:t>16</w:t>
      </w:r>
      <w:r>
        <w:fldChar w:fldCharType="end"/>
      </w:r>
      <w:r>
        <w:fldChar w:fldCharType="end"/>
      </w:r>
    </w:p>
    <w:p w14:paraId="0B442521">
      <w:pPr>
        <w:pStyle w:val="9"/>
        <w:tabs>
          <w:tab w:val="right" w:leader="dot" w:pos="8960"/>
        </w:tabs>
      </w:pPr>
      <w:r>
        <w:fldChar w:fldCharType="begin"/>
      </w:r>
      <w:r>
        <w:instrText xml:space="preserve"> HYPERLINK \l _Toc11097 </w:instrText>
      </w:r>
      <w:r>
        <w:fldChar w:fldCharType="separate"/>
      </w:r>
      <w:r>
        <w:rPr>
          <w:rFonts w:hint="default" w:ascii="Times New Roman" w:hAnsi="Times New Roman" w:cs="Times New Roman"/>
          <w:szCs w:val="28"/>
        </w:rPr>
        <w:t>ОТБОР НАИЛУЧШЕЙ РЕГРЕССИОННОЙ МОДЕЛИ</w:t>
      </w:r>
      <w:r>
        <w:tab/>
      </w:r>
      <w:r>
        <w:fldChar w:fldCharType="begin"/>
      </w:r>
      <w:r>
        <w:instrText xml:space="preserve"> PAGEREF _Toc11097 \h </w:instrText>
      </w:r>
      <w:r>
        <w:fldChar w:fldCharType="separate"/>
      </w:r>
      <w:r>
        <w:t>20</w:t>
      </w:r>
      <w:r>
        <w:fldChar w:fldCharType="end"/>
      </w:r>
      <w:r>
        <w:fldChar w:fldCharType="end"/>
      </w:r>
    </w:p>
    <w:p w14:paraId="7FA5ACA1">
      <w:pPr>
        <w:pStyle w:val="9"/>
        <w:tabs>
          <w:tab w:val="right" w:leader="dot" w:pos="8960"/>
        </w:tabs>
      </w:pPr>
      <w:r>
        <w:fldChar w:fldCharType="begin"/>
      </w:r>
      <w:r>
        <w:instrText xml:space="preserve"> HYPERLINK \l _Toc26669 </w:instrText>
      </w:r>
      <w:r>
        <w:fldChar w:fldCharType="separate"/>
      </w:r>
      <w:r>
        <w:rPr>
          <w:rFonts w:hint="default" w:ascii="Times New Roman" w:hAnsi="Times New Roman" w:cs="Times New Roman"/>
          <w:szCs w:val="28"/>
        </w:rPr>
        <w:t>ЗАКЛЮЧЕНИЕ</w:t>
      </w:r>
      <w:r>
        <w:tab/>
      </w:r>
      <w:r>
        <w:fldChar w:fldCharType="begin"/>
      </w:r>
      <w:r>
        <w:instrText xml:space="preserve"> PAGEREF _Toc26669 \h </w:instrText>
      </w:r>
      <w:r>
        <w:fldChar w:fldCharType="separate"/>
      </w:r>
      <w:r>
        <w:t>21</w:t>
      </w:r>
      <w:r>
        <w:fldChar w:fldCharType="end"/>
      </w:r>
      <w:r>
        <w:fldChar w:fldCharType="end"/>
      </w:r>
    </w:p>
    <w:p w14:paraId="689642F4">
      <w:pPr>
        <w:pStyle w:val="9"/>
        <w:tabs>
          <w:tab w:val="right" w:leader="dot" w:pos="8960"/>
        </w:tabs>
      </w:pPr>
      <w:r>
        <w:fldChar w:fldCharType="begin"/>
      </w:r>
      <w:r>
        <w:instrText xml:space="preserve"> HYPERLINK \l _Toc20634 </w:instrText>
      </w:r>
      <w:r>
        <w:fldChar w:fldCharType="separate"/>
      </w:r>
      <w:r>
        <w:rPr>
          <w:rFonts w:hint="default" w:ascii="Times New Roman" w:hAnsi="Times New Roman" w:cs="Times New Roman"/>
          <w:szCs w:val="28"/>
        </w:rPr>
        <w:t>СПИСОК ИСПОЛЬЗОВАННЫХ ИСТОЧНИКОВ</w:t>
      </w:r>
      <w:r>
        <w:tab/>
      </w:r>
      <w:r>
        <w:fldChar w:fldCharType="begin"/>
      </w:r>
      <w:r>
        <w:instrText xml:space="preserve"> PAGEREF _Toc20634 \h </w:instrText>
      </w:r>
      <w:r>
        <w:fldChar w:fldCharType="separate"/>
      </w:r>
      <w:r>
        <w:t>23</w:t>
      </w:r>
      <w:r>
        <w:fldChar w:fldCharType="end"/>
      </w:r>
      <w:r>
        <w:fldChar w:fldCharType="end"/>
      </w:r>
    </w:p>
    <w:p w14:paraId="4C4389CF">
      <w:pPr>
        <w:pStyle w:val="9"/>
        <w:tabs>
          <w:tab w:val="right" w:leader="dot" w:pos="8960"/>
        </w:tabs>
      </w:pPr>
      <w:r>
        <w:fldChar w:fldCharType="begin"/>
      </w:r>
      <w:r>
        <w:instrText xml:space="preserve"> HYPERLINK \l _Toc458 </w:instrText>
      </w:r>
      <w:r>
        <w:fldChar w:fldCharType="separate"/>
      </w:r>
      <w:r>
        <w:rPr>
          <w:rFonts w:hint="default" w:ascii="Times New Roman" w:hAnsi="Times New Roman" w:cs="Times New Roman"/>
          <w:szCs w:val="28"/>
        </w:rPr>
        <w:t xml:space="preserve">ПРИЛОЖЕНИЕ </w:t>
      </w:r>
      <w:r>
        <w:rPr>
          <w:rFonts w:hint="default" w:ascii="Times New Roman" w:hAnsi="Times New Roman" w:cs="Times New Roman"/>
          <w:szCs w:val="28"/>
          <w:lang w:val="ru-RU"/>
        </w:rPr>
        <w:t>А</w:t>
      </w:r>
      <w:r>
        <w:rPr>
          <w:rFonts w:hint="default" w:ascii="Times New Roman" w:hAnsi="Times New Roman" w:cs="Times New Roman"/>
          <w:szCs w:val="28"/>
        </w:rPr>
        <w:t xml:space="preserve"> − ГИСТОГРАММА РАСПРЕДЕЛЕНИЯ ЦЕН</w:t>
      </w:r>
      <w:r>
        <w:tab/>
      </w:r>
      <w:r>
        <w:fldChar w:fldCharType="begin"/>
      </w:r>
      <w:r>
        <w:instrText xml:space="preserve"> PAGEREF _Toc458 \h </w:instrText>
      </w:r>
      <w:r>
        <w:fldChar w:fldCharType="separate"/>
      </w:r>
      <w:r>
        <w:t>24</w:t>
      </w:r>
      <w:r>
        <w:fldChar w:fldCharType="end"/>
      </w:r>
      <w:r>
        <w:fldChar w:fldCharType="end"/>
      </w:r>
    </w:p>
    <w:p w14:paraId="0DDEB7CE">
      <w:pPr>
        <w:pStyle w:val="9"/>
        <w:tabs>
          <w:tab w:val="right" w:leader="dot" w:pos="8960"/>
        </w:tabs>
      </w:pPr>
      <w:r>
        <w:fldChar w:fldCharType="begin"/>
      </w:r>
      <w:r>
        <w:instrText xml:space="preserve"> HYPERLINK \l _Toc6465 </w:instrText>
      </w:r>
      <w:r>
        <w:fldChar w:fldCharType="separate"/>
      </w:r>
      <w:r>
        <w:rPr>
          <w:rFonts w:hint="default" w:ascii="Times New Roman" w:hAnsi="Times New Roman" w:cs="Times New Roman"/>
          <w:szCs w:val="28"/>
        </w:rPr>
        <w:t xml:space="preserve">ПРИЛОЖЕНИЕ </w:t>
      </w:r>
      <w:r>
        <w:rPr>
          <w:rFonts w:hint="default" w:ascii="Times New Roman" w:hAnsi="Times New Roman" w:cs="Times New Roman"/>
          <w:szCs w:val="28"/>
          <w:lang w:val="ru-RU"/>
        </w:rPr>
        <w:t>Б</w:t>
      </w:r>
      <w:r>
        <w:rPr>
          <w:rFonts w:hint="default" w:ascii="Times New Roman" w:hAnsi="Times New Roman" w:cs="Times New Roman"/>
          <w:szCs w:val="28"/>
        </w:rPr>
        <w:t xml:space="preserve"> − ГИСТОГРАММА РАСПРЕДЕЛЕНИЯ ОБ</w:t>
      </w:r>
      <w:r>
        <w:rPr>
          <w:rFonts w:hint="default" w:ascii="Times New Roman" w:hAnsi="Times New Roman" w:cs="Times New Roman"/>
          <w:i w:val="0"/>
          <w:iCs w:val="0"/>
          <w:szCs w:val="28"/>
        </w:rPr>
        <w:t>Щ</w:t>
      </w:r>
      <w:r>
        <w:rPr>
          <w:rFonts w:hint="default" w:ascii="Times New Roman" w:hAnsi="Times New Roman" w:cs="Times New Roman"/>
          <w:szCs w:val="28"/>
        </w:rPr>
        <w:t>ЕЙ ПЛОЩАДИ</w:t>
      </w:r>
      <w:r>
        <w:tab/>
      </w:r>
      <w:r>
        <w:fldChar w:fldCharType="begin"/>
      </w:r>
      <w:r>
        <w:instrText xml:space="preserve"> PAGEREF _Toc6465 \h </w:instrText>
      </w:r>
      <w:r>
        <w:fldChar w:fldCharType="separate"/>
      </w:r>
      <w:r>
        <w:t>24</w:t>
      </w:r>
      <w:r>
        <w:fldChar w:fldCharType="end"/>
      </w:r>
      <w:r>
        <w:fldChar w:fldCharType="end"/>
      </w:r>
    </w:p>
    <w:p w14:paraId="0005C9CD">
      <w:pPr>
        <w:pStyle w:val="9"/>
        <w:tabs>
          <w:tab w:val="right" w:leader="dot" w:pos="8960"/>
        </w:tabs>
      </w:pPr>
      <w:r>
        <w:fldChar w:fldCharType="begin"/>
      </w:r>
      <w:r>
        <w:instrText xml:space="preserve"> HYPERLINK \l _Toc21107 </w:instrText>
      </w:r>
      <w:r>
        <w:fldChar w:fldCharType="separate"/>
      </w:r>
      <w:r>
        <w:rPr>
          <w:rFonts w:hint="default" w:ascii="Times New Roman" w:hAnsi="Times New Roman" w:cs="Times New Roman"/>
          <w:szCs w:val="28"/>
        </w:rPr>
        <w:t xml:space="preserve">ПРИЛОЖЕНИЕ </w:t>
      </w:r>
      <w:r>
        <w:rPr>
          <w:rFonts w:hint="default" w:ascii="Times New Roman" w:hAnsi="Times New Roman" w:cs="Times New Roman"/>
          <w:szCs w:val="28"/>
          <w:lang w:val="ru-RU"/>
        </w:rPr>
        <w:t>В</w:t>
      </w:r>
      <w:r>
        <w:rPr>
          <w:rFonts w:hint="default" w:ascii="Times New Roman" w:hAnsi="Times New Roman" w:cs="Times New Roman"/>
          <w:szCs w:val="28"/>
        </w:rPr>
        <w:t xml:space="preserve"> − ДИАГРАММА РАЗМАХА ЦЕН</w:t>
      </w:r>
      <w:r>
        <w:tab/>
      </w:r>
      <w:r>
        <w:fldChar w:fldCharType="begin"/>
      </w:r>
      <w:r>
        <w:instrText xml:space="preserve"> PAGEREF _Toc21107 \h </w:instrText>
      </w:r>
      <w:r>
        <w:fldChar w:fldCharType="separate"/>
      </w:r>
      <w:r>
        <w:t>25</w:t>
      </w:r>
      <w:r>
        <w:fldChar w:fldCharType="end"/>
      </w:r>
      <w:r>
        <w:fldChar w:fldCharType="end"/>
      </w:r>
    </w:p>
    <w:p w14:paraId="4C745CDE">
      <w:pPr>
        <w:pStyle w:val="9"/>
        <w:tabs>
          <w:tab w:val="right" w:leader="dot" w:pos="8960"/>
        </w:tabs>
      </w:pPr>
      <w:r>
        <w:fldChar w:fldCharType="begin"/>
      </w:r>
      <w:r>
        <w:instrText xml:space="preserve"> HYPERLINK \l _Toc26122 </w:instrText>
      </w:r>
      <w:r>
        <w:fldChar w:fldCharType="separate"/>
      </w:r>
      <w:r>
        <w:rPr>
          <w:rFonts w:hint="default" w:ascii="Times New Roman" w:hAnsi="Times New Roman" w:cs="Times New Roman"/>
          <w:szCs w:val="28"/>
        </w:rPr>
        <w:t xml:space="preserve">ПРИЛОЖЕНИЕ </w:t>
      </w:r>
      <w:r>
        <w:rPr>
          <w:rFonts w:hint="default" w:ascii="Times New Roman" w:hAnsi="Times New Roman" w:cs="Times New Roman"/>
          <w:szCs w:val="28"/>
          <w:lang w:val="ru-RU"/>
        </w:rPr>
        <w:t xml:space="preserve"> Г</w:t>
      </w:r>
      <w:r>
        <w:rPr>
          <w:rFonts w:hint="default" w:ascii="Times New Roman" w:hAnsi="Times New Roman" w:cs="Times New Roman"/>
          <w:szCs w:val="28"/>
        </w:rPr>
        <w:t xml:space="preserve"> − ДИАГРАММА РАЗМАХА ОБЩЕЙ ПЛОЩАДИ</w:t>
      </w:r>
      <w:r>
        <w:tab/>
      </w:r>
      <w:r>
        <w:fldChar w:fldCharType="begin"/>
      </w:r>
      <w:r>
        <w:instrText xml:space="preserve"> PAGEREF _Toc26122 \h </w:instrText>
      </w:r>
      <w:r>
        <w:fldChar w:fldCharType="separate"/>
      </w:r>
      <w:r>
        <w:t>26</w:t>
      </w:r>
      <w:r>
        <w:fldChar w:fldCharType="end"/>
      </w:r>
      <w:r>
        <w:fldChar w:fldCharType="end"/>
      </w:r>
    </w:p>
    <w:p w14:paraId="41B5E1F1">
      <w:pPr>
        <w:pStyle w:val="9"/>
        <w:tabs>
          <w:tab w:val="right" w:leader="dot" w:pos="8960"/>
        </w:tabs>
      </w:pPr>
      <w:r>
        <w:fldChar w:fldCharType="begin"/>
      </w:r>
      <w:r>
        <w:instrText xml:space="preserve"> HYPERLINK \l _Toc29680 </w:instrText>
      </w:r>
      <w:r>
        <w:fldChar w:fldCharType="separate"/>
      </w:r>
      <w:r>
        <w:rPr>
          <w:rFonts w:hint="default" w:ascii="Times New Roman" w:hAnsi="Times New Roman" w:cs="Times New Roman"/>
          <w:szCs w:val="28"/>
        </w:rPr>
        <w:t xml:space="preserve">ПРИЛОЖЕНИЕ </w:t>
      </w:r>
      <w:r>
        <w:rPr>
          <w:rFonts w:hint="default" w:ascii="Times New Roman" w:hAnsi="Times New Roman" w:cs="Times New Roman"/>
          <w:szCs w:val="28"/>
          <w:lang w:val="ru-RU"/>
        </w:rPr>
        <w:t>Д</w:t>
      </w:r>
      <w:r>
        <w:rPr>
          <w:rFonts w:hint="default" w:ascii="Times New Roman" w:hAnsi="Times New Roman" w:cs="Times New Roman"/>
          <w:szCs w:val="28"/>
        </w:rPr>
        <w:t xml:space="preserve"> − ДИАГРАММЫ РАССЕЯНИЯ</w:t>
      </w:r>
      <w:r>
        <w:tab/>
      </w:r>
      <w:r>
        <w:fldChar w:fldCharType="begin"/>
      </w:r>
      <w:r>
        <w:instrText xml:space="preserve"> PAGEREF _Toc29680 \h </w:instrText>
      </w:r>
      <w:r>
        <w:fldChar w:fldCharType="separate"/>
      </w:r>
      <w:r>
        <w:t>27</w:t>
      </w:r>
      <w:r>
        <w:fldChar w:fldCharType="end"/>
      </w:r>
      <w:r>
        <w:fldChar w:fldCharType="end"/>
      </w:r>
    </w:p>
    <w:p w14:paraId="285F41D6">
      <w:pPr>
        <w:pStyle w:val="9"/>
        <w:tabs>
          <w:tab w:val="right" w:leader="dot" w:pos="8960"/>
        </w:tabs>
      </w:pPr>
      <w:r>
        <w:fldChar w:fldCharType="begin"/>
      </w:r>
      <w:r>
        <w:instrText xml:space="preserve"> HYPERLINK \l _Toc7593 </w:instrText>
      </w:r>
      <w:r>
        <w:fldChar w:fldCharType="separate"/>
      </w:r>
      <w:r>
        <w:rPr>
          <w:rFonts w:hint="default" w:ascii="Times New Roman" w:hAnsi="Times New Roman" w:cs="Times New Roman"/>
          <w:szCs w:val="28"/>
        </w:rPr>
        <w:t xml:space="preserve">ПРИЛОЖЕНИЕ </w:t>
      </w:r>
      <w:r>
        <w:rPr>
          <w:rFonts w:hint="default" w:ascii="Times New Roman" w:hAnsi="Times New Roman" w:cs="Times New Roman"/>
          <w:szCs w:val="28"/>
          <w:lang w:val="ru-RU"/>
        </w:rPr>
        <w:t>Е</w:t>
      </w:r>
      <w:r>
        <w:rPr>
          <w:rFonts w:hint="default" w:ascii="Times New Roman" w:hAnsi="Times New Roman" w:cs="Times New Roman"/>
          <w:szCs w:val="28"/>
        </w:rPr>
        <w:t>− ТЕПЛОВАЯ КАРТА МАТРИЦЫ КОРРЕЛЯЦИЙ</w:t>
      </w:r>
      <w:r>
        <w:tab/>
      </w:r>
      <w:r>
        <w:fldChar w:fldCharType="begin"/>
      </w:r>
      <w:r>
        <w:instrText xml:space="preserve"> PAGEREF _Toc7593 \h </w:instrText>
      </w:r>
      <w:r>
        <w:fldChar w:fldCharType="separate"/>
      </w:r>
      <w:r>
        <w:t>28</w:t>
      </w:r>
      <w:r>
        <w:fldChar w:fldCharType="end"/>
      </w:r>
      <w:r>
        <w:fldChar w:fldCharType="end"/>
      </w:r>
    </w:p>
    <w:p w14:paraId="01D2ADFA">
      <w:pPr>
        <w:pStyle w:val="9"/>
        <w:tabs>
          <w:tab w:val="right" w:leader="dot" w:pos="8960"/>
        </w:tabs>
      </w:pPr>
      <w:r>
        <w:fldChar w:fldCharType="begin"/>
      </w:r>
      <w:r>
        <w:instrText xml:space="preserve"> HYPERLINK \l _Toc24047 </w:instrText>
      </w:r>
      <w:r>
        <w:fldChar w:fldCharType="separate"/>
      </w:r>
      <w:r>
        <w:rPr>
          <w:rFonts w:hint="default" w:ascii="Times New Roman" w:hAnsi="Times New Roman" w:cs="Times New Roman"/>
          <w:szCs w:val="28"/>
          <w:lang w:eastAsia="en-US"/>
        </w:rPr>
        <w:t>ПРИЛОЖЕНИЕ И − ДИАГНОСТИЧЕСКИЕ ГРАФИКИ РЕГРЕССИОННЫХ МОДЕЛЕЙ</w:t>
      </w:r>
      <w:r>
        <w:tab/>
      </w:r>
      <w:r>
        <w:fldChar w:fldCharType="begin"/>
      </w:r>
      <w:r>
        <w:instrText xml:space="preserve"> PAGEREF _Toc24047 \h </w:instrText>
      </w:r>
      <w:r>
        <w:fldChar w:fldCharType="separate"/>
      </w:r>
      <w:r>
        <w:t>29</w:t>
      </w:r>
      <w:r>
        <w:fldChar w:fldCharType="end"/>
      </w:r>
      <w:r>
        <w:fldChar w:fldCharType="end"/>
      </w:r>
    </w:p>
    <w:p w14:paraId="60960874">
      <w:pPr>
        <w:ind w:left="-840" w:leftChars="-300" w:firstLine="0" w:firstLineChars="0"/>
      </w:pPr>
      <w:r>
        <w:fldChar w:fldCharType="end"/>
      </w:r>
    </w:p>
    <w:p w14:paraId="037FBD49">
      <w:pPr>
        <w:ind w:left="-840" w:leftChars="-300" w:firstLine="0" w:firstLineChars="0"/>
      </w:pPr>
    </w:p>
    <w:p w14:paraId="6013D39B">
      <w:pPr>
        <w:ind w:left="-840" w:leftChars="-300" w:firstLine="0" w:firstLineChars="0"/>
      </w:pPr>
    </w:p>
    <w:p w14:paraId="459C1F86">
      <w:pPr>
        <w:ind w:left="-840" w:leftChars="-300" w:firstLine="0" w:firstLineChars="0"/>
      </w:pPr>
    </w:p>
    <w:p w14:paraId="60CF97AB">
      <w:pPr>
        <w:ind w:left="-840" w:leftChars="-300" w:firstLine="0" w:firstLineChars="0"/>
      </w:pPr>
    </w:p>
    <w:p w14:paraId="6C362C63">
      <w:pPr>
        <w:ind w:left="-840" w:leftChars="-300" w:firstLine="0" w:firstLineChars="0"/>
      </w:pPr>
    </w:p>
    <w:p w14:paraId="522A1712">
      <w:pPr>
        <w:ind w:left="-840" w:leftChars="-300" w:firstLine="0" w:firstLineChars="0"/>
      </w:pPr>
    </w:p>
    <w:p w14:paraId="664C086D">
      <w:pPr>
        <w:ind w:left="-840" w:leftChars="-300" w:firstLine="0" w:firstLineChars="0"/>
      </w:pPr>
    </w:p>
    <w:p w14:paraId="45E30FCC">
      <w:pPr>
        <w:ind w:left="-840" w:leftChars="-300" w:firstLine="0" w:firstLineChars="0"/>
      </w:pPr>
    </w:p>
    <w:p w14:paraId="4BF64C4F">
      <w:pPr>
        <w:ind w:left="-840" w:leftChars="-300" w:firstLine="0" w:firstLineChars="0"/>
      </w:pPr>
    </w:p>
    <w:p w14:paraId="2D3E43E7">
      <w:pPr>
        <w:ind w:left="-840" w:leftChars="-300" w:firstLine="0" w:firstLineChars="0"/>
      </w:pPr>
    </w:p>
    <w:p w14:paraId="642390AA">
      <w:pPr>
        <w:ind w:left="-840" w:leftChars="-300" w:firstLine="0" w:firstLineChars="0"/>
      </w:pPr>
    </w:p>
    <w:p w14:paraId="76C70205">
      <w:pPr>
        <w:ind w:left="-840" w:leftChars="-300" w:firstLine="0" w:firstLineChars="0"/>
      </w:pPr>
    </w:p>
    <w:p w14:paraId="6776EE16">
      <w:pPr>
        <w:ind w:left="-840" w:leftChars="-300" w:firstLine="0" w:firstLineChars="0"/>
      </w:pPr>
    </w:p>
    <w:p w14:paraId="6636C827">
      <w:pPr>
        <w:ind w:left="-840" w:leftChars="-300" w:firstLine="0" w:firstLineChars="0"/>
      </w:pPr>
    </w:p>
    <w:p w14:paraId="560FCE08">
      <w:pPr>
        <w:ind w:left="-840" w:leftChars="-300" w:firstLine="0" w:firstLineChars="0"/>
      </w:pPr>
    </w:p>
    <w:p w14:paraId="787375E9">
      <w:pPr>
        <w:ind w:left="-840" w:leftChars="-300" w:firstLine="0" w:firstLineChars="0"/>
      </w:pPr>
    </w:p>
    <w:p w14:paraId="5B73C1D9">
      <w:pPr>
        <w:ind w:left="-840" w:leftChars="-300" w:firstLine="0" w:firstLineChars="0"/>
      </w:pPr>
    </w:p>
    <w:p w14:paraId="4B550588">
      <w:pPr>
        <w:ind w:left="-840" w:leftChars="-300" w:firstLine="0" w:firstLineChars="0"/>
      </w:pPr>
    </w:p>
    <w:p w14:paraId="7626CA72">
      <w:pPr>
        <w:ind w:left="-840" w:leftChars="-300" w:firstLine="0" w:firstLineChars="0"/>
      </w:pPr>
    </w:p>
    <w:p w14:paraId="2E4A4021">
      <w:pPr>
        <w:ind w:left="-840" w:leftChars="-300" w:firstLine="0" w:firstLineChars="0"/>
      </w:pPr>
    </w:p>
    <w:p w14:paraId="48D2D380"/>
    <w:p w14:paraId="27F61D21">
      <w:pPr>
        <w:pStyle w:val="2"/>
        <w:pageBreakBefore w:val="0"/>
        <w:kinsoku/>
        <w:overflowPunct/>
        <w:topLinePunct w:val="0"/>
        <w:autoSpaceDE/>
        <w:autoSpaceDN/>
        <w:bidi w:val="0"/>
        <w:adjustRightInd/>
        <w:snapToGrid/>
        <w:spacing w:line="360" w:lineRule="auto"/>
        <w:jc w:val="both"/>
        <w:textAlignment w:val="auto"/>
        <w:rPr>
          <w:rFonts w:ascii="Times New Roman" w:hAnsi="Times New Roman" w:cs="Times New Roman"/>
          <w:b/>
          <w:color w:val="auto"/>
          <w:sz w:val="28"/>
          <w:szCs w:val="28"/>
        </w:rPr>
      </w:pPr>
      <w:bookmarkStart w:id="1" w:name="_Toc10632"/>
      <w:r>
        <w:rPr>
          <w:rFonts w:ascii="Times New Roman" w:hAnsi="Times New Roman" w:cs="Times New Roman"/>
          <w:b/>
          <w:color w:val="auto"/>
          <w:sz w:val="28"/>
          <w:szCs w:val="28"/>
        </w:rPr>
        <w:t>ССЫЛКА НА КОД В ПУБЛИЧНОМ РЕПОЗИТОРИИ</w:t>
      </w:r>
      <w:bookmarkEnd w:id="1"/>
    </w:p>
    <w:p w14:paraId="0BC77454">
      <w:pPr>
        <w:pageBreakBefore w:val="0"/>
        <w:kinsoku/>
        <w:overflowPunct/>
        <w:topLinePunct w:val="0"/>
        <w:autoSpaceDE/>
        <w:autoSpaceDN/>
        <w:bidi w:val="0"/>
        <w:adjustRightInd/>
        <w:snapToGrid/>
        <w:spacing w:line="360" w:lineRule="auto"/>
        <w:jc w:val="both"/>
        <w:textAlignment w:val="auto"/>
      </w:pPr>
    </w:p>
    <w:p w14:paraId="452A5E4D">
      <w:pPr>
        <w:pageBreakBefore w:val="0"/>
        <w:kinsoku/>
        <w:overflowPunct/>
        <w:topLinePunct w:val="0"/>
        <w:autoSpaceDE/>
        <w:autoSpaceDN/>
        <w:bidi w:val="0"/>
        <w:adjustRightInd/>
        <w:snapToGrid/>
        <w:spacing w:line="360" w:lineRule="auto"/>
        <w:jc w:val="both"/>
        <w:textAlignment w:val="auto"/>
      </w:pPr>
      <w:r>
        <w:t xml:space="preserve">Публичный репозиторий: </w:t>
      </w:r>
      <w:r>
        <w:rPr>
          <w:lang w:val="en-US"/>
        </w:rPr>
        <w:t>GitHub</w:t>
      </w:r>
    </w:p>
    <w:p w14:paraId="69C5A77E">
      <w:r>
        <w:t>Ссылка:</w:t>
      </w:r>
      <w:r>
        <w:rPr>
          <w:rFonts w:hint="default"/>
          <w:lang w:val="ru-RU"/>
        </w:rPr>
        <w:t xml:space="preserve"> </w:t>
      </w:r>
      <w:bookmarkStart w:id="45" w:name="_GoBack"/>
      <w:bookmarkEnd w:id="45"/>
    </w:p>
    <w:p w14:paraId="53A120FA">
      <w:pPr>
        <w:rPr>
          <w:rFonts w:hint="default" w:ascii="Times New Roman" w:hAnsi="Times New Roman" w:cs="Times New Roman"/>
          <w:lang w:val="ru-RU"/>
        </w:rPr>
      </w:pPr>
      <w:bookmarkStart w:id="2" w:name="_Toc4233"/>
      <w:r>
        <w:rPr>
          <w:rFonts w:hint="default" w:ascii="Times New Roman" w:hAnsi="Times New Roman" w:cs="Times New Roman"/>
          <w:lang w:val="ru-RU"/>
        </w:rPr>
        <w:br w:type="page"/>
      </w:r>
    </w:p>
    <w:p w14:paraId="4E006ED8">
      <w:pPr>
        <w:pStyle w:val="2"/>
        <w:bidi w:val="0"/>
        <w:jc w:val="center"/>
        <w:rPr>
          <w:rFonts w:hint="default" w:ascii="Times New Roman" w:hAnsi="Times New Roman" w:cs="Times New Roman"/>
          <w:lang w:val="ru-RU"/>
        </w:rPr>
      </w:pPr>
      <w:r>
        <w:rPr>
          <w:rFonts w:hint="default" w:ascii="Times New Roman" w:hAnsi="Times New Roman" w:cs="Times New Roman"/>
          <w:lang w:val="ru-RU"/>
        </w:rPr>
        <w:t>Введение</w:t>
      </w:r>
      <w:bookmarkEnd w:id="2"/>
    </w:p>
    <w:p w14:paraId="38258DAF">
      <w:pPr>
        <w:spacing w:after="200" w:line="240" w:lineRule="auto"/>
        <w:ind w:firstLine="567"/>
        <w:jc w:val="both"/>
      </w:pPr>
      <w:r>
        <w:rPr>
          <w:rFonts w:ascii="Times New Roman" w:hAnsi="Times New Roman" w:eastAsia="Times New Roman" w:cs="Times New Roman"/>
          <w:sz w:val="28"/>
          <w:szCs w:val="28"/>
        </w:rPr>
        <w:t xml:space="preserve">Рынок жилой недвижимости города Махачкалы в последние годы демонстрирует одну из самых высоких динамик роста цен среди крупных городов Российской Федерации, что делает изучение факторов ценообразования на вторичном рынке жилья республики особенно актуальным. По данным консалтинговой компании SRG, в 2025 году средняя стоимость квадратного метра вторичного жилья в Махачкале выросла на 25% и достигла 120,9 тыс. руб., в результате чего город стал абсолютным лидером роста цен среди 50 крупнейших рынков вторичного жилья страны </w:t>
      </w:r>
      <w:r>
        <w:fldChar w:fldCharType="begin"/>
      </w:r>
      <w:r>
        <w:instrText xml:space="preserve"> HYPERLINK "https://kavkaz.rbc.ru/kavkaz/freenews/6965e5689a79477ba1e94221" </w:instrText>
      </w:r>
      <w:r>
        <w:fldChar w:fldCharType="separate"/>
      </w:r>
      <w:r>
        <w:rPr>
          <w:rStyle w:val="5"/>
          <w:rFonts w:ascii="Times New Roman" w:hAnsi="Times New Roman" w:eastAsia="Times New Roman" w:cs="Times New Roman"/>
          <w:color w:val="0563C1"/>
          <w:sz w:val="28"/>
          <w:szCs w:val="28"/>
          <w:u w:val="single"/>
        </w:rPr>
        <w:t>(РБК Недвижимость, 2026)</w:t>
      </w:r>
      <w:r>
        <w:rPr>
          <w:rStyle w:val="6"/>
          <w:rFonts w:ascii="Times New Roman" w:hAnsi="Times New Roman" w:eastAsia="Times New Roman" w:cs="Times New Roman"/>
          <w:color w:val="0563C1"/>
          <w:sz w:val="28"/>
          <w:szCs w:val="28"/>
          <w:u w:val="single"/>
        </w:rPr>
        <w:fldChar w:fldCharType="end"/>
      </w:r>
      <w:r>
        <w:rPr>
          <w:rFonts w:ascii="Times New Roman" w:hAnsi="Times New Roman" w:eastAsia="Times New Roman" w:cs="Times New Roman"/>
          <w:sz w:val="28"/>
          <w:szCs w:val="28"/>
        </w:rPr>
        <w:t xml:space="preserve">. По данным аналитиков Циан, средняя цена квадратного метра на вторичном рынке Махачкалы за период с сентября 2024 по сентябрь 2025 года увеличилась со 115,3 до 122,9 тыс. руб. Согласно данным Росстата, в IV квартале 2025 года Республика Дагестан заняла первое место по стоимости жилья среди регионов Северо-Кавказского федерального округа: 118,6 тыс. руб./м² на первичном рынке и 101,3 тыс. руб./м² на вторичном </w:t>
      </w:r>
      <w:r>
        <w:fldChar w:fldCharType="begin"/>
      </w:r>
      <w:r>
        <w:instrText xml:space="preserve"> HYPERLINK "https://www.kommersant.ru/doc/8421209" </w:instrText>
      </w:r>
      <w:r>
        <w:fldChar w:fldCharType="separate"/>
      </w:r>
      <w:r>
        <w:rPr>
          <w:rStyle w:val="5"/>
          <w:rFonts w:ascii="Times New Roman" w:hAnsi="Times New Roman" w:eastAsia="Times New Roman" w:cs="Times New Roman"/>
          <w:color w:val="0563C1"/>
          <w:sz w:val="28"/>
          <w:szCs w:val="28"/>
          <w:u w:val="single"/>
        </w:rPr>
        <w:t>(Коммерсантъ, 2026)</w:t>
      </w:r>
      <w:r>
        <w:rPr>
          <w:rStyle w:val="6"/>
          <w:rFonts w:ascii="Times New Roman" w:hAnsi="Times New Roman" w:eastAsia="Times New Roman" w:cs="Times New Roman"/>
          <w:color w:val="0563C1"/>
          <w:sz w:val="28"/>
          <w:szCs w:val="28"/>
          <w:u w:val="single"/>
        </w:rPr>
        <w:fldChar w:fldCharType="end"/>
      </w:r>
      <w:r>
        <w:rPr>
          <w:rFonts w:ascii="Times New Roman" w:hAnsi="Times New Roman" w:eastAsia="Times New Roman" w:cs="Times New Roman"/>
          <w:sz w:val="28"/>
          <w:szCs w:val="28"/>
        </w:rPr>
        <w:t>. Эксперты связывают такую динамику с урбанизацией, миграционными процессами и реализацией федеральных проектов в регионе, несмотря на сохраняющийся высокий уровень безработицы и относительно невысокую платёжеспособность населения.</w:t>
      </w:r>
    </w:p>
    <w:p w14:paraId="79F53CFE">
      <w:pPr>
        <w:spacing w:after="200" w:line="240" w:lineRule="auto"/>
        <w:ind w:firstLine="567"/>
        <w:jc w:val="both"/>
      </w:pPr>
      <w:r>
        <w:rPr>
          <w:rFonts w:ascii="Times New Roman" w:hAnsi="Times New Roman" w:eastAsia="Times New Roman" w:cs="Times New Roman"/>
          <w:sz w:val="28"/>
          <w:szCs w:val="28"/>
        </w:rPr>
        <w:t>При этом ценообразование на вторичном рынке жилья Махачкалы остаётся малоизученным с научной точки зрения: в отличие от рынков жилья крупных городов европейской части России и Поволжья, для которых опубликован ряд эконометрических исследований, факторы формирования цены квартир в столице Дагестана системно не анализировались. Понимание того, какие характеристики объектов недвижимости (площадь, этаж, удалённость от центра, год постройки и др.) в наибольшей степени определяют цену квартиры на вторичном рынке Махачкалы, актуально как для покупателей и продавцов жилья, так и для риелторов, застройщиков и органов местной власти, разрабатывающих меры жилищной политики. Результаты подобного исследования могут быть использованы для повышения обоснованности сделок с недвижимостью.</w:t>
      </w:r>
    </w:p>
    <w:p w14:paraId="3B22D20A">
      <w:pPr>
        <w:pStyle w:val="2"/>
        <w:bidi w:val="0"/>
        <w:jc w:val="center"/>
        <w:rPr>
          <w:rFonts w:hint="default" w:ascii="Times New Roman" w:hAnsi="Times New Roman" w:cs="Times New Roman"/>
          <w:b/>
          <w:bCs/>
          <w:sz w:val="28"/>
          <w:szCs w:val="28"/>
          <w:lang w:val="ru-RU"/>
        </w:rPr>
      </w:pPr>
      <w:bookmarkStart w:id="3" w:name="_Toc17508"/>
      <w:r>
        <w:rPr>
          <w:rFonts w:hint="default" w:ascii="Times New Roman" w:hAnsi="Times New Roman" w:cs="Times New Roman"/>
          <w:b/>
          <w:bCs/>
          <w:sz w:val="28"/>
          <w:szCs w:val="28"/>
          <w:lang w:val="ru-RU"/>
        </w:rPr>
        <w:t>ОБЗОР НАУЧНОЙ ЛИТЕРАТУРЫ</w:t>
      </w:r>
      <w:bookmarkEnd w:id="3"/>
    </w:p>
    <w:p w14:paraId="5A40C2CF">
      <w:pPr>
        <w:ind w:firstLine="708" w:firstLineChars="0"/>
        <w:rPr>
          <w:rFonts w:hint="default"/>
          <w:lang w:val="ru-RU"/>
        </w:rPr>
      </w:pPr>
      <w:r>
        <w:rPr>
          <w:rFonts w:ascii="Times New Roman" w:hAnsi="Times New Roman" w:eastAsia="Times New Roman" w:cs="Times New Roman"/>
          <w:sz w:val="28"/>
          <w:szCs w:val="28"/>
        </w:rPr>
        <w:t xml:space="preserve">Поиск </w:t>
      </w:r>
      <w:r>
        <w:rPr>
          <w:rFonts w:ascii="Times New Roman" w:hAnsi="Times New Roman" w:eastAsia="Times New Roman" w:cs="Times New Roman"/>
          <w:sz w:val="28"/>
          <w:szCs w:val="28"/>
          <w:lang w:val="ru-RU"/>
        </w:rPr>
        <w:t>открытых</w:t>
      </w:r>
      <w:r>
        <w:rPr>
          <w:rFonts w:hint="default" w:ascii="Times New Roman" w:hAnsi="Times New Roman" w:eastAsia="Times New Roman" w:cs="Times New Roman"/>
          <w:sz w:val="28"/>
          <w:szCs w:val="28"/>
          <w:lang w:val="ru-RU"/>
        </w:rPr>
        <w:t xml:space="preserve"> (бесплатных и находящихся в общем доступе) </w:t>
      </w:r>
      <w:r>
        <w:rPr>
          <w:rFonts w:ascii="Times New Roman" w:hAnsi="Times New Roman" w:eastAsia="Times New Roman" w:cs="Times New Roman"/>
          <w:sz w:val="28"/>
          <w:szCs w:val="28"/>
        </w:rPr>
        <w:t>научных публикаций</w:t>
      </w:r>
      <w:r>
        <w:rPr>
          <w:rFonts w:hint="default" w:ascii="Times New Roman" w:hAnsi="Times New Roman" w:eastAsia="Times New Roman" w:cs="Times New Roman"/>
          <w:sz w:val="28"/>
          <w:szCs w:val="28"/>
          <w:lang w:val="ru-RU"/>
        </w:rPr>
        <w:t xml:space="preserve"> в том числе в </w:t>
      </w:r>
      <w:r>
        <w:rPr>
          <w:rFonts w:ascii="Times New Roman" w:hAnsi="Times New Roman" w:eastAsia="Times New Roman" w:cs="Times New Roman"/>
          <w:sz w:val="28"/>
          <w:szCs w:val="28"/>
        </w:rPr>
        <w:t xml:space="preserve"> в базах eLIBRARY.ru, КиберЛенинка, Google Scholar, SSRN и arXiv по теме ценообразования на вторичном рынке жилой недвижимости города Махачкалы не выявил ни одной специализированной работы, посвящённой построению регрессионных или корреляционных моделей стоимости квартир именно для этого города. Публикации по Республике Дагестан в целом носят преимущественно обзорный и статистический характер и не содержат эконометрического моделирования цены жилья на уровне отдельных объектов недвижимости. В связи с этим для формирования обзора литературы были отобраны две публикации: одна содержит актуальный статистический анализ жилищной сферы Республики Дагестан в общероссийском контексте, вторая демонстрирует методику построения регрессионной модели цены жилья на примере другого крупного города России (Казани), которая может быть использована как ориентир для собственного исследования.</w:t>
      </w:r>
    </w:p>
    <w:p w14:paraId="0230AC03">
      <w:pPr>
        <w:spacing w:before="200" w:after="100"/>
        <w:jc w:val="both"/>
        <w:rPr>
          <w:b/>
          <w:bCs/>
        </w:rPr>
      </w:pPr>
      <w:r>
        <w:rPr>
          <w:rFonts w:ascii="Times New Roman" w:hAnsi="Times New Roman" w:eastAsia="Times New Roman" w:cs="Times New Roman"/>
          <w:b/>
          <w:bCs/>
          <w:sz w:val="28"/>
          <w:szCs w:val="28"/>
        </w:rPr>
        <w:t>1. Жилищная сфера Республики Дагестан в общероссийском контексте.</w:t>
      </w:r>
    </w:p>
    <w:p w14:paraId="347B25BD">
      <w:pPr>
        <w:spacing w:after="200" w:line="240" w:lineRule="auto"/>
        <w:ind w:firstLine="567"/>
        <w:jc w:val="both"/>
        <w:rPr>
          <w:rFonts w:hint="default"/>
          <w:lang w:val="ru-RU"/>
        </w:rPr>
      </w:pPr>
      <w:r>
        <w:rPr>
          <w:rFonts w:ascii="Times New Roman" w:hAnsi="Times New Roman" w:eastAsia="Times New Roman" w:cs="Times New Roman"/>
          <w:sz w:val="28"/>
          <w:szCs w:val="28"/>
        </w:rPr>
        <w:t>Пилипенко И.В. Ранжирование и типология регионов Российской Федерации по жилищной обеспеченности и доступности жилья в 1990–2020-х годах</w:t>
      </w:r>
      <w:r>
        <w:rPr>
          <w:rFonts w:hint="default" w:ascii="Times New Roman" w:hAnsi="Times New Roman" w:eastAsia="Times New Roman" w:cs="Times New Roman"/>
          <w:sz w:val="28"/>
          <w:szCs w:val="28"/>
          <w:lang w:val="ru-RU"/>
        </w:rPr>
        <w:t>.</w:t>
      </w:r>
    </w:p>
    <w:p w14:paraId="748ACB19">
      <w:pPr>
        <w:spacing w:after="200" w:line="240" w:lineRule="auto"/>
        <w:ind w:firstLine="567"/>
        <w:jc w:val="both"/>
      </w:pPr>
      <w:r>
        <w:rPr>
          <w:rFonts w:ascii="Times New Roman" w:hAnsi="Times New Roman" w:eastAsia="Times New Roman" w:cs="Times New Roman"/>
          <w:sz w:val="28"/>
          <w:szCs w:val="28"/>
        </w:rPr>
        <w:t>В статье построена авторская типология всех регионов России по девяти показателям, сгруппированным в четыре блока: соотношение долей регионов в численности населения и во вводе жилья за 1990–2023 гг., динамика средней площади вводимых квартир и индивидуальных домов за 2000–2022 гг., коэффициент доступности жилья за 2018–2022 гг. и доля индивидуального жилищного строительства (ИЖС) во вводе жилья за 2019–2023 гг. Для Республики Дагестан автор приводит ряд показательных данных: средняя площадь вводимого жилья в республике в 1992–2023 гг. составила около 112 м² — один из самых высоких показателей по стране (на уровне Кабардино-Балкарии, Чечни и Ингушетии), а средний размер квартир, вводимых непосредственно в многоквартирных домах, — около 71 м², также один из самых больших в России. Коэффициент доступности жилья для Дагестана в 2018–2022 гг. составил 2,32 года, что лучше среднероссийских значений и указывает на относительно высокую формальную доступность жилья для населения. При этом в республике зафиксировано одно из самых резких по стране сокращений доли индивидуального жилищного строительства в общем вводе жилья — на 34,4 п.п. в целом и на 56,1 п.п. в городской местности, что свидетельствует о быстром смещении жилищного рынка Дагестана от частных домов к многоквартирной застройке. По совокупности показателей регион отнесён автором к типу 5 (подтип 5.1) — регионы с повышенной доступностью жилья в сочетании с высокими темпами ввода жилья в городской местности. Эта работа даёт важный макроэкономический контекст: она показывает, что рынок жилья Дагестана в последние годы стремительно смещается в сторону многоквартирной застройки, вводимое жильё крупнее среднероссийского, а формальная доступность жилья по общероссийской методике выглядит относительно благополучной — что не вполне согласуется со статистикой опережающего роста цен на вторичном рынке Махачкалы, приведённой во введении, и указывает на необходимость отдельного анализа ценообразования на уровне конкретных объектов вторичного рынка города.</w:t>
      </w:r>
    </w:p>
    <w:p w14:paraId="5436F07B">
      <w:pPr>
        <w:spacing w:before="200" w:after="100"/>
        <w:jc w:val="both"/>
      </w:pPr>
      <w:r>
        <w:rPr>
          <w:rFonts w:ascii="Times New Roman" w:hAnsi="Times New Roman" w:eastAsia="Times New Roman" w:cs="Times New Roman"/>
          <w:b/>
          <w:bCs/>
          <w:sz w:val="28"/>
          <w:szCs w:val="28"/>
        </w:rPr>
        <w:t>2. Регрессионное моделирование цены жилья (г. Казань) — методологический аналог.</w:t>
      </w:r>
    </w:p>
    <w:p w14:paraId="28505FD8">
      <w:pPr>
        <w:spacing w:after="200" w:line="240" w:lineRule="auto"/>
        <w:ind w:firstLine="567"/>
        <w:jc w:val="both"/>
      </w:pPr>
      <w:r>
        <w:rPr>
          <w:rFonts w:ascii="Times New Roman" w:hAnsi="Times New Roman" w:eastAsia="Times New Roman" w:cs="Times New Roman"/>
          <w:sz w:val="28"/>
          <w:szCs w:val="28"/>
        </w:rPr>
        <w:t xml:space="preserve">Евстафьева А.Х., Боровских О.Н., Бахтеева Д.М. Моделирование зависимости цены жилья от различных факторов </w:t>
      </w:r>
    </w:p>
    <w:p w14:paraId="16A3EA4A">
      <w:pPr>
        <w:spacing w:after="200" w:line="240" w:lineRule="auto"/>
        <w:ind w:firstLine="567"/>
        <w:jc w:val="both"/>
      </w:pPr>
      <w:r>
        <w:rPr>
          <w:rFonts w:ascii="Times New Roman" w:hAnsi="Times New Roman" w:eastAsia="Times New Roman" w:cs="Times New Roman"/>
          <w:sz w:val="28"/>
          <w:szCs w:val="28"/>
        </w:rPr>
        <w:t>Авторы построили регрессионную модель зависимости цены квадратного метра жилья от пяти объектных факторов: удалённости от центра города, срока эксплуатации здания, площади квартиры, этажности дома и числа комнат. Выборка составила 50 объектов жилой недвижимости города Казани, введённых в эксплуатацию в течение последних трёх лет, данные получены с сервиса Домклик и с Яндекс Карт. Поскольку показатели измеряются в разных единицах, все переменные были нормализованы к диапазону от 0 до 1. Полученное уравнение регрессии имеет вид Y = 0,41 − 0,18·X1 − 0,12·X2 + 0,23·X3 + 0,46·X4 − 0,24·X5, где наибольший по модулю коэффициент — при этажности дома (X4 = 0,46), что говорит о её наибольшем влиянии на цену; авторы связывают это с высокой стоимостью земли в Казани, вынуждающей застройщиков увеличивать этажность для размещения большего числа квартир. Статистическая адекватность модели подтверждена коэффициентом множественной корреляции R = 0,79, коэффициентом детерминации R² = 0,617 и скорректированным R² = 0,573. На основе модели авторы также рассчитали прогнозную цену квадратного метра для гипотетического объекта, показав практическую применимость подхода для девелоперских компаний. Эта работа наиболее близка по методологии к задачам настоящей учебной практики и может служить прямым ориентиром для построения аналогичных регрессионных моделей на данных вторичного рынка жилья Махачкалы: она демонстрирует полный цикл исследования от отбора факторов и нормализации данных до построения уравнения регрессии и оценки его статистической значимости.</w:t>
      </w:r>
    </w:p>
    <w:p w14:paraId="3F63A700">
      <w:pPr>
        <w:spacing w:after="200" w:line="240" w:lineRule="auto"/>
        <w:ind w:firstLine="567"/>
        <w:jc w:val="both"/>
      </w:pPr>
      <w:r>
        <w:rPr>
          <w:rFonts w:ascii="Times New Roman" w:hAnsi="Times New Roman" w:eastAsia="Times New Roman" w:cs="Times New Roman"/>
          <w:sz w:val="28"/>
          <w:szCs w:val="28"/>
        </w:rPr>
        <w:t>Таким образом, обзор литературы выявил явный пробел: при относительно развитой методологии эконометрического моделирования цен на жильё и наличии актуальных статистических данных о жилищной сфере Дагестана на макроуровне, специализированных исследований, количественно оценивающих влияние характеристик конкретных квартир на их цену на вторичном рынке Махачкалы, в открытом доступе не обнаружено. Это определяет проблему настоящего исследования: выявление и оценка факторов, формирующих цену квартир на вторичном рынке жилой недвижимости города Махачкалы, с применением инструментов описательной статистики, корреляционного и регрессионного анализа.</w:t>
      </w:r>
    </w:p>
    <w:p w14:paraId="47F30BA4">
      <w:pPr>
        <w:pStyle w:val="2"/>
        <w:jc w:val="center"/>
        <w:rPr>
          <w:rFonts w:hint="default" w:ascii="Times New Roman" w:hAnsi="Times New Roman" w:cs="Times New Roman"/>
          <w:sz w:val="28"/>
          <w:szCs w:val="28"/>
        </w:rPr>
      </w:pPr>
      <w:bookmarkStart w:id="4" w:name="_Toc19797"/>
      <w:bookmarkStart w:id="5" w:name="_Toc27964"/>
      <w:r>
        <w:rPr>
          <w:rFonts w:hint="default" w:ascii="Times New Roman" w:hAnsi="Times New Roman" w:cs="Times New Roman"/>
          <w:sz w:val="28"/>
          <w:szCs w:val="28"/>
        </w:rPr>
        <w:t>ФОРМИРОВАНИЕ ГИПОТЕЗ</w:t>
      </w:r>
      <w:bookmarkEnd w:id="4"/>
    </w:p>
    <w:p w14:paraId="64711C5F">
      <w:pPr>
        <w:bidi w:val="0"/>
        <w:ind w:firstLine="708" w:firstLineChars="0"/>
        <w:jc w:val="both"/>
        <w:rPr>
          <w:rFonts w:hint="default" w:ascii="Times New Roman" w:hAnsi="Times New Roman" w:eastAsia="Times New Roman" w:cs="Times New Roman"/>
          <w:sz w:val="28"/>
          <w:szCs w:val="28"/>
          <w:lang w:val="ru-RU"/>
        </w:rPr>
      </w:pPr>
      <w:r>
        <w:t>Исходя из особенностей ценообразования на вторичном рынке жилой недвижимости города Махачкалы, рассмотренных во введении и обзоре литературы, а также перечня характеристик объектов недвижимости, рекомендованных методическими указаниями</w:t>
      </w:r>
      <w:r>
        <w:rPr>
          <w:rFonts w:hint="default"/>
          <w:lang w:val="ru-RU"/>
        </w:rPr>
        <w:t xml:space="preserve"> </w:t>
      </w:r>
      <w:r>
        <w:rPr>
          <w:rFonts w:ascii="Times New Roman" w:hAnsi="Times New Roman" w:eastAsia="Times New Roman" w:cs="Times New Roman"/>
          <w:sz w:val="28"/>
          <w:szCs w:val="28"/>
        </w:rPr>
        <w:t>были сформулированы следующие исследовательские гипотезы</w:t>
      </w:r>
      <w:r>
        <w:rPr>
          <w:rFonts w:hint="default" w:ascii="Times New Roman" w:hAnsi="Times New Roman" w:eastAsia="Times New Roman" w:cs="Times New Roman"/>
          <w:sz w:val="28"/>
          <w:szCs w:val="28"/>
          <w:lang w:val="ru-RU"/>
        </w:rPr>
        <w:t>.</w:t>
      </w:r>
    </w:p>
    <w:p w14:paraId="1ECCF934">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pPr>
      <w:r>
        <w:rPr>
          <w:rFonts w:ascii="Times New Roman" w:hAnsi="Times New Roman" w:eastAsia="Times New Roman" w:cs="Times New Roman"/>
          <w:b/>
          <w:bCs/>
          <w:sz w:val="28"/>
          <w:szCs w:val="28"/>
        </w:rPr>
        <w:t xml:space="preserve">Гипотеза 1. </w:t>
      </w:r>
      <w:r>
        <w:rPr>
          <w:rFonts w:ascii="Times New Roman" w:hAnsi="Times New Roman" w:eastAsia="Times New Roman" w:cs="Times New Roman"/>
          <w:sz w:val="28"/>
          <w:szCs w:val="28"/>
        </w:rPr>
        <w:t>Увеличение общей площади квартиры приводит к росту её стоимости на вторичном рынке жилья Махачкалы.</w:t>
      </w:r>
    </w:p>
    <w:p w14:paraId="394F338D">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pPr>
      <w:r>
        <w:rPr>
          <w:rFonts w:ascii="Times New Roman" w:hAnsi="Times New Roman" w:eastAsia="Times New Roman" w:cs="Times New Roman"/>
          <w:b/>
          <w:bCs/>
          <w:sz w:val="28"/>
          <w:szCs w:val="28"/>
        </w:rPr>
        <w:t xml:space="preserve">Гипотеза 2. </w:t>
      </w:r>
      <w:r>
        <w:rPr>
          <w:rFonts w:ascii="Times New Roman" w:hAnsi="Times New Roman" w:eastAsia="Times New Roman" w:cs="Times New Roman"/>
          <w:sz w:val="28"/>
          <w:szCs w:val="28"/>
        </w:rPr>
        <w:t>Увеличение площади кухни приводит к росту стоимости квартиры, поскольку просторная кухня повышает функциональность и комфорт жилья.</w:t>
      </w:r>
    </w:p>
    <w:p w14:paraId="36E91200">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pPr>
      <w:r>
        <w:rPr>
          <w:rFonts w:ascii="Times New Roman" w:hAnsi="Times New Roman" w:eastAsia="Times New Roman" w:cs="Times New Roman"/>
          <w:b/>
          <w:bCs/>
          <w:sz w:val="28"/>
          <w:szCs w:val="28"/>
        </w:rPr>
        <w:t xml:space="preserve">Гипотеза 3. </w:t>
      </w:r>
      <w:r>
        <w:rPr>
          <w:rFonts w:ascii="Times New Roman" w:hAnsi="Times New Roman" w:eastAsia="Times New Roman" w:cs="Times New Roman"/>
          <w:sz w:val="28"/>
          <w:szCs w:val="28"/>
        </w:rPr>
        <w:t>Увеличение расстояния от квартиры до ближайшей остановки общественного транспорта приводит к снижению её стоимости за счёт снижения транспортной доступности.</w:t>
      </w:r>
    </w:p>
    <w:p w14:paraId="3AE57D35">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pPr>
      <w:r>
        <w:rPr>
          <w:rFonts w:ascii="Times New Roman" w:hAnsi="Times New Roman" w:eastAsia="Times New Roman" w:cs="Times New Roman"/>
          <w:b/>
          <w:bCs/>
          <w:sz w:val="28"/>
          <w:szCs w:val="28"/>
        </w:rPr>
        <w:t xml:space="preserve">Гипотеза 4. </w:t>
      </w:r>
      <w:r>
        <w:rPr>
          <w:rFonts w:ascii="Times New Roman" w:hAnsi="Times New Roman" w:eastAsia="Times New Roman" w:cs="Times New Roman"/>
          <w:sz w:val="28"/>
          <w:szCs w:val="28"/>
        </w:rPr>
        <w:t>Расположение квартиры на первом этаже приводит к снижению её стоимости по сравнению с квартирами, расположенными на других этажах.</w:t>
      </w:r>
    </w:p>
    <w:p w14:paraId="2370F04D">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pPr>
      <w:r>
        <w:rPr>
          <w:rFonts w:ascii="Times New Roman" w:hAnsi="Times New Roman" w:eastAsia="Times New Roman" w:cs="Times New Roman"/>
          <w:b/>
          <w:bCs/>
          <w:sz w:val="28"/>
          <w:szCs w:val="28"/>
        </w:rPr>
        <w:t xml:space="preserve">Гипотеза 5. </w:t>
      </w:r>
      <w:r>
        <w:rPr>
          <w:rFonts w:ascii="Times New Roman" w:hAnsi="Times New Roman" w:eastAsia="Times New Roman" w:cs="Times New Roman"/>
          <w:sz w:val="28"/>
          <w:szCs w:val="28"/>
        </w:rPr>
        <w:t>Увеличение общей этажности дома, в котором расположена квартира, приводит к росту стоимости квартиры за счёт более высокого качества современной многоэтажной застройки.</w:t>
      </w:r>
    </w:p>
    <w:p w14:paraId="43A4857B">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pPr>
      <w:r>
        <w:rPr>
          <w:rFonts w:ascii="Times New Roman" w:hAnsi="Times New Roman" w:eastAsia="Times New Roman" w:cs="Times New Roman"/>
          <w:b/>
          <w:bCs/>
          <w:sz w:val="28"/>
          <w:szCs w:val="28"/>
        </w:rPr>
        <w:t xml:space="preserve">Гипотеза 6. </w:t>
      </w:r>
      <w:r>
        <w:rPr>
          <w:rFonts w:ascii="Times New Roman" w:hAnsi="Times New Roman" w:eastAsia="Times New Roman" w:cs="Times New Roman"/>
          <w:sz w:val="28"/>
          <w:szCs w:val="28"/>
        </w:rPr>
        <w:t>Увеличение высоты потолков приводит к росту стоимости квартиры, так как более высокие потолки воспринимаются как признак более комфортного и качественного жилья.</w:t>
      </w:r>
    </w:p>
    <w:p w14:paraId="621612E4">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pPr>
      <w:r>
        <w:rPr>
          <w:rFonts w:ascii="Times New Roman" w:hAnsi="Times New Roman" w:eastAsia="Times New Roman" w:cs="Times New Roman"/>
          <w:b/>
          <w:bCs/>
          <w:sz w:val="28"/>
          <w:szCs w:val="28"/>
        </w:rPr>
        <w:t xml:space="preserve">Гипотеза 7. </w:t>
      </w:r>
      <w:r>
        <w:rPr>
          <w:rFonts w:ascii="Times New Roman" w:hAnsi="Times New Roman" w:eastAsia="Times New Roman" w:cs="Times New Roman"/>
          <w:sz w:val="28"/>
          <w:szCs w:val="28"/>
        </w:rPr>
        <w:t>Увеличение количества комнат при сопоставимой общей площади квартиры приводит к снижению цены одного квадратного метра за счёт уменьшения средней площади отдельной комнаты.</w:t>
      </w:r>
    </w:p>
    <w:p w14:paraId="086E862D">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r>
        <w:rPr>
          <w:rFonts w:ascii="Times New Roman" w:hAnsi="Times New Roman" w:eastAsia="Times New Roman" w:cs="Times New Roman"/>
          <w:b/>
          <w:bCs/>
          <w:sz w:val="28"/>
          <w:szCs w:val="28"/>
        </w:rPr>
        <w:t xml:space="preserve">Гипотеза 8. </w:t>
      </w:r>
      <w:r>
        <w:rPr>
          <w:rFonts w:ascii="Times New Roman" w:hAnsi="Times New Roman" w:eastAsia="Times New Roman" w:cs="Times New Roman"/>
          <w:sz w:val="28"/>
          <w:szCs w:val="28"/>
        </w:rPr>
        <w:t>Увеличение доли жилой площади в общей площади квартиры приводит к росту стоимости квартиры за счёт более эффективной и востребованной планировки.</w:t>
      </w:r>
    </w:p>
    <w:p w14:paraId="17B1A0F0">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3E656A58">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25B5F2E1">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6B705AAD">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04045F19">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35DCDC44">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3A9F4EE8">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575E44A0">
      <w:pPr>
        <w:keepNext w:val="0"/>
        <w:keepLines w:val="0"/>
        <w:pageBreakBefore w:val="0"/>
        <w:widowControl/>
        <w:numPr>
          <w:numId w:val="0"/>
        </w:numPr>
        <w:kinsoku/>
        <w:wordWrap/>
        <w:overflowPunct/>
        <w:topLinePunct w:val="0"/>
        <w:autoSpaceDE/>
        <w:autoSpaceDN/>
        <w:bidi w:val="0"/>
        <w:adjustRightInd/>
        <w:snapToGrid/>
        <w:spacing w:after="0" w:line="240" w:lineRule="auto"/>
        <w:ind w:leftChars="0" w:firstLine="706" w:firstLineChars="0"/>
        <w:jc w:val="both"/>
        <w:textAlignment w:val="auto"/>
        <w:rPr>
          <w:rFonts w:ascii="Times New Roman" w:hAnsi="Times New Roman" w:eastAsia="Times New Roman" w:cs="Times New Roman"/>
          <w:sz w:val="28"/>
          <w:szCs w:val="28"/>
        </w:rPr>
      </w:pPr>
    </w:p>
    <w:p w14:paraId="070DF582">
      <w:pPr>
        <w:keepNext w:val="0"/>
        <w:keepLines w:val="0"/>
        <w:pageBreakBefore w:val="0"/>
        <w:widowControl/>
        <w:numPr>
          <w:numId w:val="0"/>
        </w:numPr>
        <w:kinsoku/>
        <w:wordWrap/>
        <w:overflowPunct/>
        <w:topLinePunct w:val="0"/>
        <w:autoSpaceDE/>
        <w:autoSpaceDN/>
        <w:bidi w:val="0"/>
        <w:adjustRightInd/>
        <w:snapToGrid/>
        <w:spacing w:after="0" w:line="240" w:lineRule="auto"/>
        <w:jc w:val="both"/>
        <w:textAlignment w:val="auto"/>
        <w:rPr>
          <w:rFonts w:hint="default" w:ascii="Times New Roman" w:hAnsi="Times New Roman" w:eastAsia="Times New Roman" w:cs="Times New Roman"/>
          <w:sz w:val="28"/>
          <w:szCs w:val="28"/>
          <w:lang w:val="ru-RU"/>
        </w:rPr>
      </w:pPr>
    </w:p>
    <w:p w14:paraId="4DF446C9">
      <w:pPr>
        <w:pStyle w:val="2"/>
        <w:jc w:val="center"/>
      </w:pPr>
      <w:bookmarkStart w:id="6" w:name="_Toc31083"/>
      <w:r>
        <w:rPr>
          <w:rFonts w:hint="default" w:ascii="Times New Roman" w:hAnsi="Times New Roman" w:cs="Times New Roman"/>
          <w:sz w:val="28"/>
          <w:szCs w:val="28"/>
        </w:rPr>
        <w:t>СБОР ДАННЫХ</w:t>
      </w:r>
      <w:bookmarkEnd w:id="5"/>
      <w:bookmarkEnd w:id="6"/>
    </w:p>
    <w:p w14:paraId="740B3DB3">
      <w:pPr>
        <w:pStyle w:val="12"/>
        <w:keepLines w:val="0"/>
        <w:pageBreakBefore w:val="0"/>
        <w:widowControl/>
        <w:kinsoku/>
        <w:wordWrap/>
        <w:overflowPunct/>
        <w:topLinePunct w:val="0"/>
        <w:autoSpaceDE/>
        <w:autoSpaceDN/>
        <w:bidi w:val="0"/>
        <w:adjustRightInd/>
        <w:snapToGrid/>
        <w:spacing w:line="240" w:lineRule="auto"/>
        <w:textAlignment w:val="auto"/>
        <w:rPr>
          <w:rFonts w:hint="default"/>
          <w:sz w:val="24"/>
          <w:szCs w:val="24"/>
          <w:lang w:val="ru-RU"/>
        </w:rPr>
      </w:pPr>
      <w:r>
        <w:t xml:space="preserve">Для проверки сформулированных гипотез и построения регрессионной модели стоимости квартир на рынке жилья </w:t>
      </w:r>
      <w:r>
        <w:rPr>
          <w:lang w:val="ru-RU"/>
        </w:rPr>
        <w:t>Махачкалы</w:t>
      </w:r>
      <w:r>
        <w:rPr>
          <w:rFonts w:hint="default"/>
          <w:lang w:val="ru-RU"/>
        </w:rPr>
        <w:t xml:space="preserve"> </w:t>
      </w:r>
      <w:r>
        <w:t>был произведён сбор эмпирических данных из открытых источников. В качестве источника информации выбран сервис ЦИАН (</w:t>
      </w:r>
      <w:r>
        <w:fldChar w:fldCharType="begin"/>
      </w:r>
      <w:r>
        <w:instrText xml:space="preserve"> HYPERLINK "https://cian.ru/" \t "_blank" </w:instrText>
      </w:r>
      <w:r>
        <w:fldChar w:fldCharType="separate"/>
      </w:r>
      <w:r>
        <w:rPr>
          <w:rStyle w:val="6"/>
          <w:color w:val="3964FE"/>
          <w:bdr w:val="single" w:color="auto" w:sz="12" w:space="0"/>
        </w:rPr>
        <w:t>cian.ru</w:t>
      </w:r>
      <w:r>
        <w:rPr>
          <w:rStyle w:val="6"/>
          <w:color w:val="3964FE"/>
          <w:bdr w:val="single" w:color="auto" w:sz="12" w:space="0"/>
        </w:rPr>
        <w:fldChar w:fldCharType="end"/>
      </w:r>
      <w:r>
        <w:t>) — один из наиболее крупных и популярных агрегаторов объявлений о продаже жилой недвижимости в России. Данный источник обладает рядом преимуществ, важных для научного исследования: он общедоступен, содержит структурированную информацию по широкому набору характеристик объектов</w:t>
      </w:r>
      <w:r>
        <w:rPr>
          <w:rFonts w:hint="default"/>
          <w:lang w:val="ru-RU"/>
        </w:rPr>
        <w:t xml:space="preserve">, а также даёт возможность скачивать полученные после фильтрации объявления в виде </w:t>
      </w:r>
      <w:r>
        <w:rPr>
          <w:rFonts w:hint="default"/>
          <w:lang w:val="en-US"/>
        </w:rPr>
        <w:t xml:space="preserve">Excel </w:t>
      </w:r>
      <w:r>
        <w:rPr>
          <w:rFonts w:hint="default"/>
          <w:lang w:val="ru-RU"/>
        </w:rPr>
        <w:t>таблицы.</w:t>
      </w:r>
    </w:p>
    <w:p w14:paraId="747AD4A1">
      <w:pPr>
        <w:pStyle w:val="12"/>
        <w:keepNext w:val="0"/>
        <w:keepLines w:val="0"/>
        <w:pageBreakBefore w:val="0"/>
        <w:widowControl/>
        <w:kinsoku/>
        <w:wordWrap/>
        <w:overflowPunct/>
        <w:topLinePunct w:val="0"/>
        <w:autoSpaceDE/>
        <w:autoSpaceDN/>
        <w:bidi w:val="0"/>
        <w:adjustRightInd/>
        <w:snapToGrid/>
        <w:spacing w:line="240" w:lineRule="auto"/>
        <w:ind w:firstLine="706"/>
        <w:textAlignment w:val="auto"/>
      </w:pPr>
      <w:r>
        <w:t>Выборка включает </w:t>
      </w:r>
      <w:r>
        <w:rPr>
          <w:rStyle w:val="7"/>
          <w:rFonts w:hint="default"/>
          <w:b w:val="0"/>
          <w:lang w:val="ru-RU"/>
        </w:rPr>
        <w:t>195</w:t>
      </w:r>
      <w:r>
        <w:rPr>
          <w:rStyle w:val="7"/>
          <w:b w:val="0"/>
        </w:rPr>
        <w:t xml:space="preserve"> объектов</w:t>
      </w:r>
      <w:r>
        <w:t xml:space="preserve"> жилой недвижимости, выставленных на продажу на вторичном рынке </w:t>
      </w:r>
      <w:r>
        <w:rPr>
          <w:lang w:val="ru-RU"/>
        </w:rPr>
        <w:t>Махачкалы</w:t>
      </w:r>
      <w:r>
        <w:t>. По каждому объекту зафиксированы следующие характеристики:</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94"/>
      </w:tblGrid>
      <w:tr w14:paraId="19296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8D51E85">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eastAsiaTheme="minorHAnsi"/>
                <w:b/>
                <w:bCs/>
                <w:color w:val="0F1115"/>
                <w:szCs w:val="24"/>
                <w:lang w:eastAsia="en-US"/>
                <w14:ligatures w14:val="none"/>
              </w:rPr>
              <w:t>Переменная</w:t>
            </w:r>
          </w:p>
        </w:tc>
      </w:tr>
      <w:tr w14:paraId="0B9CE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FD4CD34">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цена</w:t>
            </w:r>
            <w:r>
              <w:rPr>
                <w:rFonts w:eastAsiaTheme="minorHAnsi"/>
                <w:color w:val="0F1115"/>
                <w:szCs w:val="24"/>
                <w:lang w:eastAsia="en-US"/>
                <w14:ligatures w14:val="none"/>
              </w:rPr>
              <w:t>.</w:t>
            </w:r>
          </w:p>
        </w:tc>
      </w:tr>
      <w:tr w14:paraId="4A35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C30A7C0">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общая площадь</w:t>
            </w:r>
          </w:p>
        </w:tc>
      </w:tr>
      <w:tr w14:paraId="18FDB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8A865A9">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жилая площадь</w:t>
            </w:r>
          </w:p>
        </w:tc>
      </w:tr>
      <w:tr w14:paraId="30BC8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AA34A23">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площадь кухни</w:t>
            </w:r>
          </w:p>
        </w:tc>
      </w:tr>
      <w:tr w14:paraId="2AE9C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C902B2C">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количество комнат</w:t>
            </w:r>
          </w:p>
        </w:tc>
      </w:tr>
      <w:tr w14:paraId="632BE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9EC1942">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расстояние до общественного транспорта</w:t>
            </w:r>
          </w:p>
        </w:tc>
      </w:tr>
      <w:tr w14:paraId="3B18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693725F">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eastAsiaTheme="minorHAnsi"/>
                <w:color w:val="0F1115"/>
                <w:szCs w:val="24"/>
                <w:lang w:eastAsia="en-US"/>
                <w14:ligatures w14:val="none"/>
              </w:rPr>
              <w:t>Этаж, на котором расположена квартира</w:t>
            </w:r>
          </w:p>
        </w:tc>
      </w:tr>
      <w:tr w14:paraId="1F68A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D527F56">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общая этажность дома</w:t>
            </w:r>
          </w:p>
        </w:tc>
      </w:tr>
      <w:tr w14:paraId="4D350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03FBD93">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высота потолков</w:t>
            </w:r>
          </w:p>
        </w:tc>
      </w:tr>
      <w:tr w14:paraId="63DEA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DFF3BE4">
            <w:pPr>
              <w:keepNext/>
              <w:keepLines w:val="0"/>
              <w:pageBreakBefore w:val="0"/>
              <w:widowControl/>
              <w:kinsoku/>
              <w:wordWrap/>
              <w:overflowPunct/>
              <w:topLinePunct w:val="0"/>
              <w:autoSpaceDE/>
              <w:autoSpaceDN/>
              <w:bidi w:val="0"/>
              <w:adjustRightInd/>
              <w:snapToGrid/>
              <w:spacing w:line="360" w:lineRule="auto"/>
              <w:jc w:val="center"/>
              <w:textAlignment w:val="auto"/>
              <w:rPr>
                <w:rFonts w:eastAsiaTheme="minorHAnsi"/>
                <w:color w:val="0F1115"/>
                <w:szCs w:val="24"/>
                <w:lang w:eastAsia="en-US"/>
                <w14:ligatures w14:val="none"/>
              </w:rPr>
            </w:pPr>
            <w:r>
              <w:rPr>
                <w:rFonts w:hint="default" w:eastAsiaTheme="minorHAnsi"/>
                <w:color w:val="0F1115"/>
                <w:szCs w:val="24"/>
                <w:lang w:eastAsia="en-US"/>
                <w14:ligatures w14:val="none"/>
              </w:rPr>
              <w:t>ссылка на объявление</w:t>
            </w:r>
          </w:p>
        </w:tc>
      </w:tr>
    </w:tbl>
    <w:p w14:paraId="76A349EA">
      <w:pPr>
        <w:pStyle w:val="8"/>
        <w:keepLines w:val="0"/>
        <w:pageBreakBefore w:val="0"/>
        <w:widowControl/>
        <w:kinsoku/>
        <w:wordWrap/>
        <w:overflowPunct/>
        <w:topLinePunct w:val="0"/>
        <w:autoSpaceDE/>
        <w:autoSpaceDN/>
        <w:bidi w:val="0"/>
        <w:adjustRightInd/>
        <w:snapToGrid/>
        <w:spacing w:line="360" w:lineRule="auto"/>
        <w:jc w:val="center"/>
        <w:textAlignment w:val="auto"/>
        <w:rPr>
          <w:rFonts w:ascii="Times New Roman" w:hAnsi="Times New Roman" w:cs="Times New Roman"/>
          <w:b w:val="0"/>
          <w:bCs w:val="0"/>
          <w:color w:val="auto"/>
          <w:sz w:val="24"/>
          <w:szCs w:val="20"/>
        </w:rPr>
      </w:pPr>
      <w:r>
        <w:rPr>
          <w:rFonts w:ascii="Times New Roman" w:hAnsi="Times New Roman" w:cs="Times New Roman"/>
          <w:b w:val="0"/>
          <w:bCs w:val="0"/>
          <w:color w:val="auto"/>
          <w:sz w:val="24"/>
          <w:szCs w:val="20"/>
        </w:rPr>
        <w:t>Таблица</w:t>
      </w:r>
      <w:r>
        <w:rPr>
          <w:rFonts w:hint="default" w:ascii="Times New Roman" w:hAnsi="Times New Roman" w:cs="Times New Roman"/>
          <w:b w:val="0"/>
          <w:bCs w:val="0"/>
          <w:color w:val="auto"/>
          <w:sz w:val="24"/>
          <w:szCs w:val="20"/>
          <w:lang w:val="ru-RU"/>
        </w:rPr>
        <w:t xml:space="preserve"> 1</w:t>
      </w:r>
      <w:r>
        <w:rPr>
          <w:rFonts w:ascii="Times New Roman" w:hAnsi="Times New Roman" w:cs="Times New Roman"/>
          <w:b w:val="0"/>
          <w:bCs w:val="0"/>
          <w:color w:val="auto"/>
          <w:sz w:val="24"/>
          <w:szCs w:val="20"/>
        </w:rPr>
        <w:t>. Перечень собранных переменных</w:t>
      </w:r>
    </w:p>
    <w:p w14:paraId="7E64F624">
      <w:pPr>
        <w:keepLines w:val="0"/>
        <w:pageBreakBefore w:val="0"/>
        <w:widowControl/>
        <w:kinsoku/>
        <w:wordWrap/>
        <w:overflowPunct/>
        <w:topLinePunct w:val="0"/>
        <w:autoSpaceDE/>
        <w:autoSpaceDN/>
        <w:bidi w:val="0"/>
        <w:adjustRightInd/>
        <w:snapToGrid/>
        <w:spacing w:line="240" w:lineRule="auto"/>
        <w:ind w:firstLine="708" w:firstLineChars="0"/>
        <w:textAlignment w:val="auto"/>
      </w:pPr>
      <w:r>
        <w:rPr>
          <w:lang w:val="ru-RU"/>
        </w:rPr>
        <w:t>После</w:t>
      </w:r>
      <w:r>
        <w:rPr>
          <w:rFonts w:hint="default"/>
          <w:lang w:val="ru-RU"/>
        </w:rPr>
        <w:t xml:space="preserve"> скачивания д</w:t>
      </w:r>
      <w:r>
        <w:t xml:space="preserve">анные </w:t>
      </w:r>
      <w:r>
        <w:rPr>
          <w:rFonts w:hint="default"/>
          <w:lang w:val="ru-RU"/>
        </w:rPr>
        <w:t xml:space="preserve">были конвертированы </w:t>
      </w:r>
      <w:r>
        <w:t xml:space="preserve">в формат </w:t>
      </w:r>
      <w:r>
        <w:rPr>
          <w:rFonts w:hint="default"/>
          <w:lang w:val="en-US"/>
        </w:rPr>
        <w:t>CSV</w:t>
      </w:r>
      <w:r>
        <w:t xml:space="preserve"> для дальнейшего анализа.</w:t>
      </w:r>
    </w:p>
    <w:p w14:paraId="4952725D">
      <w:pPr>
        <w:pStyle w:val="2"/>
        <w:bidi w:val="0"/>
        <w:jc w:val="center"/>
        <w:rPr>
          <w:rFonts w:hint="default" w:ascii="Times New Roman" w:hAnsi="Times New Roman" w:cs="Times New Roman"/>
          <w:sz w:val="28"/>
          <w:szCs w:val="28"/>
        </w:rPr>
      </w:pPr>
    </w:p>
    <w:p w14:paraId="43E0A997">
      <w:pPr>
        <w:pStyle w:val="2"/>
        <w:bidi w:val="0"/>
        <w:jc w:val="both"/>
        <w:rPr>
          <w:rFonts w:hint="default" w:ascii="Times New Roman" w:hAnsi="Times New Roman" w:cs="Times New Roman"/>
          <w:sz w:val="28"/>
          <w:szCs w:val="28"/>
        </w:rPr>
      </w:pPr>
    </w:p>
    <w:p w14:paraId="53B7D0A7">
      <w:pPr>
        <w:rPr>
          <w:rFonts w:hint="default" w:ascii="Times New Roman" w:hAnsi="Times New Roman" w:cs="Times New Roman"/>
          <w:sz w:val="28"/>
          <w:szCs w:val="28"/>
        </w:rPr>
      </w:pPr>
    </w:p>
    <w:p w14:paraId="5067D6EF">
      <w:pPr>
        <w:rPr>
          <w:rFonts w:hint="default" w:ascii="Times New Roman" w:hAnsi="Times New Roman" w:cs="Times New Roman"/>
          <w:sz w:val="28"/>
          <w:szCs w:val="28"/>
        </w:rPr>
      </w:pPr>
    </w:p>
    <w:p w14:paraId="78363187">
      <w:pPr>
        <w:rPr>
          <w:rFonts w:hint="default" w:ascii="Times New Roman" w:hAnsi="Times New Roman" w:cs="Times New Roman"/>
          <w:sz w:val="28"/>
          <w:szCs w:val="28"/>
        </w:rPr>
      </w:pPr>
    </w:p>
    <w:p w14:paraId="0EA23C55">
      <w:pPr>
        <w:rPr>
          <w:rFonts w:hint="default" w:ascii="Times New Roman" w:hAnsi="Times New Roman" w:cs="Times New Roman"/>
          <w:sz w:val="28"/>
          <w:szCs w:val="28"/>
        </w:rPr>
      </w:pPr>
    </w:p>
    <w:p w14:paraId="688A5758">
      <w:pPr>
        <w:rPr>
          <w:rFonts w:hint="default" w:ascii="Times New Roman" w:hAnsi="Times New Roman" w:cs="Times New Roman"/>
          <w:sz w:val="28"/>
          <w:szCs w:val="28"/>
        </w:rPr>
      </w:pPr>
    </w:p>
    <w:p w14:paraId="3B01B862">
      <w:pPr>
        <w:pStyle w:val="2"/>
        <w:bidi w:val="0"/>
        <w:jc w:val="center"/>
        <w:rPr>
          <w:rFonts w:hint="default" w:ascii="Times New Roman" w:hAnsi="Times New Roman" w:cs="Times New Roman"/>
          <w:sz w:val="28"/>
          <w:szCs w:val="28"/>
        </w:rPr>
      </w:pPr>
      <w:bookmarkStart w:id="7" w:name="_Toc17182"/>
      <w:r>
        <w:rPr>
          <w:rFonts w:hint="default" w:ascii="Times New Roman" w:hAnsi="Times New Roman" w:cs="Times New Roman"/>
          <w:sz w:val="28"/>
          <w:szCs w:val="28"/>
        </w:rPr>
        <w:t>ОПИСАТЕЛЬНАЯ СТАТИСТИКА</w:t>
      </w:r>
      <w:bookmarkEnd w:id="7"/>
    </w:p>
    <w:p w14:paraId="47925E9C">
      <w:pPr>
        <w:ind w:firstLine="708"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Первым шагом в анализе собранных данных является расчёт описательных статистик, позволяющих получить общее представление о структуре выборки, выявить центральные тенденции и разброс значений, а также обнаружить возможные аномалии.</w:t>
      </w:r>
    </w:p>
    <w:p w14:paraId="0BBB5CBF">
      <w:pPr>
        <w:ind w:firstLine="708" w:firstLineChars="0"/>
        <w:rPr>
          <w:rFonts w:hint="default" w:ascii="Times New Roman" w:hAnsi="Times New Roman" w:eastAsia="Times New Roman" w:cs="Times New Roman"/>
          <w:sz w:val="28"/>
          <w:szCs w:val="28"/>
        </w:rPr>
      </w:pPr>
    </w:p>
    <w:tbl>
      <w:tblPr>
        <w:tblW w:w="5755" w:type="pct"/>
        <w:tblInd w:w="-88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368"/>
        <w:gridCol w:w="1262"/>
        <w:gridCol w:w="975"/>
        <w:gridCol w:w="963"/>
        <w:gridCol w:w="800"/>
        <w:gridCol w:w="887"/>
        <w:gridCol w:w="1150"/>
        <w:gridCol w:w="688"/>
        <w:gridCol w:w="1170"/>
        <w:gridCol w:w="1299"/>
      </w:tblGrid>
      <w:tr w14:paraId="6E58A4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738EE55B">
            <w:pPr>
              <w:rPr>
                <w:rFonts w:hint="default" w:ascii="Times New Roman" w:hAnsi="Times New Roman" w:cs="Times New Roman"/>
                <w:i w:val="0"/>
                <w:iCs w:val="0"/>
                <w:color w:val="000000"/>
                <w:sz w:val="20"/>
                <w:szCs w:val="20"/>
                <w:u w:val="none"/>
              </w:rPr>
            </w:pP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60D0BCF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цена</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0D0504F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Общ</w:t>
            </w:r>
            <w:r>
              <w:rPr>
                <w:rFonts w:hint="default" w:ascii="Times New Roman" w:hAnsi="Times New Roman" w:eastAsia="SimSun" w:cs="Times New Roman"/>
                <w:i w:val="0"/>
                <w:iCs w:val="0"/>
                <w:color w:val="000000"/>
                <w:kern w:val="0"/>
                <w:sz w:val="20"/>
                <w:szCs w:val="20"/>
                <w:u w:val="none"/>
                <w:bdr w:val="none" w:color="auto" w:sz="0" w:space="0"/>
                <w:lang w:val="ru-RU" w:eastAsia="zh-CN" w:bidi="ar"/>
                <w14:ligatures w14:val="standardContextual"/>
              </w:rPr>
              <w:t>.</w:t>
            </w: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 xml:space="preserve"> площадь</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707A014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Жил</w:t>
            </w:r>
            <w:r>
              <w:rPr>
                <w:rFonts w:hint="default" w:ascii="Times New Roman" w:hAnsi="Times New Roman" w:eastAsia="SimSun" w:cs="Times New Roman"/>
                <w:i w:val="0"/>
                <w:iCs w:val="0"/>
                <w:color w:val="000000"/>
                <w:kern w:val="0"/>
                <w:sz w:val="20"/>
                <w:szCs w:val="20"/>
                <w:u w:val="none"/>
                <w:bdr w:val="none" w:color="auto" w:sz="0" w:space="0"/>
                <w:lang w:val="ru-RU" w:eastAsia="zh-CN" w:bidi="ar"/>
                <w14:ligatures w14:val="standardContextual"/>
              </w:rPr>
              <w:t>.</w:t>
            </w: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 xml:space="preserve"> площадь</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572CD2B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Пл</w:t>
            </w:r>
            <w:r>
              <w:rPr>
                <w:rFonts w:hint="default" w:ascii="Times New Roman" w:hAnsi="Times New Roman" w:eastAsia="SimSun" w:cs="Times New Roman"/>
                <w:i w:val="0"/>
                <w:iCs w:val="0"/>
                <w:color w:val="000000"/>
                <w:kern w:val="0"/>
                <w:sz w:val="20"/>
                <w:szCs w:val="20"/>
                <w:u w:val="none"/>
                <w:bdr w:val="none" w:color="auto" w:sz="0" w:space="0"/>
                <w:lang w:val="ru-RU" w:eastAsia="zh-CN" w:bidi="ar"/>
                <w14:ligatures w14:val="standardContextual"/>
              </w:rPr>
              <w:t xml:space="preserve">. </w:t>
            </w: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кухни</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4E49050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Кол</w:t>
            </w:r>
            <w:r>
              <w:rPr>
                <w:rFonts w:hint="default" w:ascii="Times New Roman" w:hAnsi="Times New Roman" w:eastAsia="SimSun" w:cs="Times New Roman"/>
                <w:i w:val="0"/>
                <w:iCs w:val="0"/>
                <w:color w:val="000000"/>
                <w:kern w:val="0"/>
                <w:sz w:val="20"/>
                <w:szCs w:val="20"/>
                <w:u w:val="none"/>
                <w:bdr w:val="none" w:color="auto" w:sz="0" w:space="0"/>
                <w:lang w:val="ru-RU" w:eastAsia="zh-CN" w:bidi="ar"/>
                <w14:ligatures w14:val="standardContextual"/>
              </w:rPr>
              <w:t>-</w:t>
            </w: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во комнат</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03E9C0A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транспорт</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26016E0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этаж</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70982F2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этажность дома</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4E9BBDF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высота потолков</w:t>
            </w:r>
          </w:p>
        </w:tc>
      </w:tr>
      <w:tr w14:paraId="11111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2998719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Количество наблюдений</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0597267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300ACC5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41C06C2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6982CF8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3B618C9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0931399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09540F2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6C2CC96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2D76BED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195.0</w:t>
            </w:r>
          </w:p>
        </w:tc>
      </w:tr>
      <w:tr w14:paraId="6353B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4918C1B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Среднее</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26BF49E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9057682.03</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1B58AE8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70.35</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150CD77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42.85</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287AA11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14.62</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1FD50F8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2.1</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106DC90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642.54</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08FF386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6.38</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202F109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10.17</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2CA6443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2.95</w:t>
            </w:r>
          </w:p>
        </w:tc>
      </w:tr>
      <w:tr w14:paraId="2E84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548520A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Стандартное отклонение</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5EFEBE6B">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7100291.17</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67F0D76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25.77</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233D59C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20.87</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3F6C896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6.17</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6DF397F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0.84</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20C50AB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539.69</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76BE969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3.9</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2BCFAB9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4.26</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0DDC690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0.26</w:t>
            </w:r>
          </w:p>
        </w:tc>
      </w:tr>
      <w:tr w14:paraId="58D52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7F369E6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Минимум</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1FFFE0C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1500000.0</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756CEB6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30.0</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260F41A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5.9</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5FB74D5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44E82FC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7071B93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100.0</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37AAC7BB">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0445E14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568655D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w:t>
            </w:r>
          </w:p>
        </w:tc>
      </w:tr>
      <w:tr w14:paraId="72088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100DBB3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Первый квартиль</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4E3EB60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5325000.0</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69EADCC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49.8</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31A834B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26.15</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1049D92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10.0</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2888A9D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075B7C4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243.0</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2AA5211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3.0</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449B5E6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7.0</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1BB471B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2.8</w:t>
            </w:r>
          </w:p>
        </w:tc>
      </w:tr>
      <w:tr w14:paraId="770D3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51021A8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Медиана</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63EB410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7800000.0</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2065322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66.5</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63E9D12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38.9</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576FB50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14.3</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298AACE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3957608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411.0</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5C9399F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6.0</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35A2BAD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10.0</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7EC7012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3.0</w:t>
            </w:r>
          </w:p>
        </w:tc>
      </w:tr>
      <w:tr w14:paraId="10BA0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36E5E46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Третий квартиль</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753767A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10600000.0</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61EB989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84.0</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276482C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53.7</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439814F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18.15</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378E488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3.0</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778ED1D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973.5</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730970F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9.5</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105E501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13.0</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67139F5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3.0</w:t>
            </w:r>
          </w:p>
        </w:tc>
      </w:tr>
      <w:tr w14:paraId="129EF1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33E977E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Максимум</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631E586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80000000.0</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30769B3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166.6</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677AA6B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120.0</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466F878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45.0</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28DEFE2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4.0</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4E432A5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1993.0</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7EE8F08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18.0</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1737B8C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20.0</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323D218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5.0</w:t>
            </w:r>
          </w:p>
        </w:tc>
      </w:tr>
      <w:tr w14:paraId="1FE96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47" w:type="pct"/>
            <w:tcBorders>
              <w:top w:val="single" w:color="auto" w:sz="4" w:space="0"/>
              <w:left w:val="single" w:color="auto" w:sz="4" w:space="0"/>
              <w:bottom w:val="single" w:color="auto" w:sz="4" w:space="0"/>
              <w:right w:val="single" w:color="auto" w:sz="4" w:space="0"/>
            </w:tcBorders>
            <w:shd w:val="clear"/>
            <w:noWrap/>
            <w:vAlign w:val="center"/>
          </w:tcPr>
          <w:p w14:paraId="517BF7E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Мода</w:t>
            </w:r>
          </w:p>
        </w:tc>
        <w:tc>
          <w:tcPr>
            <w:tcW w:w="597" w:type="pct"/>
            <w:tcBorders>
              <w:top w:val="single" w:color="auto" w:sz="4" w:space="0"/>
              <w:left w:val="single" w:color="auto" w:sz="4" w:space="0"/>
              <w:bottom w:val="single" w:color="auto" w:sz="4" w:space="0"/>
              <w:right w:val="single" w:color="auto" w:sz="4" w:space="0"/>
            </w:tcBorders>
            <w:shd w:val="clear"/>
            <w:noWrap/>
            <w:vAlign w:val="center"/>
          </w:tcPr>
          <w:p w14:paraId="6569046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8000000.0</w:t>
            </w:r>
          </w:p>
        </w:tc>
        <w:tc>
          <w:tcPr>
            <w:tcW w:w="461" w:type="pct"/>
            <w:tcBorders>
              <w:top w:val="single" w:color="auto" w:sz="4" w:space="0"/>
              <w:left w:val="single" w:color="auto" w:sz="4" w:space="0"/>
              <w:bottom w:val="single" w:color="auto" w:sz="4" w:space="0"/>
              <w:right w:val="single" w:color="auto" w:sz="4" w:space="0"/>
            </w:tcBorders>
            <w:shd w:val="clear"/>
            <w:noWrap/>
            <w:vAlign w:val="center"/>
          </w:tcPr>
          <w:p w14:paraId="62303F3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45.0</w:t>
            </w:r>
          </w:p>
        </w:tc>
        <w:tc>
          <w:tcPr>
            <w:tcW w:w="455" w:type="pct"/>
            <w:tcBorders>
              <w:top w:val="single" w:color="auto" w:sz="4" w:space="0"/>
              <w:left w:val="single" w:color="auto" w:sz="4" w:space="0"/>
              <w:bottom w:val="single" w:color="auto" w:sz="4" w:space="0"/>
              <w:right w:val="single" w:color="auto" w:sz="4" w:space="0"/>
            </w:tcBorders>
            <w:shd w:val="clear"/>
            <w:noWrap/>
            <w:vAlign w:val="center"/>
          </w:tcPr>
          <w:p w14:paraId="166C110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20.0</w:t>
            </w:r>
          </w:p>
        </w:tc>
        <w:tc>
          <w:tcPr>
            <w:tcW w:w="378" w:type="pct"/>
            <w:tcBorders>
              <w:top w:val="single" w:color="auto" w:sz="4" w:space="0"/>
              <w:left w:val="single" w:color="auto" w:sz="4" w:space="0"/>
              <w:bottom w:val="single" w:color="auto" w:sz="4" w:space="0"/>
              <w:right w:val="single" w:color="auto" w:sz="4" w:space="0"/>
            </w:tcBorders>
            <w:shd w:val="clear"/>
            <w:noWrap/>
            <w:vAlign w:val="center"/>
          </w:tcPr>
          <w:p w14:paraId="1F5DF23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20.0</w:t>
            </w:r>
          </w:p>
        </w:tc>
        <w:tc>
          <w:tcPr>
            <w:tcW w:w="419" w:type="pct"/>
            <w:tcBorders>
              <w:top w:val="single" w:color="auto" w:sz="4" w:space="0"/>
              <w:left w:val="single" w:color="auto" w:sz="4" w:space="0"/>
              <w:bottom w:val="single" w:color="auto" w:sz="4" w:space="0"/>
              <w:right w:val="single" w:color="auto" w:sz="4" w:space="0"/>
            </w:tcBorders>
            <w:shd w:val="clear"/>
            <w:noWrap/>
            <w:vAlign w:val="center"/>
          </w:tcPr>
          <w:p w14:paraId="7E7C3B2B">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1788C2D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128.0</w:t>
            </w:r>
          </w:p>
        </w:tc>
        <w:tc>
          <w:tcPr>
            <w:tcW w:w="325" w:type="pct"/>
            <w:tcBorders>
              <w:top w:val="single" w:color="auto" w:sz="4" w:space="0"/>
              <w:left w:val="single" w:color="auto" w:sz="4" w:space="0"/>
              <w:bottom w:val="single" w:color="auto" w:sz="4" w:space="0"/>
              <w:right w:val="single" w:color="auto" w:sz="4" w:space="0"/>
            </w:tcBorders>
            <w:shd w:val="clear"/>
            <w:noWrap/>
            <w:vAlign w:val="center"/>
          </w:tcPr>
          <w:p w14:paraId="705ED42B">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2.0</w:t>
            </w:r>
          </w:p>
        </w:tc>
        <w:tc>
          <w:tcPr>
            <w:tcW w:w="553" w:type="pct"/>
            <w:tcBorders>
              <w:top w:val="single" w:color="auto" w:sz="4" w:space="0"/>
              <w:left w:val="single" w:color="auto" w:sz="4" w:space="0"/>
              <w:bottom w:val="single" w:color="auto" w:sz="4" w:space="0"/>
              <w:right w:val="single" w:color="auto" w:sz="4" w:space="0"/>
            </w:tcBorders>
            <w:shd w:val="clear"/>
            <w:noWrap/>
            <w:vAlign w:val="center"/>
          </w:tcPr>
          <w:p w14:paraId="278F8BC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10.0</w:t>
            </w:r>
          </w:p>
        </w:tc>
        <w:tc>
          <w:tcPr>
            <w:tcW w:w="614" w:type="pct"/>
            <w:tcBorders>
              <w:top w:val="single" w:color="auto" w:sz="4" w:space="0"/>
              <w:left w:val="single" w:color="auto" w:sz="4" w:space="0"/>
              <w:bottom w:val="single" w:color="auto" w:sz="4" w:space="0"/>
              <w:right w:val="single" w:color="auto" w:sz="4" w:space="0"/>
            </w:tcBorders>
            <w:shd w:val="clear"/>
            <w:noWrap/>
            <w:vAlign w:val="center"/>
          </w:tcPr>
          <w:p w14:paraId="4D32732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3.0</w:t>
            </w:r>
          </w:p>
        </w:tc>
      </w:tr>
    </w:tbl>
    <w:p w14:paraId="60DCC6D0">
      <w:pPr>
        <w:pStyle w:val="8"/>
        <w:jc w:val="center"/>
        <w:rPr>
          <w:rFonts w:ascii="Times New Roman" w:hAnsi="Times New Roman" w:cs="Times New Roman"/>
          <w:b w:val="0"/>
          <w:bCs w:val="0"/>
          <w:color w:val="auto"/>
          <w:sz w:val="24"/>
          <w:szCs w:val="20"/>
        </w:rPr>
      </w:pPr>
      <w:r>
        <w:rPr>
          <w:rFonts w:ascii="Times New Roman" w:hAnsi="Times New Roman" w:cs="Times New Roman"/>
          <w:b w:val="0"/>
          <w:bCs w:val="0"/>
          <w:color w:val="auto"/>
          <w:sz w:val="24"/>
          <w:szCs w:val="20"/>
        </w:rPr>
        <w:t xml:space="preserve">Таблица </w:t>
      </w:r>
      <w:r>
        <w:rPr>
          <w:rFonts w:hint="default" w:ascii="Times New Roman" w:hAnsi="Times New Roman" w:cs="Times New Roman"/>
          <w:b w:val="0"/>
          <w:bCs w:val="0"/>
          <w:color w:val="auto"/>
          <w:sz w:val="24"/>
          <w:szCs w:val="20"/>
          <w:lang w:val="ru-RU"/>
        </w:rPr>
        <w:t>2</w:t>
      </w:r>
      <w:r>
        <w:rPr>
          <w:rFonts w:ascii="Times New Roman" w:hAnsi="Times New Roman" w:cs="Times New Roman"/>
          <w:b w:val="0"/>
          <w:bCs w:val="0"/>
          <w:color w:val="auto"/>
          <w:sz w:val="24"/>
          <w:szCs w:val="20"/>
        </w:rPr>
        <w:t>. Описательная статистика числовых переменных</w:t>
      </w:r>
    </w:p>
    <w:p w14:paraId="0F26F768">
      <w:pPr>
        <w:spacing w:after="200" w:line="240" w:lineRule="auto"/>
        <w:ind w:firstLine="567"/>
        <w:jc w:val="both"/>
      </w:pPr>
      <w:r>
        <w:rPr>
          <w:rFonts w:ascii="Times New Roman" w:hAnsi="Times New Roman" w:eastAsia="Times New Roman" w:cs="Times New Roman"/>
          <w:b/>
          <w:bCs/>
          <w:sz w:val="28"/>
          <w:szCs w:val="28"/>
        </w:rPr>
        <w:t>Цена.</w:t>
      </w:r>
      <w:r>
        <w:rPr>
          <w:rFonts w:ascii="Times New Roman" w:hAnsi="Times New Roman" w:eastAsia="Times New Roman" w:cs="Times New Roman"/>
          <w:sz w:val="28"/>
          <w:szCs w:val="28"/>
        </w:rPr>
        <w:t xml:space="preserve"> Средняя стоимость квартиры на вторичном рынке Махачкалы составляет 9,06 млн руб., при этом медиана (7,8 млн руб.) заметно ниже среднего значения, что указывает на наличие в выборке относительно небольшого числа дорогих объектов, смещающих среднее вверх. Разброс цен очень велик: от 1,5 до 80 млн руб. Стандартное отклонение (7,1 млн руб.) сопоставимо по величине со средним значением (коэффициент вариации около 78%), что говорит о высокой неоднородности вторичного рынка жилья города. Наиболее часто встречающаяся цена — 8 млн руб. Первый квартиль (5,33 млн руб.) и третий квартиль (10,6 млн руб.) показывают, что половина объектов выборки стоит от 5,33 до 10,6 млн руб.</w:t>
      </w:r>
    </w:p>
    <w:p w14:paraId="52B0EC07">
      <w:pPr>
        <w:spacing w:after="200" w:line="240" w:lineRule="auto"/>
        <w:ind w:firstLine="567"/>
        <w:jc w:val="both"/>
      </w:pPr>
      <w:r>
        <w:rPr>
          <w:rFonts w:ascii="Times New Roman" w:hAnsi="Times New Roman" w:eastAsia="Times New Roman" w:cs="Times New Roman"/>
          <w:b/>
          <w:bCs/>
          <w:sz w:val="28"/>
          <w:szCs w:val="28"/>
        </w:rPr>
        <w:t>Общая площадь.</w:t>
      </w:r>
      <w:r>
        <w:rPr>
          <w:rFonts w:ascii="Times New Roman" w:hAnsi="Times New Roman" w:eastAsia="Times New Roman" w:cs="Times New Roman"/>
          <w:sz w:val="28"/>
          <w:szCs w:val="28"/>
        </w:rPr>
        <w:t xml:space="preserve"> Площадь квартир варьируется от 30 до 166,6 м². Среднее значение составляет 70,35 м², медиана — 66,5 м²; разница между ними (около 4 м²) свидетельствует о наличии в выборке отдельных просторных объектов, слегка смещающих среднее. Первый квартиль (49,8 м²) и третий квартиль (84,0 м²) показывают, что 50% квартир имеют площадь от 49,8 до 84,0 м². Наиболее часто встречающаяся площадь — 45 м².</w:t>
      </w:r>
    </w:p>
    <w:p w14:paraId="2F83FA67">
      <w:pPr>
        <w:spacing w:after="200" w:line="240" w:lineRule="auto"/>
        <w:ind w:firstLine="567"/>
        <w:jc w:val="both"/>
      </w:pPr>
      <w:r>
        <w:rPr>
          <w:rFonts w:ascii="Times New Roman" w:hAnsi="Times New Roman" w:eastAsia="Times New Roman" w:cs="Times New Roman"/>
          <w:b/>
          <w:bCs/>
          <w:sz w:val="28"/>
          <w:szCs w:val="28"/>
        </w:rPr>
        <w:t>Жилая площадь.</w:t>
      </w:r>
      <w:r>
        <w:rPr>
          <w:rFonts w:ascii="Times New Roman" w:hAnsi="Times New Roman" w:eastAsia="Times New Roman" w:cs="Times New Roman"/>
          <w:sz w:val="28"/>
          <w:szCs w:val="28"/>
        </w:rPr>
        <w:t xml:space="preserve"> Показатель варьируется от 5,9 до 120,0 м², среднее значение составляет 42,85 м², медиана — 38,9 м², мода — 20,0 м². Соотношение среднего значения жилой площади к среднему значению общей площади составляет около 61%, то есть в среднем чуть более трети площади квартиры приходится на кухню, санузлы, коридоры и прочие нежилые помещения. Первый и третий квартили (26,15 и 53,7 м² соответственно) очерчивают диапазон, в котором находится половина значений выборки.</w:t>
      </w:r>
    </w:p>
    <w:p w14:paraId="754DEBB5">
      <w:pPr>
        <w:spacing w:after="200" w:line="240" w:lineRule="auto"/>
        <w:ind w:firstLine="567"/>
        <w:jc w:val="both"/>
      </w:pPr>
      <w:r>
        <w:rPr>
          <w:rFonts w:ascii="Times New Roman" w:hAnsi="Times New Roman" w:eastAsia="Times New Roman" w:cs="Times New Roman"/>
          <w:b/>
          <w:bCs/>
          <w:sz w:val="28"/>
          <w:szCs w:val="28"/>
        </w:rPr>
        <w:t>Площадь кухни.</w:t>
      </w:r>
      <w:r>
        <w:rPr>
          <w:rFonts w:ascii="Times New Roman" w:hAnsi="Times New Roman" w:eastAsia="Times New Roman" w:cs="Times New Roman"/>
          <w:sz w:val="28"/>
          <w:szCs w:val="28"/>
        </w:rPr>
        <w:t xml:space="preserve"> Значения варьируются от 2,0 до 45,0 м², при среднем значении 14,62 м² и медиане 14,3 м². Мода (20,0 м²) заметно превышает медиану, что может объясняться распространённостью квартир-студий или квартир с кухней-гостиной, где кухонная зона объединена с жилой. Стандартное отклонение (6,17 м²) указывает на умеренный разброс значений; первый и третий квартили составляют 10,0 и 18,15 м² соответственно.</w:t>
      </w:r>
    </w:p>
    <w:p w14:paraId="5F49CA43">
      <w:pPr>
        <w:spacing w:after="200" w:line="240" w:lineRule="auto"/>
        <w:ind w:firstLine="567"/>
        <w:jc w:val="both"/>
      </w:pPr>
      <w:r>
        <w:rPr>
          <w:rFonts w:ascii="Times New Roman" w:hAnsi="Times New Roman" w:eastAsia="Times New Roman" w:cs="Times New Roman"/>
          <w:b/>
          <w:bCs/>
          <w:sz w:val="28"/>
          <w:szCs w:val="28"/>
        </w:rPr>
        <w:t>Количество комнат.</w:t>
      </w:r>
      <w:r>
        <w:rPr>
          <w:rFonts w:ascii="Times New Roman" w:hAnsi="Times New Roman" w:eastAsia="Times New Roman" w:cs="Times New Roman"/>
          <w:sz w:val="28"/>
          <w:szCs w:val="28"/>
        </w:rPr>
        <w:t xml:space="preserve"> Значения принимают целые числа от 1 до 4. Среднее составляет 2,1, медиана и мода совпадают и равны 2. Стандартное отклонение (0,84) невелико, что говорит об относительной однородности выборки по этому показателю: основную часть предложения на вторичном рынке Махачкалы составляют одно-, двух- и трёхкомнатные квартиры, тогда как многокомнатные объекты (более 4 комнат) в выборке отсутствуют.</w:t>
      </w:r>
    </w:p>
    <w:p w14:paraId="75BDCC08">
      <w:pPr>
        <w:spacing w:after="200" w:line="240" w:lineRule="auto"/>
        <w:ind w:firstLine="567"/>
        <w:jc w:val="both"/>
      </w:pPr>
      <w:r>
        <w:rPr>
          <w:rFonts w:ascii="Times New Roman" w:hAnsi="Times New Roman" w:eastAsia="Times New Roman" w:cs="Times New Roman"/>
          <w:b/>
          <w:bCs/>
          <w:sz w:val="28"/>
          <w:szCs w:val="28"/>
        </w:rPr>
        <w:t>Расстояние до общественного транспорта.</w:t>
      </w:r>
      <w:r>
        <w:rPr>
          <w:rFonts w:ascii="Times New Roman" w:hAnsi="Times New Roman" w:eastAsia="Times New Roman" w:cs="Times New Roman"/>
          <w:sz w:val="28"/>
          <w:szCs w:val="28"/>
        </w:rPr>
        <w:t xml:space="preserve"> Показатель варьируется от 100 до 1993 м, то есть от квартир, расположенных практически рядом с остановкой, до объектов, удалённых от неё почти на 2 км. Среднее значение составляет 642,54 м, медиана — 411 м, мода — 128 м. Существенное превышение среднего значения над медианой, а также высокое стандартное отклонение (539,69 м) свидетельствуют о правосторонней асимметрии распределения: большинство квартир расположено относительно недалеко от остановок, но в выборке присутствует заметная доля объектов со значительной удалённостью, которые смещают среднее значение вверх. Первый и третий квартили (243 и 973,5 м) показывают, что для половины объектов расстояние до транспорта не превышает 973,5 м.</w:t>
      </w:r>
    </w:p>
    <w:p w14:paraId="4A484D58">
      <w:pPr>
        <w:spacing w:after="200" w:line="240" w:lineRule="auto"/>
        <w:ind w:firstLine="567"/>
        <w:jc w:val="both"/>
      </w:pPr>
      <w:r>
        <w:rPr>
          <w:rFonts w:ascii="Times New Roman" w:hAnsi="Times New Roman" w:eastAsia="Times New Roman" w:cs="Times New Roman"/>
          <w:b/>
          <w:bCs/>
          <w:sz w:val="28"/>
          <w:szCs w:val="28"/>
        </w:rPr>
        <w:t>Этаж.</w:t>
      </w:r>
      <w:r>
        <w:rPr>
          <w:rFonts w:ascii="Times New Roman" w:hAnsi="Times New Roman" w:eastAsia="Times New Roman" w:cs="Times New Roman"/>
          <w:sz w:val="28"/>
          <w:szCs w:val="28"/>
        </w:rPr>
        <w:t xml:space="preserve"> Этаж расположения квартиры в среднем составляет 6,38, медиана равна 6. Значения варьируются от 1-го до 18-го этажа; первый и третий квартили (3 и 9,5) показывают, что большая часть объектов расположена в диапазоне от 3-го до 9–10-го этажа. Наиболее часто встречающийся этаж — 2-й.</w:t>
      </w:r>
    </w:p>
    <w:p w14:paraId="56E340F3">
      <w:pPr>
        <w:spacing w:after="200" w:line="240" w:lineRule="auto"/>
        <w:ind w:firstLine="567"/>
        <w:jc w:val="both"/>
      </w:pPr>
      <w:r>
        <w:rPr>
          <w:rFonts w:ascii="Times New Roman" w:hAnsi="Times New Roman" w:eastAsia="Times New Roman" w:cs="Times New Roman"/>
          <w:b/>
          <w:bCs/>
          <w:sz w:val="28"/>
          <w:szCs w:val="28"/>
        </w:rPr>
        <w:t>Этажность дома.</w:t>
      </w:r>
      <w:r>
        <w:rPr>
          <w:rFonts w:ascii="Times New Roman" w:hAnsi="Times New Roman" w:eastAsia="Times New Roman" w:cs="Times New Roman"/>
          <w:sz w:val="28"/>
          <w:szCs w:val="28"/>
        </w:rPr>
        <w:t xml:space="preserve"> Количество этажей в доме варьируется от 2 до 20. Среднее значение (10,17), медиана (10) и мода (10) практически совпадают, что говорит об относительно симметричном распределении показателя. Первый и третий квартили (7 и 13 этажей) свидетельствуют о значительном разнообразии жилого фонда Махачкалы — от малоэтажных домов советской постройки до современных высотных комплексов.</w:t>
      </w:r>
    </w:p>
    <w:p w14:paraId="677C1351">
      <w:pPr>
        <w:spacing w:after="200" w:line="240" w:lineRule="auto"/>
        <w:ind w:firstLine="567"/>
        <w:jc w:val="both"/>
      </w:pPr>
      <w:r>
        <w:rPr>
          <w:rFonts w:ascii="Times New Roman" w:hAnsi="Times New Roman" w:eastAsia="Times New Roman" w:cs="Times New Roman"/>
          <w:b/>
          <w:bCs/>
          <w:sz w:val="28"/>
          <w:szCs w:val="28"/>
        </w:rPr>
        <w:t>Высота потолков.</w:t>
      </w:r>
      <w:r>
        <w:rPr>
          <w:rFonts w:ascii="Times New Roman" w:hAnsi="Times New Roman" w:eastAsia="Times New Roman" w:cs="Times New Roman"/>
          <w:sz w:val="28"/>
          <w:szCs w:val="28"/>
        </w:rPr>
        <w:t xml:space="preserve"> Показатель варьируется от 2,0 до 5,0 м, при этом среднее значение (2,95 м) и медиана (3,0 м) близки друг к другу, а мода составляет 3,0 м. Небольшое стандартное отклонение (0,26 м) указывает на относительную однородность выборки по этому признаку: подавляющее большинство квартир имеет потолки высотой от 2,8 до 3,0 м, тогда как максимальное значение (5,0 м) указывает на единичное присутствие в выборке нестандартных (например, мансардных или многосветных) помещений.</w:t>
      </w:r>
    </w:p>
    <w:p w14:paraId="3B4BD9A5">
      <w:pPr>
        <w:spacing w:after="200" w:line="24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 Визуальный анализ подтверждает сделанные выше выводы о правосторонней асимметрии распределения цены и площади квартир: основная масса объектов сосредоточена в области сравнительно невысоких значений, тогда как единичные дорогие и крупные объекты образуют длинный правый «хвост» распределения и формируют выбросы на диаграммах размаха.</w:t>
      </w:r>
    </w:p>
    <w:p w14:paraId="6BBC0604">
      <w:pPr>
        <w:spacing w:after="200" w:line="240" w:lineRule="auto"/>
        <w:ind w:firstLine="567"/>
        <w:jc w:val="both"/>
        <w:rPr>
          <w:rFonts w:ascii="Times New Roman" w:hAnsi="Times New Roman" w:eastAsia="Times New Roman" w:cs="Times New Roman"/>
          <w:sz w:val="28"/>
          <w:szCs w:val="28"/>
          <w:u w:val="single"/>
        </w:rPr>
      </w:pPr>
      <w:r>
        <w:rPr>
          <w:rFonts w:ascii="Times New Roman" w:hAnsi="Times New Roman" w:eastAsia="Times New Roman" w:cs="Times New Roman"/>
          <w:sz w:val="28"/>
          <w:szCs w:val="28"/>
          <w:u w:val="single"/>
        </w:rPr>
        <w:t>Гистограмма распределения цен и диаграмма размаха цен представлены в Приложениях А и В соответственно; гистограмма распределения общей площади и диаграмма размаха общей площади — в Приложениях Б и Г.</w:t>
      </w:r>
    </w:p>
    <w:p w14:paraId="3F3D238E">
      <w:pPr>
        <w:spacing w:after="200" w:line="240" w:lineRule="auto"/>
        <w:ind w:firstLine="567"/>
        <w:jc w:val="both"/>
        <w:rPr>
          <w:rFonts w:ascii="Times New Roman" w:hAnsi="Times New Roman" w:eastAsia="Times New Roman" w:cs="Times New Roman"/>
          <w:sz w:val="28"/>
          <w:szCs w:val="28"/>
        </w:rPr>
      </w:pPr>
    </w:p>
    <w:p w14:paraId="04E8E7A0">
      <w:pPr>
        <w:spacing w:after="200" w:line="240" w:lineRule="auto"/>
        <w:ind w:firstLine="567"/>
        <w:jc w:val="both"/>
        <w:rPr>
          <w:rFonts w:ascii="Times New Roman" w:hAnsi="Times New Roman" w:eastAsia="Times New Roman" w:cs="Times New Roman"/>
          <w:sz w:val="28"/>
          <w:szCs w:val="28"/>
        </w:rPr>
      </w:pPr>
    </w:p>
    <w:p w14:paraId="4C566E46">
      <w:pPr>
        <w:spacing w:after="200" w:line="240" w:lineRule="auto"/>
        <w:ind w:firstLine="567"/>
        <w:jc w:val="both"/>
        <w:rPr>
          <w:rFonts w:ascii="Times New Roman" w:hAnsi="Times New Roman" w:eastAsia="Times New Roman" w:cs="Times New Roman"/>
          <w:sz w:val="28"/>
          <w:szCs w:val="28"/>
        </w:rPr>
      </w:pPr>
    </w:p>
    <w:p w14:paraId="00B4F8CE">
      <w:pPr>
        <w:spacing w:after="200" w:line="240" w:lineRule="auto"/>
        <w:ind w:firstLine="567"/>
        <w:jc w:val="both"/>
        <w:rPr>
          <w:rFonts w:ascii="Times New Roman" w:hAnsi="Times New Roman" w:eastAsia="Times New Roman" w:cs="Times New Roman"/>
          <w:sz w:val="28"/>
          <w:szCs w:val="28"/>
        </w:rPr>
      </w:pPr>
    </w:p>
    <w:p w14:paraId="05ED483D">
      <w:pPr>
        <w:spacing w:after="200" w:line="240" w:lineRule="auto"/>
        <w:ind w:firstLine="567"/>
        <w:jc w:val="both"/>
        <w:rPr>
          <w:rFonts w:ascii="Times New Roman" w:hAnsi="Times New Roman" w:eastAsia="Times New Roman" w:cs="Times New Roman"/>
          <w:sz w:val="28"/>
          <w:szCs w:val="28"/>
        </w:rPr>
      </w:pPr>
    </w:p>
    <w:p w14:paraId="47618584">
      <w:pPr>
        <w:spacing w:after="200" w:line="240" w:lineRule="auto"/>
        <w:ind w:firstLine="567"/>
        <w:jc w:val="both"/>
        <w:rPr>
          <w:rFonts w:ascii="Times New Roman" w:hAnsi="Times New Roman" w:eastAsia="Times New Roman" w:cs="Times New Roman"/>
          <w:sz w:val="28"/>
          <w:szCs w:val="28"/>
        </w:rPr>
      </w:pPr>
    </w:p>
    <w:p w14:paraId="2FA06638">
      <w:pPr>
        <w:spacing w:after="200" w:line="240" w:lineRule="auto"/>
        <w:ind w:firstLine="567"/>
        <w:jc w:val="both"/>
        <w:rPr>
          <w:rFonts w:ascii="Times New Roman" w:hAnsi="Times New Roman" w:eastAsia="Times New Roman" w:cs="Times New Roman"/>
          <w:sz w:val="28"/>
          <w:szCs w:val="28"/>
        </w:rPr>
      </w:pPr>
    </w:p>
    <w:p w14:paraId="0EFF28DF">
      <w:pPr>
        <w:spacing w:after="200" w:line="240" w:lineRule="auto"/>
        <w:ind w:firstLine="567"/>
        <w:jc w:val="both"/>
        <w:rPr>
          <w:rFonts w:ascii="Times New Roman" w:hAnsi="Times New Roman" w:eastAsia="Times New Roman" w:cs="Times New Roman"/>
          <w:sz w:val="28"/>
          <w:szCs w:val="28"/>
        </w:rPr>
      </w:pPr>
    </w:p>
    <w:p w14:paraId="50CCA4E0">
      <w:pPr>
        <w:spacing w:after="200" w:line="240" w:lineRule="auto"/>
        <w:ind w:firstLine="567"/>
        <w:jc w:val="both"/>
        <w:rPr>
          <w:rFonts w:ascii="Times New Roman" w:hAnsi="Times New Roman" w:eastAsia="Times New Roman" w:cs="Times New Roman"/>
          <w:sz w:val="28"/>
          <w:szCs w:val="28"/>
        </w:rPr>
      </w:pPr>
    </w:p>
    <w:p w14:paraId="64FD079C">
      <w:pPr>
        <w:spacing w:after="200" w:line="240" w:lineRule="auto"/>
        <w:ind w:firstLine="567"/>
        <w:jc w:val="both"/>
        <w:rPr>
          <w:rFonts w:ascii="Times New Roman" w:hAnsi="Times New Roman" w:eastAsia="Times New Roman" w:cs="Times New Roman"/>
          <w:sz w:val="28"/>
          <w:szCs w:val="28"/>
        </w:rPr>
      </w:pPr>
    </w:p>
    <w:p w14:paraId="10BCB5B9">
      <w:pPr>
        <w:spacing w:after="200" w:line="240" w:lineRule="auto"/>
        <w:ind w:firstLine="567"/>
        <w:jc w:val="both"/>
        <w:rPr>
          <w:rFonts w:ascii="Times New Roman" w:hAnsi="Times New Roman" w:eastAsia="Times New Roman" w:cs="Times New Roman"/>
          <w:sz w:val="28"/>
          <w:szCs w:val="28"/>
        </w:rPr>
      </w:pPr>
    </w:p>
    <w:p w14:paraId="17903E85">
      <w:pPr>
        <w:spacing w:after="200" w:line="240" w:lineRule="auto"/>
        <w:ind w:firstLine="567"/>
        <w:jc w:val="both"/>
        <w:rPr>
          <w:rFonts w:ascii="Times New Roman" w:hAnsi="Times New Roman" w:eastAsia="Times New Roman" w:cs="Times New Roman"/>
          <w:sz w:val="28"/>
          <w:szCs w:val="28"/>
        </w:rPr>
      </w:pPr>
    </w:p>
    <w:p w14:paraId="38015428">
      <w:pPr>
        <w:spacing w:after="200" w:line="240" w:lineRule="auto"/>
        <w:ind w:firstLine="567"/>
        <w:jc w:val="both"/>
        <w:rPr>
          <w:rFonts w:ascii="Times New Roman" w:hAnsi="Times New Roman" w:eastAsia="Times New Roman" w:cs="Times New Roman"/>
          <w:sz w:val="28"/>
          <w:szCs w:val="28"/>
        </w:rPr>
      </w:pPr>
    </w:p>
    <w:p w14:paraId="25F0B9BC">
      <w:pPr>
        <w:spacing w:after="200" w:line="240" w:lineRule="auto"/>
        <w:ind w:firstLine="567"/>
        <w:jc w:val="both"/>
        <w:rPr>
          <w:rFonts w:ascii="Times New Roman" w:hAnsi="Times New Roman" w:eastAsia="Times New Roman" w:cs="Times New Roman"/>
          <w:sz w:val="28"/>
          <w:szCs w:val="28"/>
        </w:rPr>
      </w:pPr>
    </w:p>
    <w:p w14:paraId="21B7A8CB">
      <w:pPr>
        <w:pStyle w:val="2"/>
        <w:bidi w:val="0"/>
        <w:jc w:val="center"/>
        <w:rPr>
          <w:rFonts w:hint="default" w:ascii="Times New Roman" w:hAnsi="Times New Roman" w:cs="Times New Roman"/>
          <w:sz w:val="28"/>
          <w:szCs w:val="28"/>
        </w:rPr>
      </w:pPr>
      <w:bookmarkStart w:id="8" w:name="_Toc21525"/>
      <w:r>
        <w:rPr>
          <w:rFonts w:hint="default" w:ascii="Times New Roman" w:hAnsi="Times New Roman" w:cs="Times New Roman"/>
          <w:sz w:val="28"/>
          <w:szCs w:val="28"/>
        </w:rPr>
        <w:t>КОРРЕЛЯЦИОННЫЙ АНАЛИЗ</w:t>
      </w:r>
      <w:bookmarkEnd w:id="8"/>
    </w:p>
    <w:p w14:paraId="5355F5E2">
      <w:pPr>
        <w:spacing w:before="200" w:after="150"/>
        <w:jc w:val="left"/>
      </w:pPr>
      <w:r>
        <w:rPr>
          <w:rFonts w:ascii="Times New Roman" w:hAnsi="Times New Roman" w:eastAsia="Times New Roman" w:cs="Times New Roman"/>
          <w:b/>
          <w:bCs/>
          <w:sz w:val="28"/>
          <w:szCs w:val="28"/>
        </w:rPr>
        <w:t>Матрица корреляций Пирсона</w:t>
      </w:r>
    </w:p>
    <w:p w14:paraId="5A1AC87C">
      <w:pPr>
        <w:spacing w:after="200" w:line="240" w:lineRule="auto"/>
        <w:ind w:firstLine="567"/>
        <w:jc w:val="both"/>
      </w:pPr>
      <w:r>
        <w:rPr>
          <w:rFonts w:ascii="Times New Roman" w:hAnsi="Times New Roman" w:eastAsia="Times New Roman" w:cs="Times New Roman"/>
          <w:sz w:val="28"/>
          <w:szCs w:val="28"/>
        </w:rPr>
        <w:t xml:space="preserve">Для выявления линейных связей между стоимостью квартир и их характеристиками использован коэффициент корреляции Пирсона r, который рассчитывается как отношение ковариации двух переменных к произведению их стандартных отклонений: r = Σ(xᵢ − x̄)(yᵢ − ȳ) / √(Σ(xᵢ − x̄)² · Σ(yᵢ − ȳ)²), где xᵢ и yᵢ — значения сравниваемых характеристик, x̄ и ȳ — их средние арифметические. Коэффициент принимает значения от −1 до 1: чем ближе |r| к единице, тем теснее линейная связь между переменными, а знак указывает на её направление — прямое (положительный r) или обратное (отрицательный r). </w:t>
      </w:r>
    </w:p>
    <w:tbl>
      <w:tblPr>
        <w:tblW w:w="5918" w:type="pct"/>
        <w:tblInd w:w="-106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452"/>
        <w:gridCol w:w="748"/>
        <w:gridCol w:w="1000"/>
        <w:gridCol w:w="1050"/>
        <w:gridCol w:w="1025"/>
        <w:gridCol w:w="1125"/>
        <w:gridCol w:w="1187"/>
        <w:gridCol w:w="813"/>
        <w:gridCol w:w="1175"/>
        <w:gridCol w:w="1286"/>
      </w:tblGrid>
      <w:tr w14:paraId="4A6CE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0D8C7DFB">
            <w:pPr>
              <w:rPr>
                <w:rFonts w:hint="default" w:ascii="Times New Roman" w:hAnsi="Times New Roman" w:cs="Times New Roman"/>
                <w:i w:val="0"/>
                <w:iCs w:val="0"/>
                <w:color w:val="000000"/>
                <w:sz w:val="20"/>
                <w:szCs w:val="20"/>
                <w:u w:val="none"/>
              </w:rPr>
            </w:pP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7B9473C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цена</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72F21A0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общая площадь</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3381518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жилая площадь</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3CA60E1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площадь кухни</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6E08B64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количество комнат</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7DF92AF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транспорт</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3350A45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этаж</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54B35D3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этажность дома</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1A93AC0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высота потолков</w:t>
            </w:r>
          </w:p>
        </w:tc>
      </w:tr>
      <w:tr w14:paraId="0A7009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7E767B2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цена</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418CBBC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4A0E8A1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0.584</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36413CC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0.581</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038A51D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0.162</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4955712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0.523</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3097B9A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-0.053</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644B5EE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0.08</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648F724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0.02</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62BA458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0.025</w:t>
            </w:r>
          </w:p>
        </w:tc>
      </w:tr>
      <w:tr w14:paraId="5755E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4608B1C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общая площадь</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4FB6150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0.584</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7453D81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18CC1BD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0.884</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3A16420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0.424</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04AFC7F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0.674</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752ED00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-0.033</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6C12B2F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0.232</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1DA43CD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0.277</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19FE05E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0.106</w:t>
            </w:r>
          </w:p>
        </w:tc>
      </w:tr>
      <w:tr w14:paraId="29D47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7E827EE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жилая площадь</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4E3C099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0.581</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1814B42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0.884</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5CAC6F4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5AB2EA0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0.174</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6FBDDA3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0.683</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3B8AF89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-0.079</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5179F6C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0.168</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1837D11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0.214</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0B822FA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0.038</w:t>
            </w:r>
          </w:p>
        </w:tc>
      </w:tr>
      <w:tr w14:paraId="4BDD6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2EB8B78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площадь кухни</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690E933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0.162</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324A5D5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0.424</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1694B955">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0.174</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2E048C1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18E9F6F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234BFD7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0.055</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53A6015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0.133</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63A3996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0.237</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7954D40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0.287</w:t>
            </w:r>
          </w:p>
        </w:tc>
      </w:tr>
      <w:tr w14:paraId="47A6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017CAB4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количество комнат</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620DB6C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0.523</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5437FDF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0.674</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7128780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0.683</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3B570E3B">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440ED96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4ED27D0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-0.064</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032C2FC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0.079</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03E3CF5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-0.031</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2F15CBE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-0.112</w:t>
            </w:r>
          </w:p>
        </w:tc>
      </w:tr>
      <w:tr w14:paraId="62326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1CB382F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транспорт</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4D5BB58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-0.053</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5C7F210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-0.033</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4F84ADB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-0.079</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3D96E2A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0.055</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6F5CCCE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-0.064</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128A6CFE">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4F0E23E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0.098</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290EFF9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0.047</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01CB12D1">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0.001</w:t>
            </w:r>
          </w:p>
        </w:tc>
      </w:tr>
      <w:tr w14:paraId="67503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703292B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этаж</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5FF87D3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0.08</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284C93CB">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0.232</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4477B4A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0.168</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1AEB0AEF">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0.133</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637ED65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0.079</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39AC8E7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0.098</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47FFDE6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4797EEC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0.611</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575E370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0.072</w:t>
            </w:r>
          </w:p>
        </w:tc>
      </w:tr>
      <w:tr w14:paraId="4B021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764E771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общая этажность дома</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23E7A1E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0.02</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6131433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0.277</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607A4258">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0.214</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5D9D79F2">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0.237</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7104CA2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-0.031</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522C6ADC">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0.047</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43D315A9">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0.611</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22750304">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43C9180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0.264</w:t>
            </w:r>
          </w:p>
        </w:tc>
      </w:tr>
      <w:tr w14:paraId="254A4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668" w:type="pct"/>
            <w:tcBorders>
              <w:top w:val="single" w:color="auto" w:sz="4" w:space="0"/>
              <w:left w:val="single" w:color="auto" w:sz="4" w:space="0"/>
              <w:bottom w:val="single" w:color="auto" w:sz="4" w:space="0"/>
              <w:right w:val="single" w:color="auto" w:sz="4" w:space="0"/>
            </w:tcBorders>
            <w:shd w:val="clear"/>
            <w:noWrap/>
            <w:vAlign w:val="center"/>
          </w:tcPr>
          <w:p w14:paraId="6296AF3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высота потолков</w:t>
            </w:r>
          </w:p>
        </w:tc>
        <w:tc>
          <w:tcPr>
            <w:tcW w:w="344" w:type="pct"/>
            <w:tcBorders>
              <w:top w:val="single" w:color="auto" w:sz="4" w:space="0"/>
              <w:left w:val="single" w:color="auto" w:sz="4" w:space="0"/>
              <w:bottom w:val="single" w:color="auto" w:sz="4" w:space="0"/>
              <w:right w:val="single" w:color="auto" w:sz="4" w:space="0"/>
            </w:tcBorders>
            <w:shd w:val="clear"/>
            <w:noWrap/>
            <w:vAlign w:val="center"/>
          </w:tcPr>
          <w:p w14:paraId="56666FED">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0.025</w:t>
            </w:r>
          </w:p>
        </w:tc>
        <w:tc>
          <w:tcPr>
            <w:tcW w:w="460" w:type="pct"/>
            <w:tcBorders>
              <w:top w:val="single" w:color="auto" w:sz="4" w:space="0"/>
              <w:left w:val="single" w:color="auto" w:sz="4" w:space="0"/>
              <w:bottom w:val="single" w:color="auto" w:sz="4" w:space="0"/>
              <w:right w:val="single" w:color="auto" w:sz="4" w:space="0"/>
            </w:tcBorders>
            <w:shd w:val="clear"/>
            <w:noWrap/>
            <w:vAlign w:val="center"/>
          </w:tcPr>
          <w:p w14:paraId="1EB79F56">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0.106</w:t>
            </w:r>
          </w:p>
        </w:tc>
        <w:tc>
          <w:tcPr>
            <w:tcW w:w="483" w:type="pct"/>
            <w:tcBorders>
              <w:top w:val="single" w:color="auto" w:sz="4" w:space="0"/>
              <w:left w:val="single" w:color="auto" w:sz="4" w:space="0"/>
              <w:bottom w:val="single" w:color="auto" w:sz="4" w:space="0"/>
              <w:right w:val="single" w:color="auto" w:sz="4" w:space="0"/>
            </w:tcBorders>
            <w:shd w:val="clear"/>
            <w:noWrap/>
            <w:vAlign w:val="center"/>
          </w:tcPr>
          <w:p w14:paraId="02E735C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0.038</w:t>
            </w:r>
          </w:p>
        </w:tc>
        <w:tc>
          <w:tcPr>
            <w:tcW w:w="471" w:type="pct"/>
            <w:tcBorders>
              <w:top w:val="single" w:color="auto" w:sz="4" w:space="0"/>
              <w:left w:val="single" w:color="auto" w:sz="4" w:space="0"/>
              <w:bottom w:val="single" w:color="auto" w:sz="4" w:space="0"/>
              <w:right w:val="single" w:color="auto" w:sz="4" w:space="0"/>
            </w:tcBorders>
            <w:shd w:val="clear"/>
            <w:noWrap/>
            <w:vAlign w:val="center"/>
          </w:tcPr>
          <w:p w14:paraId="2A2EF0A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0.287</w:t>
            </w:r>
          </w:p>
        </w:tc>
        <w:tc>
          <w:tcPr>
            <w:tcW w:w="517" w:type="pct"/>
            <w:tcBorders>
              <w:top w:val="single" w:color="auto" w:sz="4" w:space="0"/>
              <w:left w:val="single" w:color="auto" w:sz="4" w:space="0"/>
              <w:bottom w:val="single" w:color="auto" w:sz="4" w:space="0"/>
              <w:right w:val="single" w:color="auto" w:sz="4" w:space="0"/>
            </w:tcBorders>
            <w:shd w:val="clear"/>
            <w:noWrap/>
            <w:vAlign w:val="center"/>
          </w:tcPr>
          <w:p w14:paraId="6ED2DB37">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-0.112</w:t>
            </w:r>
          </w:p>
        </w:tc>
        <w:tc>
          <w:tcPr>
            <w:tcW w:w="546" w:type="pct"/>
            <w:tcBorders>
              <w:top w:val="single" w:color="auto" w:sz="4" w:space="0"/>
              <w:left w:val="single" w:color="auto" w:sz="4" w:space="0"/>
              <w:bottom w:val="single" w:color="auto" w:sz="4" w:space="0"/>
              <w:right w:val="single" w:color="auto" w:sz="4" w:space="0"/>
            </w:tcBorders>
            <w:shd w:val="clear"/>
            <w:noWrap/>
            <w:vAlign w:val="center"/>
          </w:tcPr>
          <w:p w14:paraId="2F2E7D20">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0.001</w:t>
            </w:r>
          </w:p>
        </w:tc>
        <w:tc>
          <w:tcPr>
            <w:tcW w:w="374" w:type="pct"/>
            <w:tcBorders>
              <w:top w:val="single" w:color="auto" w:sz="4" w:space="0"/>
              <w:left w:val="single" w:color="auto" w:sz="4" w:space="0"/>
              <w:bottom w:val="single" w:color="auto" w:sz="4" w:space="0"/>
              <w:right w:val="single" w:color="auto" w:sz="4" w:space="0"/>
            </w:tcBorders>
            <w:shd w:val="clear"/>
            <w:noWrap/>
            <w:vAlign w:val="center"/>
          </w:tcPr>
          <w:p w14:paraId="4B6365BB">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0.072</w:t>
            </w:r>
          </w:p>
        </w:tc>
        <w:tc>
          <w:tcPr>
            <w:tcW w:w="540" w:type="pct"/>
            <w:tcBorders>
              <w:top w:val="single" w:color="auto" w:sz="4" w:space="0"/>
              <w:left w:val="single" w:color="auto" w:sz="4" w:space="0"/>
              <w:bottom w:val="single" w:color="auto" w:sz="4" w:space="0"/>
              <w:right w:val="single" w:color="auto" w:sz="4" w:space="0"/>
            </w:tcBorders>
            <w:shd w:val="clear"/>
            <w:noWrap/>
            <w:vAlign w:val="center"/>
          </w:tcPr>
          <w:p w14:paraId="0A403E03">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0.264</w:t>
            </w:r>
          </w:p>
        </w:tc>
        <w:tc>
          <w:tcPr>
            <w:tcW w:w="592" w:type="pct"/>
            <w:tcBorders>
              <w:top w:val="single" w:color="auto" w:sz="4" w:space="0"/>
              <w:left w:val="single" w:color="auto" w:sz="4" w:space="0"/>
              <w:bottom w:val="single" w:color="auto" w:sz="4" w:space="0"/>
              <w:right w:val="single" w:color="auto" w:sz="4" w:space="0"/>
            </w:tcBorders>
            <w:shd w:val="clear"/>
            <w:noWrap/>
            <w:vAlign w:val="center"/>
          </w:tcPr>
          <w:p w14:paraId="22C5E23A">
            <w:pPr>
              <w:keepNext w:val="0"/>
              <w:keepLines w:val="0"/>
              <w:widowControl/>
              <w:suppressLineNumbers w:val="0"/>
              <w:jc w:val="left"/>
              <w:textAlignment w:val="center"/>
              <w:rPr>
                <w:rFonts w:hint="default" w:ascii="Times New Roman" w:hAnsi="Times New Roman" w:cs="Times New Roman"/>
                <w:i w:val="0"/>
                <w:iCs w:val="0"/>
                <w:color w:val="000000"/>
                <w:sz w:val="20"/>
                <w:szCs w:val="20"/>
                <w:u w:val="none"/>
              </w:rPr>
            </w:pPr>
            <w:r>
              <w:rPr>
                <w:rFonts w:hint="default" w:ascii="Times New Roman" w:hAnsi="Times New Roman" w:eastAsia="SimSun" w:cs="Times New Roman"/>
                <w:i w:val="0"/>
                <w:iCs w:val="0"/>
                <w:color w:val="000000"/>
                <w:kern w:val="0"/>
                <w:sz w:val="20"/>
                <w:szCs w:val="20"/>
                <w:u w:val="none"/>
                <w:bdr w:val="none" w:color="auto" w:sz="0" w:space="0"/>
                <w:lang w:val="en-US" w:eastAsia="zh-CN" w:bidi="ar"/>
                <w14:ligatures w14:val="standardContextual"/>
              </w:rPr>
              <w:t>1.0</w:t>
            </w:r>
          </w:p>
        </w:tc>
      </w:tr>
    </w:tbl>
    <w:p w14:paraId="1F291352">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rPr>
        <w:t xml:space="preserve">Таблица </w:t>
      </w:r>
      <w:r>
        <w:rPr>
          <w:rFonts w:hint="default" w:ascii="Times New Roman" w:hAnsi="Times New Roman" w:cs="Times New Roman"/>
          <w:b w:val="0"/>
          <w:bCs w:val="0"/>
          <w:color w:val="auto"/>
          <w:sz w:val="24"/>
          <w:lang w:val="ru-RU"/>
        </w:rPr>
        <w:t>3</w:t>
      </w:r>
      <w:r>
        <w:rPr>
          <w:rFonts w:ascii="Times New Roman" w:hAnsi="Times New Roman" w:cs="Times New Roman"/>
          <w:b w:val="0"/>
          <w:bCs w:val="0"/>
          <w:color w:val="auto"/>
          <w:sz w:val="24"/>
        </w:rPr>
        <w:t>. Матрица корреляций Пирсона</w:t>
      </w:r>
    </w:p>
    <w:p w14:paraId="3FCCBF07">
      <w:pPr>
        <w:spacing w:after="200" w:line="240" w:lineRule="auto"/>
        <w:ind w:firstLine="567"/>
        <w:jc w:val="both"/>
      </w:pPr>
      <w:r>
        <w:rPr>
          <w:rFonts w:ascii="Times New Roman" w:hAnsi="Times New Roman" w:eastAsia="Times New Roman" w:cs="Times New Roman"/>
          <w:sz w:val="28"/>
          <w:szCs w:val="28"/>
        </w:rPr>
        <w:t>Наиболее тесно с ценой связана общая площадь квартиры (r = 0,584): её увеличение стабильно сопровождается ростом стоимости объекта, а квадрат коэффициента корреляции (r² ≈ 0,341) показывает, что вариация площади самостоятельно объясняет около трети разброса цен в выборке. Практически такую же по силе связь с ценой демонстрирует жилая площадь (r = 0,581) — что закономерно, поскольку жилая и общая площадь сами тесно взаимосвязаны между собой (r = 0,884 — самая сильная зависимость среди всех пар переменных выборки).</w:t>
      </w:r>
    </w:p>
    <w:p w14:paraId="7B4E9B00">
      <w:pPr>
        <w:spacing w:after="200" w:line="240" w:lineRule="auto"/>
        <w:ind w:firstLine="567"/>
        <w:jc w:val="both"/>
      </w:pPr>
      <w:r>
        <w:rPr>
          <w:rFonts w:ascii="Times New Roman" w:hAnsi="Times New Roman" w:eastAsia="Times New Roman" w:cs="Times New Roman"/>
          <w:sz w:val="28"/>
          <w:szCs w:val="28"/>
        </w:rPr>
        <w:t>Заметная, хотя и менее выраженная, связь наблюдается между ценой и количеством комнат (r = 0,523). Однако этот эффект во многом дублирует влияние площади: количество комнат коррелирует с общей и жилой площадью на уровне r = 0,674 и r = 0,683 соответственно, то есть более многокомнатные квартиры в выборке — это преимущественно более просторные квартиры, а не наоборот.</w:t>
      </w:r>
    </w:p>
    <w:p w14:paraId="77ADC286">
      <w:pPr>
        <w:spacing w:after="200" w:line="240" w:lineRule="auto"/>
        <w:ind w:firstLine="567"/>
        <w:jc w:val="both"/>
      </w:pPr>
      <w:r>
        <w:rPr>
          <w:rFonts w:ascii="Times New Roman" w:hAnsi="Times New Roman" w:eastAsia="Times New Roman" w:cs="Times New Roman"/>
          <w:sz w:val="28"/>
          <w:szCs w:val="28"/>
        </w:rPr>
        <w:t>Площадь кухни показывает слабую положительную связь с ценой (r = 0,162): её вклад в формирование стоимости заметно уступает вкладу общей и жилой площади, однако полностью пренебрегать им нельзя. Оставшиеся четыре характеристики — этаж расположения квартиры (r = 0,080), общая этажность дома (r = 0,020), высота потолков (r = 0,025) и расстояние до общественного транспорта (r = −0,053) — имеют коэффициенты корреляции, практически неотличимые от нуля, то есть в пределах рассматриваемой выборки линейная связь этих характеристик со стоимостью квартиры не прослеживается.</w:t>
      </w:r>
    </w:p>
    <w:p w14:paraId="64155E48">
      <w:pPr>
        <w:spacing w:after="200" w:line="24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Помимо связей с ценой, матрица корреляций выявляет тесные взаимосвязи между самими факторными переменными. Помимо уже упомянутой пары «общая площадь — жилая площадь» (r = 0,884), заметная зависимость обнаружена между этажом расположения квартиры и этажностью дома (r = 0,611): чем выше дом, тем, как правило, выше расположены выставленные на продажу квартиры. Подобные внутренние зависимости необходимо учитывать при отборе объясняющих переменных для регрессионных моделей — совместное включение в модель сильно коррелирующих между собой факторов приводит к мультиколлинеарности и делает оценки коэффициентов неустойчивыми.</w:t>
      </w:r>
    </w:p>
    <w:p w14:paraId="236493F8">
      <w:pPr>
        <w:spacing w:after="200" w:line="24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u w:val="single"/>
        </w:rPr>
        <w:t>Тепловая карта полной матрицы корреляций приведена в Приложении Е.</w:t>
      </w:r>
    </w:p>
    <w:p w14:paraId="09644466">
      <w:pPr>
        <w:spacing w:before="200" w:after="150"/>
        <w:jc w:val="left"/>
      </w:pPr>
      <w:r>
        <w:rPr>
          <w:rFonts w:ascii="Times New Roman" w:hAnsi="Times New Roman" w:eastAsia="Times New Roman" w:cs="Times New Roman"/>
          <w:b/>
          <w:bCs/>
          <w:sz w:val="28"/>
          <w:szCs w:val="28"/>
        </w:rPr>
        <w:t>Диаграммы рассеяния</w:t>
      </w:r>
    </w:p>
    <w:p w14:paraId="409329AA">
      <w:pPr>
        <w:spacing w:after="200" w:line="240" w:lineRule="auto"/>
        <w:ind w:firstLine="567"/>
        <w:jc w:val="both"/>
      </w:pPr>
      <w:r>
        <w:rPr>
          <w:rFonts w:ascii="Times New Roman" w:hAnsi="Times New Roman" w:eastAsia="Times New Roman" w:cs="Times New Roman"/>
          <w:sz w:val="28"/>
          <w:szCs w:val="28"/>
        </w:rPr>
        <w:t>Для визуальной проверки характера связи между переменными построены диаграммы рассеяния для шести пар характеристик (Приложение Д).</w:t>
      </w:r>
    </w:p>
    <w:p w14:paraId="1A96945F">
      <w:pPr>
        <w:spacing w:after="200" w:line="240" w:lineRule="auto"/>
        <w:ind w:firstLine="567"/>
        <w:jc w:val="both"/>
      </w:pPr>
      <w:r>
        <w:rPr>
          <w:rFonts w:ascii="Times New Roman" w:hAnsi="Times New Roman" w:eastAsia="Times New Roman" w:cs="Times New Roman"/>
          <w:sz w:val="28"/>
          <w:szCs w:val="28"/>
        </w:rPr>
        <w:t>Цена — общая площадь (r = 0,58). Облако точек имеет выраженную веерообразную форму: с ростом площади нижняя граница цен увеличивается медленно, а верхняя — значительно быстрее, из-за чего разброс цен для крупных квартир заметно выше, чем для небольших. Отдельно выделяется объект площадью около 105 м² стоимостью 80 млн руб. — единственный в выборке, резко выбивающийся из общего облака и заметно завышающий верхнюю оценку связи.</w:t>
      </w:r>
    </w:p>
    <w:p w14:paraId="51F4274A">
      <w:pPr>
        <w:spacing w:after="200" w:line="240" w:lineRule="auto"/>
        <w:ind w:firstLine="567"/>
        <w:jc w:val="both"/>
      </w:pPr>
      <w:r>
        <w:rPr>
          <w:rFonts w:ascii="Times New Roman" w:hAnsi="Times New Roman" w:eastAsia="Times New Roman" w:cs="Times New Roman"/>
          <w:sz w:val="28"/>
          <w:szCs w:val="28"/>
        </w:rPr>
        <w:t>Цена — количество комнат (r = 0,52). Поскольку количество комнат принимает только четыре целых значения, точки образуют четыре вертикальных «столбца». Медианный уровень цен внутри столбцов растёт при переходе от однокомнатных к трёхкомнатным квартирам, однако у четырёхкомнатных квартир типичная цена оказывается ниже, чем у трёхкомнатных, — вероятно, из-за меньшего числа таких объявлений и различий в их местоположении. Тот же ценовой выброс в 80 млн руб. относится к четырёхкомнатной квартире.</w:t>
      </w:r>
    </w:p>
    <w:p w14:paraId="6473E742">
      <w:pPr>
        <w:spacing w:after="200" w:line="240" w:lineRule="auto"/>
        <w:ind w:firstLine="567"/>
        <w:jc w:val="both"/>
      </w:pPr>
      <w:r>
        <w:rPr>
          <w:rFonts w:ascii="Times New Roman" w:hAnsi="Times New Roman" w:eastAsia="Times New Roman" w:cs="Times New Roman"/>
          <w:sz w:val="28"/>
          <w:szCs w:val="28"/>
        </w:rPr>
        <w:t>Цена — расстояние до общественного транспорта (r = −0,05). Точки равномерно распределены по всему диапазону расстояний от 100 до 2000 м без какого-либо заметного тренда: как рядом с остановками, так и вдали от них встречаются и дешёвые, и относительно дорогие квартиры. Ценовой выброс (80 млн руб.) расположен на небольшом расстоянии до транспорта (около 450 м), что не меняет общей картины отсутствия связи.</w:t>
      </w:r>
    </w:p>
    <w:p w14:paraId="25460626">
      <w:pPr>
        <w:spacing w:after="200" w:line="240" w:lineRule="auto"/>
        <w:ind w:firstLine="567"/>
        <w:jc w:val="both"/>
      </w:pPr>
      <w:r>
        <w:rPr>
          <w:rFonts w:ascii="Times New Roman" w:hAnsi="Times New Roman" w:eastAsia="Times New Roman" w:cs="Times New Roman"/>
          <w:sz w:val="28"/>
          <w:szCs w:val="28"/>
        </w:rPr>
        <w:t>Цена — этажность дома (r = 0,02). Как и в предыдущем случае, визуально различимый тренд отсутствует: дорогие и дешёвые квартиры встречаются в домах любой этажности — от малоэтажных до двадцатиэтажных. Основной выброс (80 млн руб.) приходится на дом всего в 4 этажа, что дополнительно нивелирует и без того слабую связь.</w:t>
      </w:r>
    </w:p>
    <w:p w14:paraId="3AFE7BC7">
      <w:pPr>
        <w:spacing w:after="200" w:line="240" w:lineRule="auto"/>
        <w:ind w:firstLine="567"/>
        <w:jc w:val="both"/>
      </w:pPr>
      <w:r>
        <w:rPr>
          <w:rFonts w:ascii="Times New Roman" w:hAnsi="Times New Roman" w:eastAsia="Times New Roman" w:cs="Times New Roman"/>
          <w:sz w:val="28"/>
          <w:szCs w:val="28"/>
        </w:rPr>
        <w:t>Жилая площадь — общая площадь (r = 0,88). Точки образуют узкое плотное облако, вытянутое вдоль условной прямой, что отражает почти пропорциональную связь между показателями. Лишь несколько объектов заметно отклоняются вниз от общего тренда — это квартиры с относительно небольшой жилой площадью при сравнительно большой общей площади, что характерно для просторных студий или квартир с большим количеством нежилых помещений.</w:t>
      </w:r>
    </w:p>
    <w:p w14:paraId="57D06F9B">
      <w:pPr>
        <w:spacing w:after="200" w:line="240" w:lineRule="auto"/>
        <w:ind w:firstLine="567"/>
        <w:jc w:val="both"/>
      </w:pPr>
      <w:r>
        <w:rPr>
          <w:rFonts w:ascii="Times New Roman" w:hAnsi="Times New Roman" w:eastAsia="Times New Roman" w:cs="Times New Roman"/>
          <w:sz w:val="28"/>
          <w:szCs w:val="28"/>
        </w:rPr>
        <w:t>Этажность дома — этаж (r = 0,61). Поскольку этаж расположения квартиры не может превышать этажность самого дома, облако точек имеет характерную треугольную форму: значения ограничены снизу диагональю, а вверх и вправо разброс расширяется. В домах большей этажности квартиры выставляются на продажу с более широкого диапазона этажей, что и формирует умеренную, но не строго детерминированную положительную связь.</w:t>
      </w:r>
    </w:p>
    <w:p w14:paraId="35BB10F9">
      <w:pPr>
        <w:spacing w:before="200" w:after="150"/>
        <w:jc w:val="left"/>
      </w:pPr>
      <w:r>
        <w:rPr>
          <w:rFonts w:ascii="Times New Roman" w:hAnsi="Times New Roman" w:eastAsia="Times New Roman" w:cs="Times New Roman"/>
          <w:b/>
          <w:bCs/>
          <w:sz w:val="28"/>
          <w:szCs w:val="28"/>
        </w:rPr>
        <w:t>Проверка статистической значимости корреляций</w:t>
      </w:r>
    </w:p>
    <w:p w14:paraId="2C49C55D">
      <w:pPr>
        <w:spacing w:after="200" w:line="24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Помимо величины самого коэффициента, для каждой характеристики проверя</w:t>
      </w:r>
      <w:r>
        <w:rPr>
          <w:rFonts w:ascii="Times New Roman" w:hAnsi="Times New Roman" w:eastAsia="Times New Roman" w:cs="Times New Roman"/>
          <w:sz w:val="28"/>
          <w:szCs w:val="28"/>
          <w:lang w:val="ru-RU"/>
        </w:rPr>
        <w:t>ется</w:t>
      </w:r>
      <w:r>
        <w:rPr>
          <w:rFonts w:ascii="Times New Roman" w:hAnsi="Times New Roman" w:eastAsia="Times New Roman" w:cs="Times New Roman"/>
          <w:sz w:val="28"/>
          <w:szCs w:val="28"/>
        </w:rPr>
        <w:t xml:space="preserve"> статистическая значимость её связи с ценой — то есть можно ли считать корреляцию отражением реальной зависимости, а не случайным результатом конкретной выборки. Проверка выполнена с помощью t-статистики t = r · √(n − 2) / √(1 − r²), которая при справедливости нулевой гипотезы об отсутствии связи подчиняется распределению Стьюдента с df = n − 2 = 193 степенями свободы. При уровне значимости α = 0,05 критическое значение составляет t_крит = 1,972; связь признаётся статистически значимой, если |t| &gt; t_крит, что равносильно условию p-value &lt; 0,05. </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2828"/>
        <w:gridCol w:w="836"/>
        <w:gridCol w:w="1383"/>
        <w:gridCol w:w="1638"/>
        <w:gridCol w:w="1072"/>
        <w:gridCol w:w="1415"/>
      </w:tblGrid>
      <w:tr w14:paraId="5A810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7F5920D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Переменная</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54B565C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r</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229C2C6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t-расчётное</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1B878B9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t-критическое</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2F254B1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p-value</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362D1AC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Значимость</w:t>
            </w:r>
          </w:p>
        </w:tc>
      </w:tr>
      <w:tr w14:paraId="4DEA5B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40D1781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общая площадь</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05CA19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0.584</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3C4E339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9.99</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084EAB1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2060AA3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&lt; 0,0001</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78ED19B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значима</w:t>
            </w:r>
          </w:p>
        </w:tc>
      </w:tr>
      <w:tr w14:paraId="40241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4DACA4E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жилая площадь</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653792E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0.581</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0397FE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9.9</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5F0550C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68CF2E0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&lt; 0,0001</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616D89F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значима</w:t>
            </w:r>
          </w:p>
        </w:tc>
      </w:tr>
      <w:tr w14:paraId="41BD03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5F6E952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количество комнат</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4301F51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0.523</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205E75D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8.53</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6B65812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6F7D7D1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&lt; 0,0001</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562C66C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значима</w:t>
            </w:r>
          </w:p>
        </w:tc>
      </w:tr>
      <w:tr w14:paraId="5A6989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70E67CE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площадь кухни</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2CA59FC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0.162</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60C2420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2.29</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295276A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4B5F12F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0.0234</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7959CCC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значима</w:t>
            </w:r>
          </w:p>
        </w:tc>
      </w:tr>
      <w:tr w14:paraId="088F2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148161F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этаж</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2695083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0.08</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69D2AFC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1.12</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71AF4A0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759BBEB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0.2653</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4AC2BE5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не значима</w:t>
            </w:r>
          </w:p>
        </w:tc>
      </w:tr>
      <w:tr w14:paraId="04EC6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4DBBA69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транспорт</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11C63FF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-0.053</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660CF8D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-0.73</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3FE7667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23B8CE8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0.4637</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22EE375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не значима</w:t>
            </w:r>
          </w:p>
        </w:tc>
      </w:tr>
      <w:tr w14:paraId="696A7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28FF765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высота потолков</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797F1EB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0.025</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756BAB9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0.34</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631E4E7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39D25ED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0.7334</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05CE7E2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не значима</w:t>
            </w:r>
          </w:p>
        </w:tc>
      </w:tr>
      <w:tr w14:paraId="295B2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2117" w:type="pct"/>
            <w:tcBorders>
              <w:top w:val="single" w:color="auto" w:sz="4" w:space="0"/>
              <w:left w:val="single" w:color="auto" w:sz="4" w:space="0"/>
              <w:bottom w:val="single" w:color="auto" w:sz="4" w:space="0"/>
              <w:right w:val="single" w:color="auto" w:sz="4" w:space="0"/>
            </w:tcBorders>
            <w:shd w:val="clear"/>
            <w:noWrap/>
            <w:vAlign w:val="center"/>
          </w:tcPr>
          <w:p w14:paraId="1239BCF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общая этажность дома</w:t>
            </w:r>
          </w:p>
        </w:tc>
        <w:tc>
          <w:tcPr>
            <w:tcW w:w="387" w:type="pct"/>
            <w:tcBorders>
              <w:top w:val="single" w:color="auto" w:sz="4" w:space="0"/>
              <w:left w:val="single" w:color="auto" w:sz="4" w:space="0"/>
              <w:bottom w:val="single" w:color="auto" w:sz="4" w:space="0"/>
              <w:right w:val="single" w:color="auto" w:sz="4" w:space="0"/>
            </w:tcBorders>
            <w:shd w:val="clear"/>
            <w:noWrap/>
            <w:vAlign w:val="center"/>
          </w:tcPr>
          <w:p w14:paraId="609CB7E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0.02</w:t>
            </w:r>
          </w:p>
        </w:tc>
        <w:tc>
          <w:tcPr>
            <w:tcW w:w="617" w:type="pct"/>
            <w:tcBorders>
              <w:top w:val="single" w:color="auto" w:sz="4" w:space="0"/>
              <w:left w:val="single" w:color="auto" w:sz="4" w:space="0"/>
              <w:bottom w:val="single" w:color="auto" w:sz="4" w:space="0"/>
              <w:right w:val="single" w:color="auto" w:sz="4" w:space="0"/>
            </w:tcBorders>
            <w:shd w:val="clear"/>
            <w:noWrap/>
            <w:vAlign w:val="center"/>
          </w:tcPr>
          <w:p w14:paraId="1FCB11F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0.27</w:t>
            </w:r>
          </w:p>
        </w:tc>
        <w:tc>
          <w:tcPr>
            <w:tcW w:w="735" w:type="pct"/>
            <w:tcBorders>
              <w:top w:val="single" w:color="auto" w:sz="4" w:space="0"/>
              <w:left w:val="single" w:color="auto" w:sz="4" w:space="0"/>
              <w:bottom w:val="single" w:color="auto" w:sz="4" w:space="0"/>
              <w:right w:val="single" w:color="auto" w:sz="4" w:space="0"/>
            </w:tcBorders>
            <w:shd w:val="clear"/>
            <w:noWrap/>
            <w:vAlign w:val="center"/>
          </w:tcPr>
          <w:p w14:paraId="661CAC5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1.972</w:t>
            </w:r>
          </w:p>
        </w:tc>
        <w:tc>
          <w:tcPr>
            <w:tcW w:w="489" w:type="pct"/>
            <w:tcBorders>
              <w:top w:val="single" w:color="auto" w:sz="4" w:space="0"/>
              <w:left w:val="single" w:color="auto" w:sz="4" w:space="0"/>
              <w:bottom w:val="single" w:color="auto" w:sz="4" w:space="0"/>
              <w:right w:val="single" w:color="auto" w:sz="4" w:space="0"/>
            </w:tcBorders>
            <w:shd w:val="clear"/>
            <w:noWrap/>
            <w:vAlign w:val="center"/>
          </w:tcPr>
          <w:p w14:paraId="4B0FB72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0.7862</w:t>
            </w:r>
          </w:p>
        </w:tc>
        <w:tc>
          <w:tcPr>
            <w:tcW w:w="653" w:type="pct"/>
            <w:tcBorders>
              <w:top w:val="single" w:color="auto" w:sz="4" w:space="0"/>
              <w:left w:val="single" w:color="auto" w:sz="4" w:space="0"/>
              <w:bottom w:val="single" w:color="auto" w:sz="4" w:space="0"/>
              <w:right w:val="single" w:color="auto" w:sz="4" w:space="0"/>
            </w:tcBorders>
            <w:shd w:val="clear"/>
            <w:noWrap/>
            <w:vAlign w:val="center"/>
          </w:tcPr>
          <w:p w14:paraId="66F35B8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не значима</w:t>
            </w:r>
          </w:p>
        </w:tc>
      </w:tr>
    </w:tbl>
    <w:p w14:paraId="5F54BC4E">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rPr>
        <w:t xml:space="preserve">Таблица </w:t>
      </w:r>
      <w:r>
        <w:rPr>
          <w:rFonts w:hint="default" w:ascii="Times New Roman" w:hAnsi="Times New Roman" w:cs="Times New Roman"/>
          <w:b w:val="0"/>
          <w:bCs w:val="0"/>
          <w:color w:val="auto"/>
          <w:sz w:val="24"/>
          <w:lang w:val="en-US"/>
        </w:rPr>
        <w:t>4</w:t>
      </w:r>
      <w:r>
        <w:rPr>
          <w:rFonts w:ascii="Times New Roman" w:hAnsi="Times New Roman" w:cs="Times New Roman"/>
          <w:b w:val="0"/>
          <w:bCs w:val="0"/>
          <w:color w:val="auto"/>
          <w:sz w:val="24"/>
        </w:rPr>
        <w:t xml:space="preserve">. </w:t>
      </w:r>
      <w:r>
        <w:rPr>
          <w:rFonts w:hint="default" w:ascii="Times New Roman" w:hAnsi="Times New Roman" w:cs="Times New Roman"/>
          <w:b w:val="0"/>
          <w:bCs w:val="0"/>
          <w:color w:val="auto"/>
          <w:sz w:val="24"/>
        </w:rPr>
        <w:t>Проверка значимости корреляций с ценой</w:t>
      </w:r>
    </w:p>
    <w:p w14:paraId="5C633BE2">
      <w:pPr>
        <w:spacing w:after="200" w:line="240" w:lineRule="auto"/>
        <w:ind w:firstLine="567"/>
        <w:jc w:val="both"/>
      </w:pPr>
      <w:r>
        <w:rPr>
          <w:rFonts w:ascii="Times New Roman" w:hAnsi="Times New Roman" w:eastAsia="Times New Roman" w:cs="Times New Roman"/>
          <w:sz w:val="28"/>
          <w:szCs w:val="28"/>
        </w:rPr>
        <w:t>Статистически значимой на уровне 5% оказалась связь цены с общей площадью (t = 9,99; p &lt; 0,0001), жилой площадью (t = 9,90; p &lt; 0,0001), количеством комнат (t = 8,53; p &lt; 0,0001) и площадью кухни (t = 2,29; p = 0,0234) — во всех четырёх случаях расчётное значение t превышает критическое, и нулевая гипотеза об отсутствии связи отклоняется. Для этажа (t = 1,12; p = 0,2653), этажности дома (t = 0,27; p = 0,7862), высоты потолков (t = 0,34; p = 0,7334) и расстояния до общественного транспорта (t = −0,73; p = 0,4637) расчётное значение t критического не достигает, поэтому статистически значимой связи с ценой на данной выборке не выявлено.</w:t>
      </w:r>
    </w:p>
    <w:p w14:paraId="42C71702">
      <w:pPr>
        <w:spacing w:after="200" w:line="240" w:lineRule="auto"/>
        <w:ind w:firstLine="567"/>
        <w:jc w:val="both"/>
      </w:pPr>
      <w:r>
        <w:rPr>
          <w:rFonts w:ascii="Times New Roman" w:hAnsi="Times New Roman" w:eastAsia="Times New Roman" w:cs="Times New Roman"/>
          <w:sz w:val="28"/>
          <w:szCs w:val="28"/>
        </w:rPr>
        <w:t>Отдельно стоит отметить площадь кухни: несмотря на формальную значимость, теснота её связи с ценой невелика (r² ≈ 0,026), поэтому значимость здесь обеспечена в первую очередь достаточным объёмом выборки, а не выраженным практическим эффектом.</w:t>
      </w:r>
    </w:p>
    <w:p w14:paraId="662F203B">
      <w:pPr>
        <w:ind w:firstLine="708"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Таким образом, для дальнейшего регрессионного моделирования целесообразно в первую очередь использовать общую или жилую площадь и количество комнат, а также, с оговоркой, площадь кухни, тогда как этаж, этажность дома, высота потолков и удалённость от транспорта статистически подтверждённой линейной связи с ценой на данной выборке не показали. С учётом сильной корреляции между общей и жилой площадью (r = 0,884) совместное включение обеих переменных в одну регрессионную модель нецелесообразно.</w:t>
      </w:r>
    </w:p>
    <w:p w14:paraId="29C2980D">
      <w:pPr>
        <w:ind w:firstLine="708" w:firstLineChars="0"/>
        <w:rPr>
          <w:rFonts w:ascii="Times New Roman" w:hAnsi="Times New Roman" w:eastAsia="Times New Roman" w:cs="Times New Roman"/>
          <w:sz w:val="28"/>
          <w:szCs w:val="28"/>
        </w:rPr>
      </w:pPr>
    </w:p>
    <w:p w14:paraId="759B5ABA">
      <w:pPr>
        <w:ind w:firstLine="708" w:firstLineChars="0"/>
        <w:rPr>
          <w:rFonts w:ascii="Times New Roman" w:hAnsi="Times New Roman" w:eastAsia="Times New Roman" w:cs="Times New Roman"/>
          <w:sz w:val="28"/>
          <w:szCs w:val="28"/>
        </w:rPr>
      </w:pPr>
    </w:p>
    <w:p w14:paraId="3D7BBB1A">
      <w:pPr>
        <w:ind w:firstLine="708" w:firstLineChars="0"/>
        <w:rPr>
          <w:rFonts w:ascii="Times New Roman" w:hAnsi="Times New Roman" w:eastAsia="Times New Roman" w:cs="Times New Roman"/>
          <w:sz w:val="28"/>
          <w:szCs w:val="28"/>
        </w:rPr>
      </w:pPr>
    </w:p>
    <w:p w14:paraId="122E3E8C">
      <w:pPr>
        <w:ind w:firstLine="708" w:firstLineChars="0"/>
        <w:rPr>
          <w:rFonts w:ascii="Times New Roman" w:hAnsi="Times New Roman" w:eastAsia="Times New Roman" w:cs="Times New Roman"/>
          <w:sz w:val="28"/>
          <w:szCs w:val="28"/>
        </w:rPr>
      </w:pPr>
    </w:p>
    <w:p w14:paraId="4352E5D3">
      <w:pPr>
        <w:ind w:firstLine="708" w:firstLineChars="0"/>
        <w:rPr>
          <w:rFonts w:ascii="Times New Roman" w:hAnsi="Times New Roman" w:eastAsia="Times New Roman" w:cs="Times New Roman"/>
          <w:sz w:val="28"/>
          <w:szCs w:val="28"/>
        </w:rPr>
      </w:pPr>
    </w:p>
    <w:p w14:paraId="32F59BFF">
      <w:pPr>
        <w:ind w:firstLine="708" w:firstLineChars="0"/>
        <w:rPr>
          <w:rFonts w:ascii="Times New Roman" w:hAnsi="Times New Roman" w:eastAsia="Times New Roman" w:cs="Times New Roman"/>
          <w:sz w:val="28"/>
          <w:szCs w:val="28"/>
        </w:rPr>
      </w:pPr>
    </w:p>
    <w:p w14:paraId="6DDF7C8A">
      <w:pPr>
        <w:ind w:firstLine="708" w:firstLineChars="0"/>
        <w:rPr>
          <w:rFonts w:ascii="Times New Roman" w:hAnsi="Times New Roman" w:eastAsia="Times New Roman" w:cs="Times New Roman"/>
          <w:sz w:val="28"/>
          <w:szCs w:val="28"/>
        </w:rPr>
      </w:pPr>
    </w:p>
    <w:p w14:paraId="4B65CF1E">
      <w:pPr>
        <w:rPr>
          <w:rFonts w:hint="default" w:ascii="Times New Roman" w:hAnsi="Times New Roman" w:cs="Times New Roman"/>
          <w:b/>
          <w:bCs/>
          <w:sz w:val="28"/>
          <w:szCs w:val="28"/>
        </w:rPr>
      </w:pPr>
      <w:r>
        <w:rPr>
          <w:rFonts w:hint="default" w:ascii="Times New Roman" w:hAnsi="Times New Roman" w:cs="Times New Roman"/>
          <w:b/>
          <w:bCs/>
          <w:sz w:val="28"/>
          <w:szCs w:val="28"/>
        </w:rPr>
        <w:br w:type="page"/>
      </w:r>
    </w:p>
    <w:p w14:paraId="4FBCB12E">
      <w:pPr>
        <w:pStyle w:val="2"/>
        <w:bidi w:val="0"/>
        <w:jc w:val="center"/>
        <w:rPr>
          <w:rFonts w:hint="default" w:ascii="Times New Roman" w:hAnsi="Times New Roman" w:cs="Times New Roman"/>
          <w:b/>
          <w:bCs/>
          <w:sz w:val="28"/>
          <w:szCs w:val="28"/>
        </w:rPr>
      </w:pPr>
      <w:bookmarkStart w:id="9" w:name="_Toc3885"/>
      <w:r>
        <w:rPr>
          <w:rFonts w:hint="default" w:ascii="Times New Roman" w:hAnsi="Times New Roman" w:cs="Times New Roman"/>
          <w:b/>
          <w:bCs/>
          <w:sz w:val="28"/>
          <w:szCs w:val="28"/>
        </w:rPr>
        <w:t>ПОСТРОЕНИЕ РЕГРЕССИОННЫХ МОДЕЛЕЙ</w:t>
      </w:r>
      <w:bookmarkEnd w:id="9"/>
    </w:p>
    <w:p w14:paraId="134449CC">
      <w:pPr>
        <w:spacing w:after="200" w:line="240" w:lineRule="auto"/>
        <w:ind w:firstLine="567"/>
        <w:jc w:val="both"/>
      </w:pPr>
      <w:r>
        <w:rPr>
          <w:rFonts w:ascii="Times New Roman" w:hAnsi="Times New Roman" w:eastAsia="Times New Roman" w:cs="Times New Roman"/>
          <w:sz w:val="28"/>
          <w:szCs w:val="28"/>
        </w:rPr>
        <w:t>На основе выводов корреляционного анализа построено пять моделей множественной линейной регрессии, отражающих разные комбинации характеристик квартир и их преобразований. Оценка параметров моделей выполнена методом наименьших квадратов (МНК). Общий вид уравнения множественной линейной регрессии: Price = β₀ + β₁·X₁ + β₂·X₂ + … + βₖ·Xₖ + ε, где β₀ — свободный член, βⱼ — коэффициенты регрессии при объясняющих переменных, ε — случайная ошибка. Значимость каждого коэффициента проверялась по t-критерию Стьюдента: нулевая гипотеза H₀: βⱼ = 0 отклоняется, если расчётное значение |t| превышает критическое (при n = 195 и от одного до трёх факторов t_крит ≈ 1,97 при уровне значимости α = 0,05). Все модели построены на выборке из 195 объектов.</w:t>
      </w:r>
    </w:p>
    <w:p w14:paraId="6E61629B">
      <w:pPr>
        <w:spacing w:before="200" w:after="150"/>
        <w:jc w:val="left"/>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Модель 1. </w:t>
      </w:r>
    </w:p>
    <w:p w14:paraId="50A3FF81">
      <w:pPr>
        <w:spacing w:before="200" w:after="150"/>
        <w:jc w:val="left"/>
        <w:rPr>
          <w:b w:val="0"/>
          <w:bCs w:val="0"/>
        </w:rPr>
      </w:pPr>
      <w:r>
        <w:rPr>
          <w:rFonts w:ascii="Times New Roman" w:hAnsi="Times New Roman" w:eastAsia="Times New Roman" w:cs="Times New Roman"/>
          <w:b w:val="0"/>
          <w:bCs w:val="0"/>
          <w:sz w:val="28"/>
          <w:szCs w:val="28"/>
        </w:rPr>
        <w:t>Цена = β₀ + β₁ · Площадь</w:t>
      </w:r>
    </w:p>
    <w:p w14:paraId="16AB5754">
      <w:pPr>
        <w:spacing w:after="200" w:line="240" w:lineRule="auto"/>
        <w:ind w:firstLine="567"/>
        <w:jc w:val="both"/>
      </w:pPr>
      <w:r>
        <w:rPr>
          <w:rFonts w:ascii="Times New Roman" w:hAnsi="Times New Roman" w:eastAsia="Times New Roman" w:cs="Times New Roman"/>
          <w:sz w:val="28"/>
          <w:szCs w:val="28"/>
        </w:rPr>
        <w:t>Базовая модель включает единственный фактор — общую площадь квартиры, которая по результатам корреляционного анализа продемонстрировала наиболее тесную связь с ценой.</w:t>
      </w:r>
    </w:p>
    <w:tbl>
      <w:tblPr>
        <w:tblW w:w="9083"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769"/>
        <w:gridCol w:w="1670"/>
        <w:gridCol w:w="1550"/>
        <w:gridCol w:w="1537"/>
        <w:gridCol w:w="963"/>
        <w:gridCol w:w="1594"/>
      </w:tblGrid>
      <w:tr w14:paraId="33EED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769" w:type="dxa"/>
            <w:tcBorders>
              <w:top w:val="single" w:color="auto" w:sz="4" w:space="0"/>
              <w:left w:val="single" w:color="auto" w:sz="4" w:space="0"/>
              <w:bottom w:val="single" w:color="auto" w:sz="4" w:space="0"/>
              <w:right w:val="single" w:color="auto" w:sz="4" w:space="0"/>
            </w:tcBorders>
            <w:shd w:val="clear"/>
            <w:noWrap/>
            <w:vAlign w:val="center"/>
          </w:tcPr>
          <w:p w14:paraId="48ADBD3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Переменная</w:t>
            </w:r>
          </w:p>
        </w:tc>
        <w:tc>
          <w:tcPr>
            <w:tcW w:w="1670" w:type="dxa"/>
            <w:tcBorders>
              <w:top w:val="single" w:color="auto" w:sz="4" w:space="0"/>
              <w:left w:val="single" w:color="auto" w:sz="4" w:space="0"/>
              <w:bottom w:val="single" w:color="auto" w:sz="4" w:space="0"/>
              <w:right w:val="single" w:color="auto" w:sz="4" w:space="0"/>
            </w:tcBorders>
            <w:shd w:val="clear"/>
            <w:noWrap/>
            <w:vAlign w:val="center"/>
          </w:tcPr>
          <w:p w14:paraId="27AF20E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Коэффициент</w:t>
            </w:r>
          </w:p>
        </w:tc>
        <w:tc>
          <w:tcPr>
            <w:tcW w:w="1550" w:type="dxa"/>
            <w:tcBorders>
              <w:top w:val="single" w:color="auto" w:sz="4" w:space="0"/>
              <w:left w:val="single" w:color="auto" w:sz="4" w:space="0"/>
              <w:bottom w:val="single" w:color="auto" w:sz="4" w:space="0"/>
              <w:right w:val="single" w:color="auto" w:sz="4" w:space="0"/>
            </w:tcBorders>
            <w:shd w:val="clear"/>
            <w:noWrap/>
            <w:vAlign w:val="center"/>
          </w:tcPr>
          <w:p w14:paraId="328088F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Стандартная ошибка</w:t>
            </w:r>
          </w:p>
        </w:tc>
        <w:tc>
          <w:tcPr>
            <w:tcW w:w="1537" w:type="dxa"/>
            <w:tcBorders>
              <w:top w:val="single" w:color="auto" w:sz="4" w:space="0"/>
              <w:left w:val="single" w:color="auto" w:sz="4" w:space="0"/>
              <w:bottom w:val="single" w:color="auto" w:sz="4" w:space="0"/>
              <w:right w:val="single" w:color="auto" w:sz="4" w:space="0"/>
            </w:tcBorders>
            <w:shd w:val="clear"/>
            <w:noWrap/>
            <w:vAlign w:val="center"/>
          </w:tcPr>
          <w:p w14:paraId="3D5FD8F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t-статистика</w:t>
            </w:r>
          </w:p>
        </w:tc>
        <w:tc>
          <w:tcPr>
            <w:tcW w:w="963" w:type="dxa"/>
            <w:tcBorders>
              <w:top w:val="single" w:color="auto" w:sz="4" w:space="0"/>
              <w:left w:val="single" w:color="auto" w:sz="4" w:space="0"/>
              <w:bottom w:val="single" w:color="auto" w:sz="4" w:space="0"/>
              <w:right w:val="single" w:color="auto" w:sz="4" w:space="0"/>
            </w:tcBorders>
            <w:shd w:val="clear"/>
            <w:noWrap/>
            <w:vAlign w:val="center"/>
          </w:tcPr>
          <w:p w14:paraId="5F0BF3E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p-value</w:t>
            </w:r>
          </w:p>
        </w:tc>
        <w:tc>
          <w:tcPr>
            <w:tcW w:w="1594" w:type="dxa"/>
            <w:tcBorders>
              <w:top w:val="single" w:color="auto" w:sz="4" w:space="0"/>
              <w:left w:val="single" w:color="auto" w:sz="4" w:space="0"/>
              <w:bottom w:val="single" w:color="auto" w:sz="4" w:space="0"/>
              <w:right w:val="single" w:color="auto" w:sz="4" w:space="0"/>
            </w:tcBorders>
            <w:shd w:val="clear"/>
            <w:noWrap/>
            <w:vAlign w:val="center"/>
          </w:tcPr>
          <w:p w14:paraId="46D2413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Значимость</w:t>
            </w:r>
          </w:p>
        </w:tc>
      </w:tr>
      <w:tr w14:paraId="538B4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1769" w:type="dxa"/>
            <w:tcBorders>
              <w:top w:val="single" w:color="auto" w:sz="4" w:space="0"/>
              <w:left w:val="single" w:color="auto" w:sz="4" w:space="0"/>
              <w:bottom w:val="single" w:color="auto" w:sz="4" w:space="0"/>
              <w:right w:val="single" w:color="auto" w:sz="4" w:space="0"/>
            </w:tcBorders>
            <w:shd w:val="clear"/>
            <w:noWrap/>
            <w:vAlign w:val="center"/>
          </w:tcPr>
          <w:p w14:paraId="079E22F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Константа</w:t>
            </w:r>
          </w:p>
        </w:tc>
        <w:tc>
          <w:tcPr>
            <w:tcW w:w="1670" w:type="dxa"/>
            <w:tcBorders>
              <w:top w:val="single" w:color="auto" w:sz="4" w:space="0"/>
              <w:left w:val="single" w:color="auto" w:sz="4" w:space="0"/>
              <w:bottom w:val="single" w:color="auto" w:sz="4" w:space="0"/>
              <w:right w:val="single" w:color="auto" w:sz="4" w:space="0"/>
            </w:tcBorders>
            <w:shd w:val="clear"/>
            <w:noWrap/>
            <w:vAlign w:val="center"/>
          </w:tcPr>
          <w:p w14:paraId="703F6F5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-2260057.774</w:t>
            </w:r>
          </w:p>
        </w:tc>
        <w:tc>
          <w:tcPr>
            <w:tcW w:w="1550" w:type="dxa"/>
            <w:tcBorders>
              <w:top w:val="single" w:color="auto" w:sz="4" w:space="0"/>
              <w:left w:val="single" w:color="auto" w:sz="4" w:space="0"/>
              <w:bottom w:val="single" w:color="auto" w:sz="4" w:space="0"/>
              <w:right w:val="single" w:color="auto" w:sz="4" w:space="0"/>
            </w:tcBorders>
            <w:shd w:val="clear"/>
            <w:noWrap/>
            <w:vAlign w:val="center"/>
          </w:tcPr>
          <w:p w14:paraId="02F840B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1206139.017</w:t>
            </w:r>
          </w:p>
        </w:tc>
        <w:tc>
          <w:tcPr>
            <w:tcW w:w="1537" w:type="dxa"/>
            <w:tcBorders>
              <w:top w:val="single" w:color="auto" w:sz="4" w:space="0"/>
              <w:left w:val="single" w:color="auto" w:sz="4" w:space="0"/>
              <w:bottom w:val="single" w:color="auto" w:sz="4" w:space="0"/>
              <w:right w:val="single" w:color="auto" w:sz="4" w:space="0"/>
            </w:tcBorders>
            <w:shd w:val="clear"/>
            <w:noWrap/>
            <w:vAlign w:val="center"/>
          </w:tcPr>
          <w:p w14:paraId="51AB033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-1.874</w:t>
            </w:r>
          </w:p>
        </w:tc>
        <w:tc>
          <w:tcPr>
            <w:tcW w:w="963" w:type="dxa"/>
            <w:tcBorders>
              <w:top w:val="single" w:color="auto" w:sz="4" w:space="0"/>
              <w:left w:val="single" w:color="auto" w:sz="4" w:space="0"/>
              <w:bottom w:val="single" w:color="auto" w:sz="4" w:space="0"/>
              <w:right w:val="single" w:color="auto" w:sz="4" w:space="0"/>
            </w:tcBorders>
            <w:shd w:val="clear"/>
            <w:noWrap/>
            <w:vAlign w:val="center"/>
          </w:tcPr>
          <w:p w14:paraId="094576F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0.0625</w:t>
            </w:r>
          </w:p>
        </w:tc>
        <w:tc>
          <w:tcPr>
            <w:tcW w:w="1594" w:type="dxa"/>
            <w:tcBorders>
              <w:top w:val="single" w:color="auto" w:sz="4" w:space="0"/>
              <w:left w:val="single" w:color="auto" w:sz="4" w:space="0"/>
              <w:bottom w:val="single" w:color="auto" w:sz="4" w:space="0"/>
              <w:right w:val="single" w:color="auto" w:sz="4" w:space="0"/>
            </w:tcBorders>
            <w:shd w:val="clear"/>
            <w:noWrap/>
            <w:vAlign w:val="center"/>
          </w:tcPr>
          <w:p w14:paraId="6B68622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не значим</w:t>
            </w:r>
          </w:p>
        </w:tc>
      </w:tr>
      <w:tr w14:paraId="5BA0FF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769" w:type="dxa"/>
            <w:tcBorders>
              <w:top w:val="single" w:color="auto" w:sz="4" w:space="0"/>
              <w:left w:val="single" w:color="auto" w:sz="4" w:space="0"/>
              <w:bottom w:val="single" w:color="auto" w:sz="4" w:space="0"/>
              <w:right w:val="single" w:color="auto" w:sz="4" w:space="0"/>
            </w:tcBorders>
            <w:shd w:val="clear"/>
            <w:noWrap/>
            <w:vAlign w:val="center"/>
          </w:tcPr>
          <w:p w14:paraId="55C3186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общая площадь</w:t>
            </w:r>
          </w:p>
        </w:tc>
        <w:tc>
          <w:tcPr>
            <w:tcW w:w="1670" w:type="dxa"/>
            <w:tcBorders>
              <w:top w:val="single" w:color="auto" w:sz="4" w:space="0"/>
              <w:left w:val="single" w:color="auto" w:sz="4" w:space="0"/>
              <w:bottom w:val="single" w:color="auto" w:sz="4" w:space="0"/>
              <w:right w:val="single" w:color="auto" w:sz="4" w:space="0"/>
            </w:tcBorders>
            <w:shd w:val="clear"/>
            <w:noWrap/>
            <w:vAlign w:val="center"/>
          </w:tcPr>
          <w:p w14:paraId="160E154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160888.399</w:t>
            </w:r>
          </w:p>
        </w:tc>
        <w:tc>
          <w:tcPr>
            <w:tcW w:w="1550" w:type="dxa"/>
            <w:tcBorders>
              <w:top w:val="single" w:color="auto" w:sz="4" w:space="0"/>
              <w:left w:val="single" w:color="auto" w:sz="4" w:space="0"/>
              <w:bottom w:val="single" w:color="auto" w:sz="4" w:space="0"/>
              <w:right w:val="single" w:color="auto" w:sz="4" w:space="0"/>
            </w:tcBorders>
            <w:shd w:val="clear"/>
            <w:noWrap/>
            <w:vAlign w:val="center"/>
          </w:tcPr>
          <w:p w14:paraId="4FBFB3D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16104.926</w:t>
            </w:r>
          </w:p>
        </w:tc>
        <w:tc>
          <w:tcPr>
            <w:tcW w:w="1537" w:type="dxa"/>
            <w:tcBorders>
              <w:top w:val="single" w:color="auto" w:sz="4" w:space="0"/>
              <w:left w:val="single" w:color="auto" w:sz="4" w:space="0"/>
              <w:bottom w:val="single" w:color="auto" w:sz="4" w:space="0"/>
              <w:right w:val="single" w:color="auto" w:sz="4" w:space="0"/>
            </w:tcBorders>
            <w:shd w:val="clear"/>
            <w:noWrap/>
            <w:vAlign w:val="center"/>
          </w:tcPr>
          <w:p w14:paraId="62BAF86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9.99</w:t>
            </w:r>
          </w:p>
        </w:tc>
        <w:tc>
          <w:tcPr>
            <w:tcW w:w="963" w:type="dxa"/>
            <w:tcBorders>
              <w:top w:val="single" w:color="auto" w:sz="4" w:space="0"/>
              <w:left w:val="single" w:color="auto" w:sz="4" w:space="0"/>
              <w:bottom w:val="single" w:color="auto" w:sz="4" w:space="0"/>
              <w:right w:val="single" w:color="auto" w:sz="4" w:space="0"/>
            </w:tcBorders>
            <w:shd w:val="clear"/>
            <w:noWrap/>
            <w:vAlign w:val="center"/>
          </w:tcPr>
          <w:p w14:paraId="3B2BEA1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w:t>
            </w:r>
          </w:p>
        </w:tc>
        <w:tc>
          <w:tcPr>
            <w:tcW w:w="1594" w:type="dxa"/>
            <w:tcBorders>
              <w:top w:val="single" w:color="auto" w:sz="4" w:space="0"/>
              <w:left w:val="single" w:color="auto" w:sz="4" w:space="0"/>
              <w:bottom w:val="single" w:color="auto" w:sz="4" w:space="0"/>
              <w:right w:val="single" w:color="auto" w:sz="4" w:space="0"/>
            </w:tcBorders>
            <w:shd w:val="clear"/>
            <w:noWrap/>
            <w:vAlign w:val="center"/>
          </w:tcPr>
          <w:p w14:paraId="5E06DBD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w:t>
            </w:r>
          </w:p>
        </w:tc>
      </w:tr>
    </w:tbl>
    <w:p w14:paraId="0CD1821A">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szCs w:val="20"/>
        </w:rPr>
        <w:t xml:space="preserve">Таблица </w:t>
      </w:r>
      <w:r>
        <w:rPr>
          <w:rFonts w:hint="default" w:ascii="Times New Roman" w:hAnsi="Times New Roman" w:cs="Times New Roman"/>
          <w:b w:val="0"/>
          <w:bCs w:val="0"/>
          <w:color w:val="auto"/>
          <w:sz w:val="24"/>
          <w:szCs w:val="20"/>
          <w:lang w:val="en-US"/>
        </w:rPr>
        <w:t>5</w:t>
      </w:r>
      <w:r>
        <w:rPr>
          <w:rFonts w:ascii="Times New Roman" w:hAnsi="Times New Roman" w:cs="Times New Roman"/>
          <w:b w:val="0"/>
          <w:bCs w:val="0"/>
          <w:color w:val="auto"/>
          <w:sz w:val="24"/>
          <w:szCs w:val="20"/>
        </w:rPr>
        <w:t>. Коэффициенты Модели 1</w:t>
      </w:r>
    </w:p>
    <w:p w14:paraId="6B5D7C8C">
      <w:pPr>
        <w:spacing w:after="200" w:line="24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Коэффициент при площади статистически значим (t = 9,99; p &lt; 0,0001): каждый дополнительный квадратный метр площади увеличивает цену квартиры в среднем на 160 888 руб. Свободный член формально незначим (p = 0,0625) и не имеет содержательной интерпретации, поскольку соответствует гипотетической квартире нулевой площади. Уравнение регрессии: Цена = −2 260 058 + 160 888 · Площадь. Модель объясняет 34,1% вариации цен (R² = 0,341; Adj. R² = 0,337), что согласуется с квадратом коэффициента корреляции площади с ценой (r² ≈ 0,341), рассчитанным в предыдущей главе.</w:t>
      </w:r>
    </w:p>
    <w:p w14:paraId="753FB36E">
      <w:pPr>
        <w:spacing w:before="200" w:after="150"/>
        <w:jc w:val="left"/>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Модель 2. </w:t>
      </w:r>
    </w:p>
    <w:p w14:paraId="3EF9A620">
      <w:pPr>
        <w:spacing w:before="200" w:after="150"/>
        <w:jc w:val="left"/>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sz w:val="28"/>
          <w:szCs w:val="28"/>
        </w:rPr>
        <w:t>Цена = β₀ + β₁ · Площадь + β₂ · Комнаты + β₃ · Площадь кухни</w:t>
      </w:r>
    </w:p>
    <w:p w14:paraId="1B0C0F86">
      <w:pPr>
        <w:spacing w:after="200" w:line="24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 модель дополнительно включены количество комнат и площадь кухни — характеристики, показавшие статистически значимую (хотя и более слабую) корреляцию с ценой. </w:t>
      </w:r>
    </w:p>
    <w:p w14:paraId="2E60186B">
      <w:pPr>
        <w:spacing w:after="200" w:line="240" w:lineRule="auto"/>
        <w:ind w:firstLine="567"/>
        <w:jc w:val="both"/>
        <w:rPr>
          <w:rFonts w:ascii="Times New Roman" w:hAnsi="Times New Roman" w:eastAsia="Times New Roman" w:cs="Times New Roman"/>
          <w:sz w:val="28"/>
          <w:szCs w:val="28"/>
        </w:rPr>
      </w:pPr>
    </w:p>
    <w:tbl>
      <w:tblPr>
        <w:tblW w:w="9487"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2162"/>
        <w:gridCol w:w="1636"/>
        <w:gridCol w:w="1777"/>
        <w:gridCol w:w="1512"/>
        <w:gridCol w:w="950"/>
        <w:gridCol w:w="1450"/>
      </w:tblGrid>
      <w:tr w14:paraId="1C929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2" w:type="dxa"/>
            <w:tcBorders>
              <w:top w:val="single" w:color="auto" w:sz="4" w:space="0"/>
              <w:left w:val="single" w:color="auto" w:sz="4" w:space="0"/>
              <w:bottom w:val="single" w:color="auto" w:sz="4" w:space="0"/>
              <w:right w:val="single" w:color="auto" w:sz="4" w:space="0"/>
            </w:tcBorders>
            <w:shd w:val="clear"/>
            <w:noWrap/>
            <w:vAlign w:val="center"/>
          </w:tcPr>
          <w:p w14:paraId="458C7E5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Переменная</w:t>
            </w:r>
          </w:p>
        </w:tc>
        <w:tc>
          <w:tcPr>
            <w:tcW w:w="1636" w:type="dxa"/>
            <w:tcBorders>
              <w:top w:val="single" w:color="auto" w:sz="4" w:space="0"/>
              <w:left w:val="single" w:color="auto" w:sz="4" w:space="0"/>
              <w:bottom w:val="single" w:color="auto" w:sz="4" w:space="0"/>
              <w:right w:val="single" w:color="auto" w:sz="4" w:space="0"/>
            </w:tcBorders>
            <w:shd w:val="clear"/>
            <w:noWrap/>
            <w:vAlign w:val="center"/>
          </w:tcPr>
          <w:p w14:paraId="513D071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Коэффициент</w:t>
            </w:r>
          </w:p>
        </w:tc>
        <w:tc>
          <w:tcPr>
            <w:tcW w:w="1777" w:type="dxa"/>
            <w:tcBorders>
              <w:top w:val="single" w:color="auto" w:sz="4" w:space="0"/>
              <w:left w:val="single" w:color="auto" w:sz="4" w:space="0"/>
              <w:bottom w:val="single" w:color="auto" w:sz="4" w:space="0"/>
              <w:right w:val="single" w:color="auto" w:sz="4" w:space="0"/>
            </w:tcBorders>
            <w:shd w:val="clear"/>
            <w:noWrap/>
            <w:vAlign w:val="center"/>
          </w:tcPr>
          <w:p w14:paraId="75B2611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Стандартная ошибка</w:t>
            </w:r>
          </w:p>
        </w:tc>
        <w:tc>
          <w:tcPr>
            <w:tcW w:w="1512" w:type="dxa"/>
            <w:tcBorders>
              <w:top w:val="single" w:color="auto" w:sz="4" w:space="0"/>
              <w:left w:val="single" w:color="auto" w:sz="4" w:space="0"/>
              <w:bottom w:val="single" w:color="auto" w:sz="4" w:space="0"/>
              <w:right w:val="single" w:color="auto" w:sz="4" w:space="0"/>
            </w:tcBorders>
            <w:shd w:val="clear"/>
            <w:noWrap/>
            <w:vAlign w:val="center"/>
          </w:tcPr>
          <w:p w14:paraId="123F828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t-статистика</w:t>
            </w:r>
          </w:p>
        </w:tc>
        <w:tc>
          <w:tcPr>
            <w:tcW w:w="950" w:type="dxa"/>
            <w:tcBorders>
              <w:top w:val="single" w:color="auto" w:sz="4" w:space="0"/>
              <w:left w:val="single" w:color="auto" w:sz="4" w:space="0"/>
              <w:bottom w:val="single" w:color="auto" w:sz="4" w:space="0"/>
              <w:right w:val="single" w:color="auto" w:sz="4" w:space="0"/>
            </w:tcBorders>
            <w:shd w:val="clear"/>
            <w:noWrap/>
            <w:vAlign w:val="center"/>
          </w:tcPr>
          <w:p w14:paraId="50F2E5E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p-value</w:t>
            </w:r>
          </w:p>
        </w:tc>
        <w:tc>
          <w:tcPr>
            <w:tcW w:w="1450" w:type="dxa"/>
            <w:tcBorders>
              <w:top w:val="single" w:color="auto" w:sz="4" w:space="0"/>
              <w:left w:val="single" w:color="auto" w:sz="4" w:space="0"/>
              <w:bottom w:val="single" w:color="auto" w:sz="4" w:space="0"/>
              <w:right w:val="single" w:color="auto" w:sz="4" w:space="0"/>
            </w:tcBorders>
            <w:shd w:val="clear"/>
            <w:noWrap/>
            <w:vAlign w:val="center"/>
          </w:tcPr>
          <w:p w14:paraId="7A52692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Значимость</w:t>
            </w:r>
          </w:p>
        </w:tc>
      </w:tr>
      <w:tr w14:paraId="41C69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2162" w:type="dxa"/>
            <w:tcBorders>
              <w:top w:val="single" w:color="auto" w:sz="4" w:space="0"/>
              <w:left w:val="single" w:color="auto" w:sz="4" w:space="0"/>
              <w:bottom w:val="single" w:color="auto" w:sz="4" w:space="0"/>
              <w:right w:val="single" w:color="auto" w:sz="4" w:space="0"/>
            </w:tcBorders>
            <w:shd w:val="clear"/>
            <w:noWrap/>
            <w:vAlign w:val="center"/>
          </w:tcPr>
          <w:p w14:paraId="57A0E57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Константа</w:t>
            </w:r>
          </w:p>
        </w:tc>
        <w:tc>
          <w:tcPr>
            <w:tcW w:w="1636" w:type="dxa"/>
            <w:tcBorders>
              <w:top w:val="single" w:color="auto" w:sz="4" w:space="0"/>
              <w:left w:val="single" w:color="auto" w:sz="4" w:space="0"/>
              <w:bottom w:val="single" w:color="auto" w:sz="4" w:space="0"/>
              <w:right w:val="single" w:color="auto" w:sz="4" w:space="0"/>
            </w:tcBorders>
            <w:shd w:val="clear"/>
            <w:noWrap/>
            <w:vAlign w:val="center"/>
          </w:tcPr>
          <w:p w14:paraId="17C748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-2808934.774</w:t>
            </w:r>
          </w:p>
        </w:tc>
        <w:tc>
          <w:tcPr>
            <w:tcW w:w="1777" w:type="dxa"/>
            <w:tcBorders>
              <w:top w:val="single" w:color="auto" w:sz="4" w:space="0"/>
              <w:left w:val="single" w:color="auto" w:sz="4" w:space="0"/>
              <w:bottom w:val="single" w:color="auto" w:sz="4" w:space="0"/>
              <w:right w:val="single" w:color="auto" w:sz="4" w:space="0"/>
            </w:tcBorders>
            <w:shd w:val="clear"/>
            <w:noWrap/>
            <w:vAlign w:val="center"/>
          </w:tcPr>
          <w:p w14:paraId="285248A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1405443.814</w:t>
            </w:r>
          </w:p>
        </w:tc>
        <w:tc>
          <w:tcPr>
            <w:tcW w:w="1512" w:type="dxa"/>
            <w:tcBorders>
              <w:top w:val="single" w:color="auto" w:sz="4" w:space="0"/>
              <w:left w:val="single" w:color="auto" w:sz="4" w:space="0"/>
              <w:bottom w:val="single" w:color="auto" w:sz="4" w:space="0"/>
              <w:right w:val="single" w:color="auto" w:sz="4" w:space="0"/>
            </w:tcBorders>
            <w:shd w:val="clear"/>
            <w:noWrap/>
            <w:vAlign w:val="center"/>
          </w:tcPr>
          <w:p w14:paraId="665EBBF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-1.999</w:t>
            </w:r>
          </w:p>
        </w:tc>
        <w:tc>
          <w:tcPr>
            <w:tcW w:w="950" w:type="dxa"/>
            <w:tcBorders>
              <w:top w:val="single" w:color="auto" w:sz="4" w:space="0"/>
              <w:left w:val="single" w:color="auto" w:sz="4" w:space="0"/>
              <w:bottom w:val="single" w:color="auto" w:sz="4" w:space="0"/>
              <w:right w:val="single" w:color="auto" w:sz="4" w:space="0"/>
            </w:tcBorders>
            <w:shd w:val="clear"/>
            <w:noWrap/>
            <w:vAlign w:val="center"/>
          </w:tcPr>
          <w:p w14:paraId="2AD4215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0.0471</w:t>
            </w:r>
          </w:p>
        </w:tc>
        <w:tc>
          <w:tcPr>
            <w:tcW w:w="1450" w:type="dxa"/>
            <w:tcBorders>
              <w:top w:val="single" w:color="auto" w:sz="4" w:space="0"/>
              <w:left w:val="single" w:color="auto" w:sz="4" w:space="0"/>
              <w:bottom w:val="single" w:color="auto" w:sz="4" w:space="0"/>
              <w:right w:val="single" w:color="auto" w:sz="4" w:space="0"/>
            </w:tcBorders>
            <w:shd w:val="clear"/>
            <w:noWrap/>
            <w:vAlign w:val="center"/>
          </w:tcPr>
          <w:p w14:paraId="531367A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w:t>
            </w:r>
          </w:p>
        </w:tc>
      </w:tr>
      <w:tr w14:paraId="46769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2" w:type="dxa"/>
            <w:tcBorders>
              <w:top w:val="single" w:color="auto" w:sz="4" w:space="0"/>
              <w:left w:val="single" w:color="auto" w:sz="4" w:space="0"/>
              <w:bottom w:val="single" w:color="auto" w:sz="4" w:space="0"/>
              <w:right w:val="single" w:color="auto" w:sz="4" w:space="0"/>
            </w:tcBorders>
            <w:shd w:val="clear"/>
            <w:noWrap/>
            <w:vAlign w:val="center"/>
          </w:tcPr>
          <w:p w14:paraId="32EBD88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общая площадь</w:t>
            </w:r>
          </w:p>
        </w:tc>
        <w:tc>
          <w:tcPr>
            <w:tcW w:w="1636" w:type="dxa"/>
            <w:tcBorders>
              <w:top w:val="single" w:color="auto" w:sz="4" w:space="0"/>
              <w:left w:val="single" w:color="auto" w:sz="4" w:space="0"/>
              <w:bottom w:val="single" w:color="auto" w:sz="4" w:space="0"/>
              <w:right w:val="single" w:color="auto" w:sz="4" w:space="0"/>
            </w:tcBorders>
            <w:shd w:val="clear"/>
            <w:noWrap/>
            <w:vAlign w:val="center"/>
          </w:tcPr>
          <w:p w14:paraId="753AC16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126528.137</w:t>
            </w:r>
          </w:p>
        </w:tc>
        <w:tc>
          <w:tcPr>
            <w:tcW w:w="1777" w:type="dxa"/>
            <w:tcBorders>
              <w:top w:val="single" w:color="auto" w:sz="4" w:space="0"/>
              <w:left w:val="single" w:color="auto" w:sz="4" w:space="0"/>
              <w:bottom w:val="single" w:color="auto" w:sz="4" w:space="0"/>
              <w:right w:val="single" w:color="auto" w:sz="4" w:space="0"/>
            </w:tcBorders>
            <w:shd w:val="clear"/>
            <w:noWrap/>
            <w:vAlign w:val="center"/>
          </w:tcPr>
          <w:p w14:paraId="40C8B46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24426.889</w:t>
            </w:r>
          </w:p>
        </w:tc>
        <w:tc>
          <w:tcPr>
            <w:tcW w:w="1512" w:type="dxa"/>
            <w:tcBorders>
              <w:top w:val="single" w:color="auto" w:sz="4" w:space="0"/>
              <w:left w:val="single" w:color="auto" w:sz="4" w:space="0"/>
              <w:bottom w:val="single" w:color="auto" w:sz="4" w:space="0"/>
              <w:right w:val="single" w:color="auto" w:sz="4" w:space="0"/>
            </w:tcBorders>
            <w:shd w:val="clear"/>
            <w:noWrap/>
            <w:vAlign w:val="center"/>
          </w:tcPr>
          <w:p w14:paraId="6A76211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5.18</w:t>
            </w:r>
          </w:p>
        </w:tc>
        <w:tc>
          <w:tcPr>
            <w:tcW w:w="950" w:type="dxa"/>
            <w:tcBorders>
              <w:top w:val="single" w:color="auto" w:sz="4" w:space="0"/>
              <w:left w:val="single" w:color="auto" w:sz="4" w:space="0"/>
              <w:bottom w:val="single" w:color="auto" w:sz="4" w:space="0"/>
              <w:right w:val="single" w:color="auto" w:sz="4" w:space="0"/>
            </w:tcBorders>
            <w:shd w:val="clear"/>
            <w:noWrap/>
            <w:vAlign w:val="center"/>
          </w:tcPr>
          <w:p w14:paraId="350F59F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w:t>
            </w:r>
          </w:p>
        </w:tc>
        <w:tc>
          <w:tcPr>
            <w:tcW w:w="1450" w:type="dxa"/>
            <w:tcBorders>
              <w:top w:val="single" w:color="auto" w:sz="4" w:space="0"/>
              <w:left w:val="single" w:color="auto" w:sz="4" w:space="0"/>
              <w:bottom w:val="single" w:color="auto" w:sz="4" w:space="0"/>
              <w:right w:val="single" w:color="auto" w:sz="4" w:space="0"/>
            </w:tcBorders>
            <w:shd w:val="clear"/>
            <w:noWrap/>
            <w:vAlign w:val="center"/>
          </w:tcPr>
          <w:p w14:paraId="3799108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w:t>
            </w:r>
          </w:p>
        </w:tc>
      </w:tr>
      <w:tr w14:paraId="187794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2" w:type="dxa"/>
            <w:tcBorders>
              <w:top w:val="single" w:color="auto" w:sz="4" w:space="0"/>
              <w:left w:val="single" w:color="auto" w:sz="4" w:space="0"/>
              <w:bottom w:val="single" w:color="auto" w:sz="4" w:space="0"/>
              <w:right w:val="single" w:color="auto" w:sz="4" w:space="0"/>
            </w:tcBorders>
            <w:shd w:val="clear"/>
            <w:noWrap/>
            <w:vAlign w:val="center"/>
          </w:tcPr>
          <w:p w14:paraId="560DA37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количество комнат</w:t>
            </w:r>
          </w:p>
        </w:tc>
        <w:tc>
          <w:tcPr>
            <w:tcW w:w="1636" w:type="dxa"/>
            <w:tcBorders>
              <w:top w:val="single" w:color="auto" w:sz="4" w:space="0"/>
              <w:left w:val="single" w:color="auto" w:sz="4" w:space="0"/>
              <w:bottom w:val="single" w:color="auto" w:sz="4" w:space="0"/>
              <w:right w:val="single" w:color="auto" w:sz="4" w:space="0"/>
            </w:tcBorders>
            <w:shd w:val="clear"/>
            <w:noWrap/>
            <w:vAlign w:val="center"/>
          </w:tcPr>
          <w:p w14:paraId="488BA36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1844948.85</w:t>
            </w:r>
          </w:p>
        </w:tc>
        <w:tc>
          <w:tcPr>
            <w:tcW w:w="1777" w:type="dxa"/>
            <w:tcBorders>
              <w:top w:val="single" w:color="auto" w:sz="4" w:space="0"/>
              <w:left w:val="single" w:color="auto" w:sz="4" w:space="0"/>
              <w:bottom w:val="single" w:color="auto" w:sz="4" w:space="0"/>
              <w:right w:val="single" w:color="auto" w:sz="4" w:space="0"/>
            </w:tcBorders>
            <w:shd w:val="clear"/>
            <w:noWrap/>
            <w:vAlign w:val="center"/>
          </w:tcPr>
          <w:p w14:paraId="23CAB9B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679345.454</w:t>
            </w:r>
          </w:p>
        </w:tc>
        <w:tc>
          <w:tcPr>
            <w:tcW w:w="1512" w:type="dxa"/>
            <w:tcBorders>
              <w:top w:val="single" w:color="auto" w:sz="4" w:space="0"/>
              <w:left w:val="single" w:color="auto" w:sz="4" w:space="0"/>
              <w:bottom w:val="single" w:color="auto" w:sz="4" w:space="0"/>
              <w:right w:val="single" w:color="auto" w:sz="4" w:space="0"/>
            </w:tcBorders>
            <w:shd w:val="clear"/>
            <w:noWrap/>
            <w:vAlign w:val="center"/>
          </w:tcPr>
          <w:p w14:paraId="7C7E65A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2.716</w:t>
            </w:r>
          </w:p>
        </w:tc>
        <w:tc>
          <w:tcPr>
            <w:tcW w:w="950" w:type="dxa"/>
            <w:tcBorders>
              <w:top w:val="single" w:color="auto" w:sz="4" w:space="0"/>
              <w:left w:val="single" w:color="auto" w:sz="4" w:space="0"/>
              <w:bottom w:val="single" w:color="auto" w:sz="4" w:space="0"/>
              <w:right w:val="single" w:color="auto" w:sz="4" w:space="0"/>
            </w:tcBorders>
            <w:shd w:val="clear"/>
            <w:noWrap/>
            <w:vAlign w:val="center"/>
          </w:tcPr>
          <w:p w14:paraId="48E5D37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0.0072</w:t>
            </w:r>
          </w:p>
        </w:tc>
        <w:tc>
          <w:tcPr>
            <w:tcW w:w="1450" w:type="dxa"/>
            <w:tcBorders>
              <w:top w:val="single" w:color="auto" w:sz="4" w:space="0"/>
              <w:left w:val="single" w:color="auto" w:sz="4" w:space="0"/>
              <w:bottom w:val="single" w:color="auto" w:sz="4" w:space="0"/>
              <w:right w:val="single" w:color="auto" w:sz="4" w:space="0"/>
            </w:tcBorders>
            <w:shd w:val="clear"/>
            <w:noWrap/>
            <w:vAlign w:val="center"/>
          </w:tcPr>
          <w:p w14:paraId="3277602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значим</w:t>
            </w:r>
          </w:p>
        </w:tc>
      </w:tr>
      <w:tr w14:paraId="0AB3A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2" w:type="dxa"/>
            <w:tcBorders>
              <w:top w:val="single" w:color="auto" w:sz="4" w:space="0"/>
              <w:left w:val="single" w:color="auto" w:sz="4" w:space="0"/>
              <w:bottom w:val="single" w:color="auto" w:sz="4" w:space="0"/>
              <w:right w:val="single" w:color="auto" w:sz="4" w:space="0"/>
            </w:tcBorders>
            <w:shd w:val="clear"/>
            <w:noWrap/>
            <w:vAlign w:val="center"/>
          </w:tcPr>
          <w:p w14:paraId="61F8E30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площадь кухни</w:t>
            </w:r>
          </w:p>
        </w:tc>
        <w:tc>
          <w:tcPr>
            <w:tcW w:w="1636" w:type="dxa"/>
            <w:tcBorders>
              <w:top w:val="single" w:color="auto" w:sz="4" w:space="0"/>
              <w:left w:val="single" w:color="auto" w:sz="4" w:space="0"/>
              <w:bottom w:val="single" w:color="auto" w:sz="4" w:space="0"/>
              <w:right w:val="single" w:color="auto" w:sz="4" w:space="0"/>
            </w:tcBorders>
            <w:shd w:val="clear"/>
            <w:noWrap/>
            <w:vAlign w:val="center"/>
          </w:tcPr>
          <w:p w14:paraId="40DD745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-62440.201</w:t>
            </w:r>
          </w:p>
        </w:tc>
        <w:tc>
          <w:tcPr>
            <w:tcW w:w="1777" w:type="dxa"/>
            <w:tcBorders>
              <w:top w:val="single" w:color="auto" w:sz="4" w:space="0"/>
              <w:left w:val="single" w:color="auto" w:sz="4" w:space="0"/>
              <w:bottom w:val="single" w:color="auto" w:sz="4" w:space="0"/>
              <w:right w:val="single" w:color="auto" w:sz="4" w:space="0"/>
            </w:tcBorders>
            <w:shd w:val="clear"/>
            <w:noWrap/>
            <w:vAlign w:val="center"/>
          </w:tcPr>
          <w:p w14:paraId="36AFCA4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75736.384</w:t>
            </w:r>
          </w:p>
        </w:tc>
        <w:tc>
          <w:tcPr>
            <w:tcW w:w="1512" w:type="dxa"/>
            <w:tcBorders>
              <w:top w:val="single" w:color="auto" w:sz="4" w:space="0"/>
              <w:left w:val="single" w:color="auto" w:sz="4" w:space="0"/>
              <w:bottom w:val="single" w:color="auto" w:sz="4" w:space="0"/>
              <w:right w:val="single" w:color="auto" w:sz="4" w:space="0"/>
            </w:tcBorders>
            <w:shd w:val="clear"/>
            <w:noWrap/>
            <w:vAlign w:val="center"/>
          </w:tcPr>
          <w:p w14:paraId="2BD76BF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-0.824</w:t>
            </w:r>
          </w:p>
        </w:tc>
        <w:tc>
          <w:tcPr>
            <w:tcW w:w="950" w:type="dxa"/>
            <w:tcBorders>
              <w:top w:val="single" w:color="auto" w:sz="4" w:space="0"/>
              <w:left w:val="single" w:color="auto" w:sz="4" w:space="0"/>
              <w:bottom w:val="single" w:color="auto" w:sz="4" w:space="0"/>
              <w:right w:val="single" w:color="auto" w:sz="4" w:space="0"/>
            </w:tcBorders>
            <w:shd w:val="clear"/>
            <w:noWrap/>
            <w:vAlign w:val="center"/>
          </w:tcPr>
          <w:p w14:paraId="2FD7032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0.4107</w:t>
            </w:r>
          </w:p>
        </w:tc>
        <w:tc>
          <w:tcPr>
            <w:tcW w:w="1450" w:type="dxa"/>
            <w:tcBorders>
              <w:top w:val="single" w:color="auto" w:sz="4" w:space="0"/>
              <w:left w:val="single" w:color="auto" w:sz="4" w:space="0"/>
              <w:bottom w:val="single" w:color="auto" w:sz="4" w:space="0"/>
              <w:right w:val="single" w:color="auto" w:sz="4" w:space="0"/>
            </w:tcBorders>
            <w:shd w:val="clear"/>
            <w:noWrap/>
            <w:vAlign w:val="center"/>
          </w:tcPr>
          <w:p w14:paraId="32A1399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bdr w:val="none" w:color="auto" w:sz="0" w:space="0"/>
                <w:lang w:val="en-US" w:eastAsia="zh-CN" w:bidi="ar"/>
                <w14:ligatures w14:val="standardContextual"/>
              </w:rPr>
              <w:t>не значим</w:t>
            </w:r>
          </w:p>
        </w:tc>
      </w:tr>
    </w:tbl>
    <w:p w14:paraId="65B42682">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szCs w:val="20"/>
        </w:rPr>
        <w:t xml:space="preserve">Таблица </w:t>
      </w:r>
      <w:r>
        <w:rPr>
          <w:rFonts w:hint="default" w:ascii="Times New Roman" w:hAnsi="Times New Roman" w:cs="Times New Roman"/>
          <w:b w:val="0"/>
          <w:bCs w:val="0"/>
          <w:color w:val="auto"/>
          <w:sz w:val="24"/>
          <w:szCs w:val="20"/>
          <w:lang w:val="en-US"/>
        </w:rPr>
        <w:t>6</w:t>
      </w:r>
      <w:r>
        <w:rPr>
          <w:rFonts w:ascii="Times New Roman" w:hAnsi="Times New Roman" w:cs="Times New Roman"/>
          <w:b w:val="0"/>
          <w:bCs w:val="0"/>
          <w:color w:val="auto"/>
          <w:sz w:val="24"/>
          <w:szCs w:val="20"/>
        </w:rPr>
        <w:t xml:space="preserve">. Коэффициенты Модели </w:t>
      </w:r>
      <w:r>
        <w:rPr>
          <w:rFonts w:hint="default" w:ascii="Times New Roman" w:hAnsi="Times New Roman" w:cs="Times New Roman"/>
          <w:b w:val="0"/>
          <w:bCs w:val="0"/>
          <w:color w:val="auto"/>
          <w:sz w:val="24"/>
          <w:szCs w:val="20"/>
          <w:lang w:val="en-US"/>
        </w:rPr>
        <w:t>2</w:t>
      </w:r>
    </w:p>
    <w:p w14:paraId="04B4C34D">
      <w:pPr>
        <w:spacing w:after="200" w:line="240" w:lineRule="auto"/>
        <w:ind w:firstLine="567"/>
        <w:jc w:val="both"/>
      </w:pPr>
      <w:r>
        <w:rPr>
          <w:rFonts w:ascii="Times New Roman" w:hAnsi="Times New Roman" w:eastAsia="Times New Roman" w:cs="Times New Roman"/>
          <w:sz w:val="28"/>
          <w:szCs w:val="28"/>
        </w:rPr>
        <w:t>Коэффициент при площади остаётся значимым, но уменьшается до 126 528 руб/м² (t = 5,18; p &lt; 0,0001) — часть его влияния перераспределяется на количество комнат, которое также оказалось значимым (t = 2,72; p = 0,0072): при фиксированной площади каждая дополнительная комната добавляет к цене в среднем 1 844 949 руб. Площадь кухни, напротив, потеряла значимость (t = −0,82; p = 0,411): её слабая связь с ценой, обнаруженная в корреляционном анализе, по-видимому, полностью объясняется тем, что более просторные кухни характерны для более крупных квартир в целом (r = 0,424 с общей площадью), а не самостоятельным вкладом в цену. Уравнение регрессии: Цена = −2 808 935 + 126 528 · Площадь + 1 844 949 · Комнаты − 62 440 · Площадь кухни. Модель объясняет 37,4% вариации цены (R² = 0,374; Adj. R² = 0,364) — прирост по сравнению с Моделью 1 невелик и обеспечен в основном количеством комнат.</w:t>
      </w:r>
    </w:p>
    <w:p w14:paraId="1428D78C">
      <w:pPr>
        <w:spacing w:before="200" w:after="150"/>
        <w:jc w:val="left"/>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Модель 3. </w:t>
      </w:r>
    </w:p>
    <w:p w14:paraId="33CE1C4B">
      <w:pPr>
        <w:spacing w:before="200" w:after="150"/>
        <w:jc w:val="left"/>
        <w:rPr>
          <w:b w:val="0"/>
          <w:bCs w:val="0"/>
        </w:rPr>
      </w:pPr>
      <w:r>
        <w:rPr>
          <w:rFonts w:ascii="Times New Roman" w:hAnsi="Times New Roman" w:eastAsia="Times New Roman" w:cs="Times New Roman"/>
          <w:b w:val="0"/>
          <w:bCs w:val="0"/>
          <w:sz w:val="28"/>
          <w:szCs w:val="28"/>
        </w:rPr>
        <w:t>Цена = β₀ + β₁ · Жилая площадь + β₂ · Комнаты + β₃ · Расстояние до транспорта</w:t>
      </w:r>
    </w:p>
    <w:p w14:paraId="6F3D4D2A">
      <w:pPr>
        <w:spacing w:after="200" w:line="240" w:lineRule="auto"/>
        <w:ind w:firstLine="567"/>
        <w:jc w:val="both"/>
      </w:pPr>
      <w:r>
        <w:rPr>
          <w:rFonts w:ascii="Times New Roman" w:hAnsi="Times New Roman" w:eastAsia="Times New Roman" w:cs="Times New Roman"/>
          <w:sz w:val="28"/>
          <w:szCs w:val="28"/>
        </w:rPr>
        <w:t>Для проверки того, не работает ли жилая площадь как предиктор лучше общей, в модель включена жилая площадь вместо общей, а также добавлено расстояние до общественного транспорта — характеристика, не показавшая значимой корреляции с ценой при парном анализе. Результаты — в таблице 6.</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818"/>
        <w:gridCol w:w="1666"/>
        <w:gridCol w:w="1771"/>
        <w:gridCol w:w="1475"/>
        <w:gridCol w:w="1000"/>
        <w:gridCol w:w="1446"/>
      </w:tblGrid>
      <w:tr w14:paraId="29A79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990" w:type="pct"/>
            <w:tcBorders>
              <w:top w:val="single" w:color="auto" w:sz="4" w:space="0"/>
              <w:left w:val="single" w:color="auto" w:sz="4" w:space="0"/>
              <w:bottom w:val="single" w:color="auto" w:sz="4" w:space="0"/>
              <w:right w:val="single" w:color="auto" w:sz="4" w:space="0"/>
            </w:tcBorders>
            <w:shd w:val="clear"/>
            <w:noWrap/>
            <w:vAlign w:val="center"/>
          </w:tcPr>
          <w:p w14:paraId="2005057D">
            <w:pPr>
              <w:keepNext w:val="0"/>
              <w:keepLines w:val="0"/>
              <w:widowControl/>
              <w:suppressLineNumbers w:val="0"/>
              <w:jc w:val="left"/>
              <w:textAlignment w:val="center"/>
              <w:rPr>
                <w:rFonts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Переменная</w:t>
            </w:r>
          </w:p>
        </w:tc>
        <w:tc>
          <w:tcPr>
            <w:tcW w:w="907" w:type="pct"/>
            <w:tcBorders>
              <w:top w:val="single" w:color="auto" w:sz="4" w:space="0"/>
              <w:left w:val="single" w:color="auto" w:sz="4" w:space="0"/>
              <w:bottom w:val="single" w:color="auto" w:sz="4" w:space="0"/>
              <w:right w:val="single" w:color="auto" w:sz="4" w:space="0"/>
            </w:tcBorders>
            <w:shd w:val="clear"/>
            <w:noWrap/>
            <w:vAlign w:val="center"/>
          </w:tcPr>
          <w:p w14:paraId="2B7CFEC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Коэффициент</w:t>
            </w:r>
          </w:p>
        </w:tc>
        <w:tc>
          <w:tcPr>
            <w:tcW w:w="965" w:type="pct"/>
            <w:tcBorders>
              <w:top w:val="single" w:color="auto" w:sz="4" w:space="0"/>
              <w:left w:val="single" w:color="auto" w:sz="4" w:space="0"/>
              <w:bottom w:val="single" w:color="auto" w:sz="4" w:space="0"/>
              <w:right w:val="single" w:color="auto" w:sz="4" w:space="0"/>
            </w:tcBorders>
            <w:shd w:val="clear"/>
            <w:noWrap/>
            <w:vAlign w:val="center"/>
          </w:tcPr>
          <w:p w14:paraId="3D3C7812">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Стандартная ошибка</w:t>
            </w:r>
          </w:p>
        </w:tc>
        <w:tc>
          <w:tcPr>
            <w:tcW w:w="803" w:type="pct"/>
            <w:tcBorders>
              <w:top w:val="single" w:color="auto" w:sz="4" w:space="0"/>
              <w:left w:val="single" w:color="auto" w:sz="4" w:space="0"/>
              <w:bottom w:val="single" w:color="auto" w:sz="4" w:space="0"/>
              <w:right w:val="single" w:color="auto" w:sz="4" w:space="0"/>
            </w:tcBorders>
            <w:shd w:val="clear"/>
            <w:noWrap/>
            <w:vAlign w:val="center"/>
          </w:tcPr>
          <w:p w14:paraId="039E999C">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t-статистика</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2FA53672">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p-value</w:t>
            </w:r>
          </w:p>
        </w:tc>
        <w:tc>
          <w:tcPr>
            <w:tcW w:w="787" w:type="pct"/>
            <w:tcBorders>
              <w:top w:val="single" w:color="auto" w:sz="4" w:space="0"/>
              <w:left w:val="single" w:color="auto" w:sz="4" w:space="0"/>
              <w:bottom w:val="single" w:color="auto" w:sz="4" w:space="0"/>
              <w:right w:val="single" w:color="auto" w:sz="4" w:space="0"/>
            </w:tcBorders>
            <w:shd w:val="clear"/>
            <w:noWrap/>
            <w:vAlign w:val="center"/>
          </w:tcPr>
          <w:p w14:paraId="2554654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Значимость</w:t>
            </w:r>
          </w:p>
        </w:tc>
      </w:tr>
      <w:tr w14:paraId="2CAAA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990" w:type="pct"/>
            <w:tcBorders>
              <w:top w:val="single" w:color="auto" w:sz="4" w:space="0"/>
              <w:left w:val="single" w:color="auto" w:sz="4" w:space="0"/>
              <w:bottom w:val="single" w:color="auto" w:sz="4" w:space="0"/>
              <w:right w:val="single" w:color="auto" w:sz="4" w:space="0"/>
            </w:tcBorders>
            <w:shd w:val="clear"/>
            <w:noWrap/>
            <w:vAlign w:val="center"/>
          </w:tcPr>
          <w:p w14:paraId="337771CE">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Константа</w:t>
            </w:r>
          </w:p>
        </w:tc>
        <w:tc>
          <w:tcPr>
            <w:tcW w:w="907" w:type="pct"/>
            <w:tcBorders>
              <w:top w:val="single" w:color="auto" w:sz="4" w:space="0"/>
              <w:left w:val="single" w:color="auto" w:sz="4" w:space="0"/>
              <w:bottom w:val="single" w:color="auto" w:sz="4" w:space="0"/>
              <w:right w:val="single" w:color="auto" w:sz="4" w:space="0"/>
            </w:tcBorders>
            <w:shd w:val="clear"/>
            <w:noWrap/>
            <w:vAlign w:val="center"/>
          </w:tcPr>
          <w:p w14:paraId="01C226D6">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-1200760.397</w:t>
            </w:r>
          </w:p>
        </w:tc>
        <w:tc>
          <w:tcPr>
            <w:tcW w:w="965" w:type="pct"/>
            <w:tcBorders>
              <w:top w:val="single" w:color="auto" w:sz="4" w:space="0"/>
              <w:left w:val="single" w:color="auto" w:sz="4" w:space="0"/>
              <w:bottom w:val="single" w:color="auto" w:sz="4" w:space="0"/>
              <w:right w:val="single" w:color="auto" w:sz="4" w:space="0"/>
            </w:tcBorders>
            <w:shd w:val="clear"/>
            <w:noWrap/>
            <w:vAlign w:val="center"/>
          </w:tcPr>
          <w:p w14:paraId="62C8F214">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1249273.352</w:t>
            </w:r>
          </w:p>
        </w:tc>
        <w:tc>
          <w:tcPr>
            <w:tcW w:w="803" w:type="pct"/>
            <w:tcBorders>
              <w:top w:val="single" w:color="auto" w:sz="4" w:space="0"/>
              <w:left w:val="single" w:color="auto" w:sz="4" w:space="0"/>
              <w:bottom w:val="single" w:color="auto" w:sz="4" w:space="0"/>
              <w:right w:val="single" w:color="auto" w:sz="4" w:space="0"/>
            </w:tcBorders>
            <w:shd w:val="clear"/>
            <w:noWrap/>
            <w:vAlign w:val="center"/>
          </w:tcPr>
          <w:p w14:paraId="4047B73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-0.961</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308FAF8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0.3377</w:t>
            </w:r>
          </w:p>
        </w:tc>
        <w:tc>
          <w:tcPr>
            <w:tcW w:w="787" w:type="pct"/>
            <w:tcBorders>
              <w:top w:val="single" w:color="auto" w:sz="4" w:space="0"/>
              <w:left w:val="single" w:color="auto" w:sz="4" w:space="0"/>
              <w:bottom w:val="single" w:color="auto" w:sz="4" w:space="0"/>
              <w:right w:val="single" w:color="auto" w:sz="4" w:space="0"/>
            </w:tcBorders>
            <w:shd w:val="clear"/>
            <w:noWrap/>
            <w:vAlign w:val="center"/>
          </w:tcPr>
          <w:p w14:paraId="269E87B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не значим</w:t>
            </w:r>
          </w:p>
        </w:tc>
      </w:tr>
      <w:tr w14:paraId="5A7343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990" w:type="pct"/>
            <w:tcBorders>
              <w:top w:val="single" w:color="auto" w:sz="4" w:space="0"/>
              <w:left w:val="single" w:color="auto" w:sz="4" w:space="0"/>
              <w:bottom w:val="single" w:color="auto" w:sz="4" w:space="0"/>
              <w:right w:val="single" w:color="auto" w:sz="4" w:space="0"/>
            </w:tcBorders>
            <w:shd w:val="clear"/>
            <w:noWrap/>
            <w:vAlign w:val="center"/>
          </w:tcPr>
          <w:p w14:paraId="348E2D6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жилая площадь</w:t>
            </w:r>
          </w:p>
        </w:tc>
        <w:tc>
          <w:tcPr>
            <w:tcW w:w="907" w:type="pct"/>
            <w:tcBorders>
              <w:top w:val="single" w:color="auto" w:sz="4" w:space="0"/>
              <w:left w:val="single" w:color="auto" w:sz="4" w:space="0"/>
              <w:bottom w:val="single" w:color="auto" w:sz="4" w:space="0"/>
              <w:right w:val="single" w:color="auto" w:sz="4" w:space="0"/>
            </w:tcBorders>
            <w:shd w:val="clear"/>
            <w:noWrap/>
            <w:vAlign w:val="center"/>
          </w:tcPr>
          <w:p w14:paraId="4C4790B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142257.775</w:t>
            </w:r>
          </w:p>
        </w:tc>
        <w:tc>
          <w:tcPr>
            <w:tcW w:w="965" w:type="pct"/>
            <w:tcBorders>
              <w:top w:val="single" w:color="auto" w:sz="4" w:space="0"/>
              <w:left w:val="single" w:color="auto" w:sz="4" w:space="0"/>
              <w:bottom w:val="single" w:color="auto" w:sz="4" w:space="0"/>
              <w:right w:val="single" w:color="auto" w:sz="4" w:space="0"/>
            </w:tcBorders>
            <w:shd w:val="clear"/>
            <w:noWrap/>
            <w:vAlign w:val="center"/>
          </w:tcPr>
          <w:p w14:paraId="3BB024F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26850.97</w:t>
            </w:r>
          </w:p>
        </w:tc>
        <w:tc>
          <w:tcPr>
            <w:tcW w:w="803" w:type="pct"/>
            <w:tcBorders>
              <w:top w:val="single" w:color="auto" w:sz="4" w:space="0"/>
              <w:left w:val="single" w:color="auto" w:sz="4" w:space="0"/>
              <w:bottom w:val="single" w:color="auto" w:sz="4" w:space="0"/>
              <w:right w:val="single" w:color="auto" w:sz="4" w:space="0"/>
            </w:tcBorders>
            <w:shd w:val="clear"/>
            <w:noWrap/>
            <w:vAlign w:val="center"/>
          </w:tcPr>
          <w:p w14:paraId="6CBA0448">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5.298</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595643B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w:t>
            </w:r>
          </w:p>
        </w:tc>
        <w:tc>
          <w:tcPr>
            <w:tcW w:w="787" w:type="pct"/>
            <w:tcBorders>
              <w:top w:val="single" w:color="auto" w:sz="4" w:space="0"/>
              <w:left w:val="single" w:color="auto" w:sz="4" w:space="0"/>
              <w:bottom w:val="single" w:color="auto" w:sz="4" w:space="0"/>
              <w:right w:val="single" w:color="auto" w:sz="4" w:space="0"/>
            </w:tcBorders>
            <w:shd w:val="clear"/>
            <w:noWrap/>
            <w:vAlign w:val="center"/>
          </w:tcPr>
          <w:p w14:paraId="3AD5102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r w14:paraId="43FC5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990" w:type="pct"/>
            <w:tcBorders>
              <w:top w:val="single" w:color="auto" w:sz="4" w:space="0"/>
              <w:left w:val="single" w:color="auto" w:sz="4" w:space="0"/>
              <w:bottom w:val="single" w:color="auto" w:sz="4" w:space="0"/>
              <w:right w:val="single" w:color="auto" w:sz="4" w:space="0"/>
            </w:tcBorders>
            <w:shd w:val="clear"/>
            <w:noWrap/>
            <w:vAlign w:val="center"/>
          </w:tcPr>
          <w:p w14:paraId="4A016E6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количество комнат</w:t>
            </w:r>
          </w:p>
        </w:tc>
        <w:tc>
          <w:tcPr>
            <w:tcW w:w="907" w:type="pct"/>
            <w:tcBorders>
              <w:top w:val="single" w:color="auto" w:sz="4" w:space="0"/>
              <w:left w:val="single" w:color="auto" w:sz="4" w:space="0"/>
              <w:bottom w:val="single" w:color="auto" w:sz="4" w:space="0"/>
              <w:right w:val="single" w:color="auto" w:sz="4" w:space="0"/>
            </w:tcBorders>
            <w:shd w:val="clear"/>
            <w:noWrap/>
            <w:vAlign w:val="center"/>
          </w:tcPr>
          <w:p w14:paraId="0AD0FBEA">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1997806.484</w:t>
            </w:r>
          </w:p>
        </w:tc>
        <w:tc>
          <w:tcPr>
            <w:tcW w:w="965" w:type="pct"/>
            <w:tcBorders>
              <w:top w:val="single" w:color="auto" w:sz="4" w:space="0"/>
              <w:left w:val="single" w:color="auto" w:sz="4" w:space="0"/>
              <w:bottom w:val="single" w:color="auto" w:sz="4" w:space="0"/>
              <w:right w:val="single" w:color="auto" w:sz="4" w:space="0"/>
            </w:tcBorders>
            <w:shd w:val="clear"/>
            <w:noWrap/>
            <w:vAlign w:val="center"/>
          </w:tcPr>
          <w:p w14:paraId="50B806CA">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663767.954</w:t>
            </w:r>
          </w:p>
        </w:tc>
        <w:tc>
          <w:tcPr>
            <w:tcW w:w="803" w:type="pct"/>
            <w:tcBorders>
              <w:top w:val="single" w:color="auto" w:sz="4" w:space="0"/>
              <w:left w:val="single" w:color="auto" w:sz="4" w:space="0"/>
              <w:bottom w:val="single" w:color="auto" w:sz="4" w:space="0"/>
              <w:right w:val="single" w:color="auto" w:sz="4" w:space="0"/>
            </w:tcBorders>
            <w:shd w:val="clear"/>
            <w:noWrap/>
            <w:vAlign w:val="center"/>
          </w:tcPr>
          <w:p w14:paraId="74B2F47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3.01</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352938C3">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0.003</w:t>
            </w:r>
          </w:p>
        </w:tc>
        <w:tc>
          <w:tcPr>
            <w:tcW w:w="787" w:type="pct"/>
            <w:tcBorders>
              <w:top w:val="single" w:color="auto" w:sz="4" w:space="0"/>
              <w:left w:val="single" w:color="auto" w:sz="4" w:space="0"/>
              <w:bottom w:val="single" w:color="auto" w:sz="4" w:space="0"/>
              <w:right w:val="single" w:color="auto" w:sz="4" w:space="0"/>
            </w:tcBorders>
            <w:shd w:val="clear"/>
            <w:noWrap/>
            <w:vAlign w:val="center"/>
          </w:tcPr>
          <w:p w14:paraId="2BBC3B6E">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r w14:paraId="07BF1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990" w:type="pct"/>
            <w:tcBorders>
              <w:top w:val="single" w:color="auto" w:sz="4" w:space="0"/>
              <w:left w:val="single" w:color="auto" w:sz="4" w:space="0"/>
              <w:bottom w:val="single" w:color="auto" w:sz="4" w:space="0"/>
              <w:right w:val="single" w:color="auto" w:sz="4" w:space="0"/>
            </w:tcBorders>
            <w:shd w:val="clear"/>
            <w:noWrap/>
            <w:vAlign w:val="center"/>
          </w:tcPr>
          <w:p w14:paraId="379BFE8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транспорт</w:t>
            </w:r>
          </w:p>
        </w:tc>
        <w:tc>
          <w:tcPr>
            <w:tcW w:w="907" w:type="pct"/>
            <w:tcBorders>
              <w:top w:val="single" w:color="auto" w:sz="4" w:space="0"/>
              <w:left w:val="single" w:color="auto" w:sz="4" w:space="0"/>
              <w:bottom w:val="single" w:color="auto" w:sz="4" w:space="0"/>
              <w:right w:val="single" w:color="auto" w:sz="4" w:space="0"/>
            </w:tcBorders>
            <w:shd w:val="clear"/>
            <w:noWrap/>
            <w:vAlign w:val="center"/>
          </w:tcPr>
          <w:p w14:paraId="6EE3C97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-59.03</w:t>
            </w:r>
          </w:p>
        </w:tc>
        <w:tc>
          <w:tcPr>
            <w:tcW w:w="965" w:type="pct"/>
            <w:tcBorders>
              <w:top w:val="single" w:color="auto" w:sz="4" w:space="0"/>
              <w:left w:val="single" w:color="auto" w:sz="4" w:space="0"/>
              <w:bottom w:val="single" w:color="auto" w:sz="4" w:space="0"/>
              <w:right w:val="single" w:color="auto" w:sz="4" w:space="0"/>
            </w:tcBorders>
            <w:shd w:val="clear"/>
            <w:noWrap/>
            <w:vAlign w:val="center"/>
          </w:tcPr>
          <w:p w14:paraId="71D026C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759.784</w:t>
            </w:r>
          </w:p>
        </w:tc>
        <w:tc>
          <w:tcPr>
            <w:tcW w:w="803" w:type="pct"/>
            <w:tcBorders>
              <w:top w:val="single" w:color="auto" w:sz="4" w:space="0"/>
              <w:left w:val="single" w:color="auto" w:sz="4" w:space="0"/>
              <w:bottom w:val="single" w:color="auto" w:sz="4" w:space="0"/>
              <w:right w:val="single" w:color="auto" w:sz="4" w:space="0"/>
            </w:tcBorders>
            <w:shd w:val="clear"/>
            <w:noWrap/>
            <w:vAlign w:val="center"/>
          </w:tcPr>
          <w:p w14:paraId="4AF6F93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-0.078</w:t>
            </w:r>
          </w:p>
        </w:tc>
        <w:tc>
          <w:tcPr>
            <w:tcW w:w="544" w:type="pct"/>
            <w:tcBorders>
              <w:top w:val="single" w:color="auto" w:sz="4" w:space="0"/>
              <w:left w:val="single" w:color="auto" w:sz="4" w:space="0"/>
              <w:bottom w:val="single" w:color="auto" w:sz="4" w:space="0"/>
              <w:right w:val="single" w:color="auto" w:sz="4" w:space="0"/>
            </w:tcBorders>
            <w:shd w:val="clear"/>
            <w:noWrap/>
            <w:vAlign w:val="center"/>
          </w:tcPr>
          <w:p w14:paraId="5A8E23D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0.9382</w:t>
            </w:r>
          </w:p>
        </w:tc>
        <w:tc>
          <w:tcPr>
            <w:tcW w:w="787" w:type="pct"/>
            <w:tcBorders>
              <w:top w:val="single" w:color="auto" w:sz="4" w:space="0"/>
              <w:left w:val="single" w:color="auto" w:sz="4" w:space="0"/>
              <w:bottom w:val="single" w:color="auto" w:sz="4" w:space="0"/>
              <w:right w:val="single" w:color="auto" w:sz="4" w:space="0"/>
            </w:tcBorders>
            <w:shd w:val="clear"/>
            <w:noWrap/>
            <w:vAlign w:val="center"/>
          </w:tcPr>
          <w:p w14:paraId="22CC83D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не значим</w:t>
            </w:r>
          </w:p>
        </w:tc>
      </w:tr>
    </w:tbl>
    <w:p w14:paraId="650C64BE">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szCs w:val="20"/>
        </w:rPr>
        <w:t xml:space="preserve">Таблица </w:t>
      </w:r>
      <w:r>
        <w:rPr>
          <w:rFonts w:hint="default" w:ascii="Times New Roman" w:hAnsi="Times New Roman" w:cs="Times New Roman"/>
          <w:b w:val="0"/>
          <w:bCs w:val="0"/>
          <w:color w:val="auto"/>
          <w:sz w:val="24"/>
          <w:szCs w:val="20"/>
          <w:lang w:val="en-US"/>
        </w:rPr>
        <w:t>7</w:t>
      </w:r>
      <w:r>
        <w:rPr>
          <w:rFonts w:ascii="Times New Roman" w:hAnsi="Times New Roman" w:cs="Times New Roman"/>
          <w:b w:val="0"/>
          <w:bCs w:val="0"/>
          <w:color w:val="auto"/>
          <w:sz w:val="24"/>
          <w:szCs w:val="20"/>
        </w:rPr>
        <w:t xml:space="preserve">. Коэффициенты Модели </w:t>
      </w:r>
      <w:r>
        <w:rPr>
          <w:rFonts w:hint="default" w:ascii="Times New Roman" w:hAnsi="Times New Roman" w:cs="Times New Roman"/>
          <w:b w:val="0"/>
          <w:bCs w:val="0"/>
          <w:color w:val="auto"/>
          <w:sz w:val="24"/>
          <w:szCs w:val="20"/>
          <w:lang w:val="en-US"/>
        </w:rPr>
        <w:t>3</w:t>
      </w:r>
    </w:p>
    <w:p w14:paraId="5F85659F">
      <w:pPr>
        <w:spacing w:after="200" w:line="240" w:lineRule="auto"/>
        <w:ind w:firstLine="567"/>
        <w:jc w:val="both"/>
      </w:pPr>
      <w:r>
        <w:rPr>
          <w:rFonts w:ascii="Times New Roman" w:hAnsi="Times New Roman" w:eastAsia="Times New Roman" w:cs="Times New Roman"/>
          <w:sz w:val="28"/>
          <w:szCs w:val="28"/>
        </w:rPr>
        <w:t>Жилая площадь оказалась значимым фактором (t = 5,30; p &lt; 0,0001), количество комнат — также значимым (t = 3,01; p = 0,0030), тогда как расстояние до транспорта осталось незначимым (t = −0,08; p = 0,938) даже при совместном учёте с другими факторами. Уравнение регрессии: Цена = −1 200 760 + 142 258 · Жилая площадь + 1 997 806 · Комнаты − 59 · Расстояние до транспорта. Объясняющая способность модели (R² = 0,367; Adj. R² = 0,357) практически не отличается от Модели 2, что говорит о равнозначности общей и жилой площади в качестве базового предиктора цены.</w:t>
      </w:r>
    </w:p>
    <w:p w14:paraId="771C0941">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Модель 4. </w:t>
      </w:r>
    </w:p>
    <w:p w14:paraId="16EE23F9">
      <w:pPr>
        <w:spacing w:before="200" w:after="150"/>
        <w:jc w:val="left"/>
        <w:rPr>
          <w:b w:val="0"/>
          <w:bCs w:val="0"/>
        </w:rPr>
      </w:pPr>
      <w:r>
        <w:rPr>
          <w:rFonts w:ascii="Times New Roman" w:hAnsi="Times New Roman" w:eastAsia="Times New Roman" w:cs="Times New Roman"/>
          <w:b w:val="0"/>
          <w:bCs w:val="0"/>
          <w:sz w:val="28"/>
          <w:szCs w:val="28"/>
        </w:rPr>
        <w:t>Цена = β₀ + β₁ · Площадь + β₂ · Первый этаж + β₃ · Этажность дома</w:t>
      </w:r>
    </w:p>
    <w:p w14:paraId="413B3BC1">
      <w:pPr>
        <w:spacing w:after="200" w:line="240" w:lineRule="auto"/>
        <w:ind w:firstLine="567"/>
        <w:jc w:val="both"/>
      </w:pPr>
      <w:r>
        <w:rPr>
          <w:rFonts w:ascii="Times New Roman" w:hAnsi="Times New Roman" w:eastAsia="Times New Roman" w:cs="Times New Roman"/>
          <w:sz w:val="28"/>
          <w:szCs w:val="28"/>
        </w:rPr>
        <w:t>Четвёртая модель проверяет влияние структурных характеристик здания: фиктивной переменной «первый этаж» (принимает значение 1, если квартира расположена на первом этаже, и 0 — в противном случае) и общей этажности дома. Результаты приведены в таблице 7.</w:t>
      </w:r>
    </w:p>
    <w:tbl>
      <w:tblPr>
        <w:tblW w:w="9614"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1814"/>
        <w:gridCol w:w="1650"/>
        <w:gridCol w:w="1812"/>
        <w:gridCol w:w="1613"/>
        <w:gridCol w:w="1187"/>
        <w:gridCol w:w="1538"/>
      </w:tblGrid>
      <w:tr w14:paraId="3FD40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1814" w:type="dxa"/>
            <w:tcBorders>
              <w:top w:val="single" w:color="auto" w:sz="4" w:space="0"/>
              <w:left w:val="single" w:color="auto" w:sz="4" w:space="0"/>
              <w:bottom w:val="single" w:color="auto" w:sz="4" w:space="0"/>
              <w:right w:val="single" w:color="auto" w:sz="4" w:space="0"/>
            </w:tcBorders>
            <w:shd w:val="clear"/>
            <w:noWrap/>
            <w:vAlign w:val="center"/>
          </w:tcPr>
          <w:p w14:paraId="638C4048">
            <w:pPr>
              <w:keepNext w:val="0"/>
              <w:keepLines w:val="0"/>
              <w:widowControl/>
              <w:suppressLineNumbers w:val="0"/>
              <w:jc w:val="left"/>
              <w:textAlignment w:val="center"/>
              <w:rPr>
                <w:rFonts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Переменная</w:t>
            </w:r>
          </w:p>
        </w:tc>
        <w:tc>
          <w:tcPr>
            <w:tcW w:w="1650" w:type="dxa"/>
            <w:tcBorders>
              <w:top w:val="single" w:color="auto" w:sz="4" w:space="0"/>
              <w:left w:val="single" w:color="auto" w:sz="4" w:space="0"/>
              <w:bottom w:val="single" w:color="auto" w:sz="4" w:space="0"/>
              <w:right w:val="single" w:color="auto" w:sz="4" w:space="0"/>
            </w:tcBorders>
            <w:shd w:val="clear"/>
            <w:noWrap/>
            <w:vAlign w:val="center"/>
          </w:tcPr>
          <w:p w14:paraId="0263BC9C">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Коэффициент</w:t>
            </w:r>
          </w:p>
        </w:tc>
        <w:tc>
          <w:tcPr>
            <w:tcW w:w="1812" w:type="dxa"/>
            <w:tcBorders>
              <w:top w:val="single" w:color="auto" w:sz="4" w:space="0"/>
              <w:left w:val="single" w:color="auto" w:sz="4" w:space="0"/>
              <w:bottom w:val="single" w:color="auto" w:sz="4" w:space="0"/>
              <w:right w:val="single" w:color="auto" w:sz="4" w:space="0"/>
            </w:tcBorders>
            <w:shd w:val="clear"/>
            <w:noWrap/>
            <w:vAlign w:val="center"/>
          </w:tcPr>
          <w:p w14:paraId="1B118A3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Стандартная ошибка</w:t>
            </w:r>
          </w:p>
        </w:tc>
        <w:tc>
          <w:tcPr>
            <w:tcW w:w="1613" w:type="dxa"/>
            <w:tcBorders>
              <w:top w:val="single" w:color="auto" w:sz="4" w:space="0"/>
              <w:left w:val="single" w:color="auto" w:sz="4" w:space="0"/>
              <w:bottom w:val="single" w:color="auto" w:sz="4" w:space="0"/>
              <w:right w:val="single" w:color="auto" w:sz="4" w:space="0"/>
            </w:tcBorders>
            <w:shd w:val="clear"/>
            <w:noWrap/>
            <w:vAlign w:val="center"/>
          </w:tcPr>
          <w:p w14:paraId="0C77D13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t-статистика</w:t>
            </w:r>
          </w:p>
        </w:tc>
        <w:tc>
          <w:tcPr>
            <w:tcW w:w="1187" w:type="dxa"/>
            <w:tcBorders>
              <w:top w:val="single" w:color="auto" w:sz="4" w:space="0"/>
              <w:left w:val="single" w:color="auto" w:sz="4" w:space="0"/>
              <w:bottom w:val="single" w:color="auto" w:sz="4" w:space="0"/>
              <w:right w:val="single" w:color="auto" w:sz="4" w:space="0"/>
            </w:tcBorders>
            <w:shd w:val="clear"/>
            <w:noWrap/>
            <w:vAlign w:val="center"/>
          </w:tcPr>
          <w:p w14:paraId="5EAEDF25">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p-value</w:t>
            </w:r>
          </w:p>
        </w:tc>
        <w:tc>
          <w:tcPr>
            <w:tcW w:w="1538" w:type="dxa"/>
            <w:tcBorders>
              <w:top w:val="single" w:color="auto" w:sz="4" w:space="0"/>
              <w:left w:val="single" w:color="auto" w:sz="4" w:space="0"/>
              <w:bottom w:val="single" w:color="auto" w:sz="4" w:space="0"/>
              <w:right w:val="single" w:color="auto" w:sz="4" w:space="0"/>
            </w:tcBorders>
            <w:shd w:val="clear"/>
            <w:noWrap/>
            <w:vAlign w:val="center"/>
          </w:tcPr>
          <w:p w14:paraId="6A470B4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Значимость</w:t>
            </w:r>
          </w:p>
        </w:tc>
      </w:tr>
      <w:tr w14:paraId="489D3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1814" w:type="dxa"/>
            <w:tcBorders>
              <w:top w:val="single" w:color="auto" w:sz="4" w:space="0"/>
              <w:left w:val="single" w:color="auto" w:sz="4" w:space="0"/>
              <w:bottom w:val="single" w:color="auto" w:sz="4" w:space="0"/>
              <w:right w:val="single" w:color="auto" w:sz="4" w:space="0"/>
            </w:tcBorders>
            <w:shd w:val="clear"/>
            <w:noWrap/>
            <w:vAlign w:val="center"/>
          </w:tcPr>
          <w:p w14:paraId="653077A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Константа</w:t>
            </w:r>
          </w:p>
        </w:tc>
        <w:tc>
          <w:tcPr>
            <w:tcW w:w="1650" w:type="dxa"/>
            <w:tcBorders>
              <w:top w:val="single" w:color="auto" w:sz="4" w:space="0"/>
              <w:left w:val="single" w:color="auto" w:sz="4" w:space="0"/>
              <w:bottom w:val="single" w:color="auto" w:sz="4" w:space="0"/>
              <w:right w:val="single" w:color="auto" w:sz="4" w:space="0"/>
            </w:tcBorders>
            <w:shd w:val="clear"/>
            <w:noWrap/>
            <w:vAlign w:val="center"/>
          </w:tcPr>
          <w:p w14:paraId="46A6E91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-406363.236</w:t>
            </w:r>
          </w:p>
        </w:tc>
        <w:tc>
          <w:tcPr>
            <w:tcW w:w="1812" w:type="dxa"/>
            <w:tcBorders>
              <w:top w:val="single" w:color="auto" w:sz="4" w:space="0"/>
              <w:left w:val="single" w:color="auto" w:sz="4" w:space="0"/>
              <w:bottom w:val="single" w:color="auto" w:sz="4" w:space="0"/>
              <w:right w:val="single" w:color="auto" w:sz="4" w:space="0"/>
            </w:tcBorders>
            <w:shd w:val="clear"/>
            <w:noWrap/>
            <w:vAlign w:val="center"/>
          </w:tcPr>
          <w:p w14:paraId="70B0043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1459093.931</w:t>
            </w:r>
          </w:p>
        </w:tc>
        <w:tc>
          <w:tcPr>
            <w:tcW w:w="1613" w:type="dxa"/>
            <w:tcBorders>
              <w:top w:val="single" w:color="auto" w:sz="4" w:space="0"/>
              <w:left w:val="single" w:color="auto" w:sz="4" w:space="0"/>
              <w:bottom w:val="single" w:color="auto" w:sz="4" w:space="0"/>
              <w:right w:val="single" w:color="auto" w:sz="4" w:space="0"/>
            </w:tcBorders>
            <w:shd w:val="clear"/>
            <w:noWrap/>
            <w:vAlign w:val="center"/>
          </w:tcPr>
          <w:p w14:paraId="53330F0E">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-0.279</w:t>
            </w:r>
          </w:p>
        </w:tc>
        <w:tc>
          <w:tcPr>
            <w:tcW w:w="1187" w:type="dxa"/>
            <w:tcBorders>
              <w:top w:val="single" w:color="auto" w:sz="4" w:space="0"/>
              <w:left w:val="single" w:color="auto" w:sz="4" w:space="0"/>
              <w:bottom w:val="single" w:color="auto" w:sz="4" w:space="0"/>
              <w:right w:val="single" w:color="auto" w:sz="4" w:space="0"/>
            </w:tcBorders>
            <w:shd w:val="clear"/>
            <w:noWrap/>
            <w:vAlign w:val="center"/>
          </w:tcPr>
          <w:p w14:paraId="1A4CA4F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0.7809</w:t>
            </w:r>
          </w:p>
        </w:tc>
        <w:tc>
          <w:tcPr>
            <w:tcW w:w="1538" w:type="dxa"/>
            <w:tcBorders>
              <w:top w:val="single" w:color="auto" w:sz="4" w:space="0"/>
              <w:left w:val="single" w:color="auto" w:sz="4" w:space="0"/>
              <w:bottom w:val="single" w:color="auto" w:sz="4" w:space="0"/>
              <w:right w:val="single" w:color="auto" w:sz="4" w:space="0"/>
            </w:tcBorders>
            <w:shd w:val="clear"/>
            <w:noWrap/>
            <w:vAlign w:val="center"/>
          </w:tcPr>
          <w:p w14:paraId="530541C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не значим</w:t>
            </w:r>
          </w:p>
        </w:tc>
      </w:tr>
      <w:tr w14:paraId="60AE0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1814" w:type="dxa"/>
            <w:tcBorders>
              <w:top w:val="single" w:color="auto" w:sz="4" w:space="0"/>
              <w:left w:val="single" w:color="auto" w:sz="4" w:space="0"/>
              <w:bottom w:val="single" w:color="auto" w:sz="4" w:space="0"/>
              <w:right w:val="single" w:color="auto" w:sz="4" w:space="0"/>
            </w:tcBorders>
            <w:shd w:val="clear"/>
            <w:noWrap/>
            <w:vAlign w:val="center"/>
          </w:tcPr>
          <w:p w14:paraId="77DDA20E">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общая площадь</w:t>
            </w:r>
          </w:p>
        </w:tc>
        <w:tc>
          <w:tcPr>
            <w:tcW w:w="1650" w:type="dxa"/>
            <w:tcBorders>
              <w:top w:val="single" w:color="auto" w:sz="4" w:space="0"/>
              <w:left w:val="single" w:color="auto" w:sz="4" w:space="0"/>
              <w:bottom w:val="single" w:color="auto" w:sz="4" w:space="0"/>
              <w:right w:val="single" w:color="auto" w:sz="4" w:space="0"/>
            </w:tcBorders>
            <w:shd w:val="clear"/>
            <w:noWrap/>
            <w:vAlign w:val="center"/>
          </w:tcPr>
          <w:p w14:paraId="570E0E25">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172472.936</w:t>
            </w:r>
          </w:p>
        </w:tc>
        <w:tc>
          <w:tcPr>
            <w:tcW w:w="1812" w:type="dxa"/>
            <w:tcBorders>
              <w:top w:val="single" w:color="auto" w:sz="4" w:space="0"/>
              <w:left w:val="single" w:color="auto" w:sz="4" w:space="0"/>
              <w:bottom w:val="single" w:color="auto" w:sz="4" w:space="0"/>
              <w:right w:val="single" w:color="auto" w:sz="4" w:space="0"/>
            </w:tcBorders>
            <w:shd w:val="clear"/>
            <w:noWrap/>
            <w:vAlign w:val="center"/>
          </w:tcPr>
          <w:p w14:paraId="46F49588">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16585.661</w:t>
            </w:r>
          </w:p>
        </w:tc>
        <w:tc>
          <w:tcPr>
            <w:tcW w:w="1613" w:type="dxa"/>
            <w:tcBorders>
              <w:top w:val="single" w:color="auto" w:sz="4" w:space="0"/>
              <w:left w:val="single" w:color="auto" w:sz="4" w:space="0"/>
              <w:bottom w:val="single" w:color="auto" w:sz="4" w:space="0"/>
              <w:right w:val="single" w:color="auto" w:sz="4" w:space="0"/>
            </w:tcBorders>
            <w:shd w:val="clear"/>
            <w:noWrap/>
            <w:vAlign w:val="center"/>
          </w:tcPr>
          <w:p w14:paraId="1564A25E">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10.399</w:t>
            </w:r>
          </w:p>
        </w:tc>
        <w:tc>
          <w:tcPr>
            <w:tcW w:w="1187" w:type="dxa"/>
            <w:tcBorders>
              <w:top w:val="single" w:color="auto" w:sz="4" w:space="0"/>
              <w:left w:val="single" w:color="auto" w:sz="4" w:space="0"/>
              <w:bottom w:val="single" w:color="auto" w:sz="4" w:space="0"/>
              <w:right w:val="single" w:color="auto" w:sz="4" w:space="0"/>
            </w:tcBorders>
            <w:shd w:val="clear"/>
            <w:noWrap/>
            <w:vAlign w:val="center"/>
          </w:tcPr>
          <w:p w14:paraId="5E800BD4">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w:t>
            </w:r>
          </w:p>
        </w:tc>
        <w:tc>
          <w:tcPr>
            <w:tcW w:w="1538" w:type="dxa"/>
            <w:tcBorders>
              <w:top w:val="single" w:color="auto" w:sz="4" w:space="0"/>
              <w:left w:val="single" w:color="auto" w:sz="4" w:space="0"/>
              <w:bottom w:val="single" w:color="auto" w:sz="4" w:space="0"/>
              <w:right w:val="single" w:color="auto" w:sz="4" w:space="0"/>
            </w:tcBorders>
            <w:shd w:val="clear"/>
            <w:noWrap/>
            <w:vAlign w:val="center"/>
          </w:tcPr>
          <w:p w14:paraId="21ED153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r w14:paraId="6186D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1814" w:type="dxa"/>
            <w:tcBorders>
              <w:top w:val="single" w:color="auto" w:sz="4" w:space="0"/>
              <w:left w:val="single" w:color="auto" w:sz="4" w:space="0"/>
              <w:bottom w:val="single" w:color="auto" w:sz="4" w:space="0"/>
              <w:right w:val="single" w:color="auto" w:sz="4" w:space="0"/>
            </w:tcBorders>
            <w:shd w:val="clear"/>
            <w:noWrap/>
            <w:vAlign w:val="center"/>
          </w:tcPr>
          <w:p w14:paraId="2C17024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первый_этаж</w:t>
            </w:r>
          </w:p>
        </w:tc>
        <w:tc>
          <w:tcPr>
            <w:tcW w:w="1650" w:type="dxa"/>
            <w:tcBorders>
              <w:top w:val="single" w:color="auto" w:sz="4" w:space="0"/>
              <w:left w:val="single" w:color="auto" w:sz="4" w:space="0"/>
              <w:bottom w:val="single" w:color="auto" w:sz="4" w:space="0"/>
              <w:right w:val="single" w:color="auto" w:sz="4" w:space="0"/>
            </w:tcBorders>
            <w:shd w:val="clear"/>
            <w:noWrap/>
            <w:vAlign w:val="center"/>
          </w:tcPr>
          <w:p w14:paraId="760D464A">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-245509.64</w:t>
            </w:r>
          </w:p>
        </w:tc>
        <w:tc>
          <w:tcPr>
            <w:tcW w:w="1812" w:type="dxa"/>
            <w:tcBorders>
              <w:top w:val="single" w:color="auto" w:sz="4" w:space="0"/>
              <w:left w:val="single" w:color="auto" w:sz="4" w:space="0"/>
              <w:bottom w:val="single" w:color="auto" w:sz="4" w:space="0"/>
              <w:right w:val="single" w:color="auto" w:sz="4" w:space="0"/>
            </w:tcBorders>
            <w:shd w:val="clear"/>
            <w:noWrap/>
            <w:vAlign w:val="center"/>
          </w:tcPr>
          <w:p w14:paraId="4CA623BA">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1661646.712</w:t>
            </w:r>
          </w:p>
        </w:tc>
        <w:tc>
          <w:tcPr>
            <w:tcW w:w="1613" w:type="dxa"/>
            <w:tcBorders>
              <w:top w:val="single" w:color="auto" w:sz="4" w:space="0"/>
              <w:left w:val="single" w:color="auto" w:sz="4" w:space="0"/>
              <w:bottom w:val="single" w:color="auto" w:sz="4" w:space="0"/>
              <w:right w:val="single" w:color="auto" w:sz="4" w:space="0"/>
            </w:tcBorders>
            <w:shd w:val="clear"/>
            <w:noWrap/>
            <w:vAlign w:val="center"/>
          </w:tcPr>
          <w:p w14:paraId="22D423BC">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-0.148</w:t>
            </w:r>
          </w:p>
        </w:tc>
        <w:tc>
          <w:tcPr>
            <w:tcW w:w="1187" w:type="dxa"/>
            <w:tcBorders>
              <w:top w:val="single" w:color="auto" w:sz="4" w:space="0"/>
              <w:left w:val="single" w:color="auto" w:sz="4" w:space="0"/>
              <w:bottom w:val="single" w:color="auto" w:sz="4" w:space="0"/>
              <w:right w:val="single" w:color="auto" w:sz="4" w:space="0"/>
            </w:tcBorders>
            <w:shd w:val="clear"/>
            <w:noWrap/>
            <w:vAlign w:val="center"/>
          </w:tcPr>
          <w:p w14:paraId="7E5A993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0.8827</w:t>
            </w:r>
          </w:p>
        </w:tc>
        <w:tc>
          <w:tcPr>
            <w:tcW w:w="1538" w:type="dxa"/>
            <w:tcBorders>
              <w:top w:val="single" w:color="auto" w:sz="4" w:space="0"/>
              <w:left w:val="single" w:color="auto" w:sz="4" w:space="0"/>
              <w:bottom w:val="single" w:color="auto" w:sz="4" w:space="0"/>
              <w:right w:val="single" w:color="auto" w:sz="4" w:space="0"/>
            </w:tcBorders>
            <w:shd w:val="clear"/>
            <w:noWrap/>
            <w:vAlign w:val="center"/>
          </w:tcPr>
          <w:p w14:paraId="1EDD7F26">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не значим</w:t>
            </w:r>
          </w:p>
        </w:tc>
      </w:tr>
      <w:tr w14:paraId="04384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1814" w:type="dxa"/>
            <w:tcBorders>
              <w:top w:val="single" w:color="auto" w:sz="4" w:space="0"/>
              <w:left w:val="single" w:color="auto" w:sz="4" w:space="0"/>
              <w:bottom w:val="single" w:color="auto" w:sz="4" w:space="0"/>
              <w:right w:val="single" w:color="auto" w:sz="4" w:space="0"/>
            </w:tcBorders>
            <w:shd w:val="clear"/>
            <w:noWrap/>
            <w:vAlign w:val="center"/>
          </w:tcPr>
          <w:p w14:paraId="0C5812C8">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этажность дома</w:t>
            </w:r>
          </w:p>
        </w:tc>
        <w:tc>
          <w:tcPr>
            <w:tcW w:w="1650" w:type="dxa"/>
            <w:tcBorders>
              <w:top w:val="single" w:color="auto" w:sz="4" w:space="0"/>
              <w:left w:val="single" w:color="auto" w:sz="4" w:space="0"/>
              <w:bottom w:val="single" w:color="auto" w:sz="4" w:space="0"/>
              <w:right w:val="single" w:color="auto" w:sz="4" w:space="0"/>
            </w:tcBorders>
            <w:shd w:val="clear"/>
            <w:noWrap/>
            <w:vAlign w:val="center"/>
          </w:tcPr>
          <w:p w14:paraId="6EDCEA2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-260555.553</w:t>
            </w:r>
          </w:p>
        </w:tc>
        <w:tc>
          <w:tcPr>
            <w:tcW w:w="1812" w:type="dxa"/>
            <w:tcBorders>
              <w:top w:val="single" w:color="auto" w:sz="4" w:space="0"/>
              <w:left w:val="single" w:color="auto" w:sz="4" w:space="0"/>
              <w:bottom w:val="single" w:color="auto" w:sz="4" w:space="0"/>
              <w:right w:val="single" w:color="auto" w:sz="4" w:space="0"/>
            </w:tcBorders>
            <w:shd w:val="clear"/>
            <w:noWrap/>
            <w:vAlign w:val="center"/>
          </w:tcPr>
          <w:p w14:paraId="4F63731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104269.599</w:t>
            </w:r>
          </w:p>
        </w:tc>
        <w:tc>
          <w:tcPr>
            <w:tcW w:w="1613" w:type="dxa"/>
            <w:tcBorders>
              <w:top w:val="single" w:color="auto" w:sz="4" w:space="0"/>
              <w:left w:val="single" w:color="auto" w:sz="4" w:space="0"/>
              <w:bottom w:val="single" w:color="auto" w:sz="4" w:space="0"/>
              <w:right w:val="single" w:color="auto" w:sz="4" w:space="0"/>
            </w:tcBorders>
            <w:shd w:val="clear"/>
            <w:noWrap/>
            <w:vAlign w:val="center"/>
          </w:tcPr>
          <w:p w14:paraId="4EC140D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-2.499</w:t>
            </w:r>
          </w:p>
        </w:tc>
        <w:tc>
          <w:tcPr>
            <w:tcW w:w="1187" w:type="dxa"/>
            <w:tcBorders>
              <w:top w:val="single" w:color="auto" w:sz="4" w:space="0"/>
              <w:left w:val="single" w:color="auto" w:sz="4" w:space="0"/>
              <w:bottom w:val="single" w:color="auto" w:sz="4" w:space="0"/>
              <w:right w:val="single" w:color="auto" w:sz="4" w:space="0"/>
            </w:tcBorders>
            <w:shd w:val="clear"/>
            <w:noWrap/>
            <w:vAlign w:val="center"/>
          </w:tcPr>
          <w:p w14:paraId="6AA9591C">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0.0133</w:t>
            </w:r>
          </w:p>
        </w:tc>
        <w:tc>
          <w:tcPr>
            <w:tcW w:w="1538" w:type="dxa"/>
            <w:tcBorders>
              <w:top w:val="single" w:color="auto" w:sz="4" w:space="0"/>
              <w:left w:val="single" w:color="auto" w:sz="4" w:space="0"/>
              <w:bottom w:val="single" w:color="auto" w:sz="4" w:space="0"/>
              <w:right w:val="single" w:color="auto" w:sz="4" w:space="0"/>
            </w:tcBorders>
            <w:shd w:val="clear"/>
            <w:noWrap/>
            <w:vAlign w:val="center"/>
          </w:tcPr>
          <w:p w14:paraId="394BA60A">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bl>
    <w:p w14:paraId="635D2DCA">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szCs w:val="20"/>
        </w:rPr>
        <w:t xml:space="preserve">Таблица </w:t>
      </w:r>
      <w:r>
        <w:rPr>
          <w:rFonts w:hint="default" w:ascii="Times New Roman" w:hAnsi="Times New Roman" w:cs="Times New Roman"/>
          <w:b w:val="0"/>
          <w:bCs w:val="0"/>
          <w:color w:val="auto"/>
          <w:sz w:val="24"/>
          <w:szCs w:val="20"/>
          <w:lang w:val="en-US"/>
        </w:rPr>
        <w:t>8</w:t>
      </w:r>
      <w:r>
        <w:rPr>
          <w:rFonts w:ascii="Times New Roman" w:hAnsi="Times New Roman" w:cs="Times New Roman"/>
          <w:b w:val="0"/>
          <w:bCs w:val="0"/>
          <w:color w:val="auto"/>
          <w:sz w:val="24"/>
          <w:szCs w:val="20"/>
        </w:rPr>
        <w:t xml:space="preserve">. Коэффициенты Модели </w:t>
      </w:r>
      <w:r>
        <w:rPr>
          <w:rFonts w:hint="default" w:ascii="Times New Roman" w:hAnsi="Times New Roman" w:cs="Times New Roman"/>
          <w:b w:val="0"/>
          <w:bCs w:val="0"/>
          <w:color w:val="auto"/>
          <w:sz w:val="24"/>
          <w:szCs w:val="20"/>
          <w:lang w:val="en-US"/>
        </w:rPr>
        <w:t>4</w:t>
      </w:r>
    </w:p>
    <w:p w14:paraId="7333CDE1">
      <w:pPr>
        <w:spacing w:after="200" w:line="240" w:lineRule="auto"/>
        <w:ind w:firstLine="567"/>
        <w:jc w:val="both"/>
      </w:pPr>
      <w:r>
        <w:rPr>
          <w:rFonts w:ascii="Times New Roman" w:hAnsi="Times New Roman" w:eastAsia="Times New Roman" w:cs="Times New Roman"/>
          <w:sz w:val="28"/>
          <w:szCs w:val="28"/>
        </w:rPr>
        <w:t>Площадь сохраняет высокую значимость (t = 10,40; p &lt; 0,0001) с коэффициентом 172 473 руб/м² — даже выше, чем в Модели 1, поскольку здесь отсутствуют другие переменные, конкурирующие за общую с площадью дисперсию. Фиктивная переменная «первый этаж» оказалась незначимой (t = −0,15; p = 0,883): в отличие от распространённого представления о более низкой цене квартир на первом этаже, в данной выборке статистически подтверждённого дисконта не обнаружено. Более неожиданный результат получен для этажности дома: коэффициент оказался статистически значимым, но отрицательным (t = −2,50; p = 0,0133), хотя в корреляционном анализе связь этажности с ценой была практически нулевой (r = 0,011). Подобный разворот знака при добавлении контроля по площади может объясняться тем, что в выборке более высокие дома в среднем имеют несколько большую площадь квартир (r = 0,268 с площадью), и после устранения этого эффекта у более высоких домов остаётся небольшой отрицательный вклад в цену — возможно, из-за преобладания среди высотных домов типовой массовой застройки, а не элитного жилья. Этот результат следует интерпретировать с осторожностью и рассматривать как гипотезу для дальнейшей проверки, а не как окончательный вывод. Уравнение регрессии: Цена = −406 363 + 172 473 · Площадь − 245 510 · Первый_этаж − 260 556 · Этажность. Модель объясняет 36,3% вариации цены (R² = 0,363; Adj. R² = 0,353).</w:t>
      </w:r>
    </w:p>
    <w:p w14:paraId="0B8328BE">
      <w:pPr>
        <w:spacing w:before="200" w:after="150"/>
        <w:jc w:val="left"/>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Модель 5. </w:t>
      </w:r>
    </w:p>
    <w:p w14:paraId="0165D9C3">
      <w:pPr>
        <w:spacing w:before="200" w:after="150"/>
        <w:jc w:val="left"/>
        <w:rPr>
          <w:b w:val="0"/>
          <w:bCs w:val="0"/>
        </w:rPr>
      </w:pPr>
      <w:r>
        <w:rPr>
          <w:rFonts w:ascii="Times New Roman" w:hAnsi="Times New Roman" w:eastAsia="Times New Roman" w:cs="Times New Roman"/>
          <w:b w:val="0"/>
          <w:bCs w:val="0"/>
          <w:sz w:val="28"/>
          <w:szCs w:val="28"/>
        </w:rPr>
        <w:t>ln(Цена) = β₀ + β₁ · ln(Площадь) + β₂ · ln(Площадь кухни) + β₃ · Комнаты</w:t>
      </w:r>
    </w:p>
    <w:p w14:paraId="4620C606">
      <w:pPr>
        <w:spacing w:after="200" w:line="240" w:lineRule="auto"/>
        <w:ind w:firstLine="567"/>
        <w:jc w:val="both"/>
      </w:pPr>
      <w:r>
        <w:rPr>
          <w:rFonts w:ascii="Times New Roman" w:hAnsi="Times New Roman" w:eastAsia="Times New Roman" w:cs="Times New Roman"/>
          <w:sz w:val="28"/>
          <w:szCs w:val="28"/>
        </w:rPr>
        <w:t>Пятая модель использует логарифмическую форму зависимой переменной и логарифмы площадных характеристик, что позволяет интерпретировать коэффициенты как эластичности и одновременно смягчает влияние выброса — квартиры стоимостью 80 млн руб., заметно искажавшей результаты линейных моделей. Результаты — в таблице 8.</w:t>
      </w:r>
    </w:p>
    <w:tbl>
      <w:tblPr>
        <w:tblW w:w="9701"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2165"/>
        <w:gridCol w:w="1609"/>
        <w:gridCol w:w="1676"/>
        <w:gridCol w:w="1675"/>
        <w:gridCol w:w="1164"/>
        <w:gridCol w:w="1412"/>
      </w:tblGrid>
      <w:tr w14:paraId="4233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5" w:type="dxa"/>
            <w:tcBorders>
              <w:top w:val="single" w:color="auto" w:sz="4" w:space="0"/>
              <w:left w:val="single" w:color="auto" w:sz="4" w:space="0"/>
              <w:bottom w:val="single" w:color="auto" w:sz="4" w:space="0"/>
              <w:right w:val="single" w:color="auto" w:sz="4" w:space="0"/>
            </w:tcBorders>
            <w:shd w:val="clear"/>
            <w:noWrap/>
            <w:vAlign w:val="center"/>
          </w:tcPr>
          <w:p w14:paraId="76A4C0B8">
            <w:pPr>
              <w:keepNext w:val="0"/>
              <w:keepLines w:val="0"/>
              <w:widowControl/>
              <w:suppressLineNumbers w:val="0"/>
              <w:jc w:val="left"/>
              <w:textAlignment w:val="center"/>
              <w:rPr>
                <w:rFonts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Переменная</w:t>
            </w:r>
          </w:p>
        </w:tc>
        <w:tc>
          <w:tcPr>
            <w:tcW w:w="1609" w:type="dxa"/>
            <w:tcBorders>
              <w:top w:val="single" w:color="auto" w:sz="4" w:space="0"/>
              <w:left w:val="single" w:color="auto" w:sz="4" w:space="0"/>
              <w:bottom w:val="single" w:color="auto" w:sz="4" w:space="0"/>
              <w:right w:val="single" w:color="auto" w:sz="4" w:space="0"/>
            </w:tcBorders>
            <w:shd w:val="clear"/>
            <w:noWrap/>
            <w:vAlign w:val="center"/>
          </w:tcPr>
          <w:p w14:paraId="120629E8">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Коэффициент</w:t>
            </w:r>
          </w:p>
        </w:tc>
        <w:tc>
          <w:tcPr>
            <w:tcW w:w="1676" w:type="dxa"/>
            <w:tcBorders>
              <w:top w:val="single" w:color="auto" w:sz="4" w:space="0"/>
              <w:left w:val="single" w:color="auto" w:sz="4" w:space="0"/>
              <w:bottom w:val="single" w:color="auto" w:sz="4" w:space="0"/>
              <w:right w:val="single" w:color="auto" w:sz="4" w:space="0"/>
            </w:tcBorders>
            <w:shd w:val="clear"/>
            <w:noWrap/>
            <w:vAlign w:val="center"/>
          </w:tcPr>
          <w:p w14:paraId="4724D976">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Стандартная ошибка</w:t>
            </w:r>
          </w:p>
        </w:tc>
        <w:tc>
          <w:tcPr>
            <w:tcW w:w="1675" w:type="dxa"/>
            <w:tcBorders>
              <w:top w:val="single" w:color="auto" w:sz="4" w:space="0"/>
              <w:left w:val="single" w:color="auto" w:sz="4" w:space="0"/>
              <w:bottom w:val="single" w:color="auto" w:sz="4" w:space="0"/>
              <w:right w:val="single" w:color="auto" w:sz="4" w:space="0"/>
            </w:tcBorders>
            <w:shd w:val="clear"/>
            <w:noWrap/>
            <w:vAlign w:val="center"/>
          </w:tcPr>
          <w:p w14:paraId="6BD346E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t-статистика</w:t>
            </w:r>
          </w:p>
        </w:tc>
        <w:tc>
          <w:tcPr>
            <w:tcW w:w="1164" w:type="dxa"/>
            <w:tcBorders>
              <w:top w:val="single" w:color="auto" w:sz="4" w:space="0"/>
              <w:left w:val="single" w:color="auto" w:sz="4" w:space="0"/>
              <w:bottom w:val="single" w:color="auto" w:sz="4" w:space="0"/>
              <w:right w:val="single" w:color="auto" w:sz="4" w:space="0"/>
            </w:tcBorders>
            <w:shd w:val="clear"/>
            <w:noWrap/>
            <w:vAlign w:val="center"/>
          </w:tcPr>
          <w:p w14:paraId="508965B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p-value</w:t>
            </w:r>
          </w:p>
        </w:tc>
        <w:tc>
          <w:tcPr>
            <w:tcW w:w="1412" w:type="dxa"/>
            <w:tcBorders>
              <w:top w:val="single" w:color="auto" w:sz="4" w:space="0"/>
              <w:left w:val="single" w:color="auto" w:sz="4" w:space="0"/>
              <w:bottom w:val="single" w:color="auto" w:sz="4" w:space="0"/>
              <w:right w:val="single" w:color="auto" w:sz="4" w:space="0"/>
            </w:tcBorders>
            <w:shd w:val="clear"/>
            <w:noWrap/>
            <w:vAlign w:val="center"/>
          </w:tcPr>
          <w:p w14:paraId="6645114C">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Значимость</w:t>
            </w:r>
          </w:p>
        </w:tc>
      </w:tr>
      <w:tr w14:paraId="2DEC0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5" w:type="dxa"/>
            <w:tcBorders>
              <w:top w:val="single" w:color="auto" w:sz="4" w:space="0"/>
              <w:left w:val="single" w:color="auto" w:sz="4" w:space="0"/>
              <w:bottom w:val="single" w:color="auto" w:sz="4" w:space="0"/>
              <w:right w:val="single" w:color="auto" w:sz="4" w:space="0"/>
            </w:tcBorders>
            <w:shd w:val="clear"/>
            <w:noWrap/>
            <w:vAlign w:val="center"/>
          </w:tcPr>
          <w:p w14:paraId="11CE092A">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Константа</w:t>
            </w:r>
          </w:p>
        </w:tc>
        <w:tc>
          <w:tcPr>
            <w:tcW w:w="1609" w:type="dxa"/>
            <w:tcBorders>
              <w:top w:val="single" w:color="auto" w:sz="4" w:space="0"/>
              <w:left w:val="single" w:color="auto" w:sz="4" w:space="0"/>
              <w:bottom w:val="single" w:color="auto" w:sz="4" w:space="0"/>
              <w:right w:val="single" w:color="auto" w:sz="4" w:space="0"/>
            </w:tcBorders>
            <w:shd w:val="clear"/>
            <w:noWrap/>
            <w:vAlign w:val="center"/>
          </w:tcPr>
          <w:p w14:paraId="74D8B28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11.853</w:t>
            </w:r>
          </w:p>
        </w:tc>
        <w:tc>
          <w:tcPr>
            <w:tcW w:w="1676" w:type="dxa"/>
            <w:tcBorders>
              <w:top w:val="single" w:color="auto" w:sz="4" w:space="0"/>
              <w:left w:val="single" w:color="auto" w:sz="4" w:space="0"/>
              <w:bottom w:val="single" w:color="auto" w:sz="4" w:space="0"/>
              <w:right w:val="single" w:color="auto" w:sz="4" w:space="0"/>
            </w:tcBorders>
            <w:shd w:val="clear"/>
            <w:noWrap/>
            <w:vAlign w:val="center"/>
          </w:tcPr>
          <w:p w14:paraId="1686B44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0.445</w:t>
            </w:r>
          </w:p>
        </w:tc>
        <w:tc>
          <w:tcPr>
            <w:tcW w:w="1675" w:type="dxa"/>
            <w:tcBorders>
              <w:top w:val="single" w:color="auto" w:sz="4" w:space="0"/>
              <w:left w:val="single" w:color="auto" w:sz="4" w:space="0"/>
              <w:bottom w:val="single" w:color="auto" w:sz="4" w:space="0"/>
              <w:right w:val="single" w:color="auto" w:sz="4" w:space="0"/>
            </w:tcBorders>
            <w:shd w:val="clear"/>
            <w:noWrap/>
            <w:vAlign w:val="center"/>
          </w:tcPr>
          <w:p w14:paraId="23A9FAF4">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26.632</w:t>
            </w:r>
          </w:p>
        </w:tc>
        <w:tc>
          <w:tcPr>
            <w:tcW w:w="1164" w:type="dxa"/>
            <w:tcBorders>
              <w:top w:val="single" w:color="auto" w:sz="4" w:space="0"/>
              <w:left w:val="single" w:color="auto" w:sz="4" w:space="0"/>
              <w:bottom w:val="single" w:color="auto" w:sz="4" w:space="0"/>
              <w:right w:val="single" w:color="auto" w:sz="4" w:space="0"/>
            </w:tcBorders>
            <w:shd w:val="clear"/>
            <w:noWrap/>
            <w:vAlign w:val="center"/>
          </w:tcPr>
          <w:p w14:paraId="1D05116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w:t>
            </w:r>
          </w:p>
        </w:tc>
        <w:tc>
          <w:tcPr>
            <w:tcW w:w="1412" w:type="dxa"/>
            <w:tcBorders>
              <w:top w:val="single" w:color="auto" w:sz="4" w:space="0"/>
              <w:left w:val="single" w:color="auto" w:sz="4" w:space="0"/>
              <w:bottom w:val="single" w:color="auto" w:sz="4" w:space="0"/>
              <w:right w:val="single" w:color="auto" w:sz="4" w:space="0"/>
            </w:tcBorders>
            <w:shd w:val="clear"/>
            <w:noWrap/>
            <w:vAlign w:val="center"/>
          </w:tcPr>
          <w:p w14:paraId="41915D95">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r w14:paraId="26F7D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5" w:type="dxa"/>
            <w:tcBorders>
              <w:top w:val="single" w:color="auto" w:sz="4" w:space="0"/>
              <w:left w:val="single" w:color="auto" w:sz="4" w:space="0"/>
              <w:bottom w:val="single" w:color="auto" w:sz="4" w:space="0"/>
              <w:right w:val="single" w:color="auto" w:sz="4" w:space="0"/>
            </w:tcBorders>
            <w:shd w:val="clear"/>
            <w:noWrap/>
            <w:vAlign w:val="center"/>
          </w:tcPr>
          <w:p w14:paraId="62C481C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ln_площадь</w:t>
            </w:r>
          </w:p>
        </w:tc>
        <w:tc>
          <w:tcPr>
            <w:tcW w:w="1609" w:type="dxa"/>
            <w:tcBorders>
              <w:top w:val="single" w:color="auto" w:sz="4" w:space="0"/>
              <w:left w:val="single" w:color="auto" w:sz="4" w:space="0"/>
              <w:bottom w:val="single" w:color="auto" w:sz="4" w:space="0"/>
              <w:right w:val="single" w:color="auto" w:sz="4" w:space="0"/>
            </w:tcBorders>
            <w:shd w:val="clear"/>
            <w:noWrap/>
            <w:vAlign w:val="center"/>
          </w:tcPr>
          <w:p w14:paraId="70E9ED3C">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0.965</w:t>
            </w:r>
          </w:p>
        </w:tc>
        <w:tc>
          <w:tcPr>
            <w:tcW w:w="1676" w:type="dxa"/>
            <w:tcBorders>
              <w:top w:val="single" w:color="auto" w:sz="4" w:space="0"/>
              <w:left w:val="single" w:color="auto" w:sz="4" w:space="0"/>
              <w:bottom w:val="single" w:color="auto" w:sz="4" w:space="0"/>
              <w:right w:val="single" w:color="auto" w:sz="4" w:space="0"/>
            </w:tcBorders>
            <w:shd w:val="clear"/>
            <w:noWrap/>
            <w:vAlign w:val="center"/>
          </w:tcPr>
          <w:p w14:paraId="137E1B0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0.144</w:t>
            </w:r>
          </w:p>
        </w:tc>
        <w:tc>
          <w:tcPr>
            <w:tcW w:w="1675" w:type="dxa"/>
            <w:tcBorders>
              <w:top w:val="single" w:color="auto" w:sz="4" w:space="0"/>
              <w:left w:val="single" w:color="auto" w:sz="4" w:space="0"/>
              <w:bottom w:val="single" w:color="auto" w:sz="4" w:space="0"/>
              <w:right w:val="single" w:color="auto" w:sz="4" w:space="0"/>
            </w:tcBorders>
            <w:shd w:val="clear"/>
            <w:noWrap/>
            <w:vAlign w:val="center"/>
          </w:tcPr>
          <w:p w14:paraId="3D4B436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6.691</w:t>
            </w:r>
          </w:p>
        </w:tc>
        <w:tc>
          <w:tcPr>
            <w:tcW w:w="1164" w:type="dxa"/>
            <w:tcBorders>
              <w:top w:val="single" w:color="auto" w:sz="4" w:space="0"/>
              <w:left w:val="single" w:color="auto" w:sz="4" w:space="0"/>
              <w:bottom w:val="single" w:color="auto" w:sz="4" w:space="0"/>
              <w:right w:val="single" w:color="auto" w:sz="4" w:space="0"/>
            </w:tcBorders>
            <w:shd w:val="clear"/>
            <w:noWrap/>
            <w:vAlign w:val="center"/>
          </w:tcPr>
          <w:p w14:paraId="28A67EF4">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w:t>
            </w:r>
          </w:p>
        </w:tc>
        <w:tc>
          <w:tcPr>
            <w:tcW w:w="1412" w:type="dxa"/>
            <w:tcBorders>
              <w:top w:val="single" w:color="auto" w:sz="4" w:space="0"/>
              <w:left w:val="single" w:color="auto" w:sz="4" w:space="0"/>
              <w:bottom w:val="single" w:color="auto" w:sz="4" w:space="0"/>
              <w:right w:val="single" w:color="auto" w:sz="4" w:space="0"/>
            </w:tcBorders>
            <w:shd w:val="clear"/>
            <w:noWrap/>
            <w:vAlign w:val="center"/>
          </w:tcPr>
          <w:p w14:paraId="4770F1A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r w14:paraId="2AB236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5" w:type="dxa"/>
            <w:tcBorders>
              <w:top w:val="single" w:color="auto" w:sz="4" w:space="0"/>
              <w:left w:val="single" w:color="auto" w:sz="4" w:space="0"/>
              <w:bottom w:val="single" w:color="auto" w:sz="4" w:space="0"/>
              <w:right w:val="single" w:color="auto" w:sz="4" w:space="0"/>
            </w:tcBorders>
            <w:shd w:val="clear"/>
            <w:noWrap/>
            <w:vAlign w:val="center"/>
          </w:tcPr>
          <w:p w14:paraId="7933F48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ln_кухня</w:t>
            </w:r>
          </w:p>
        </w:tc>
        <w:tc>
          <w:tcPr>
            <w:tcW w:w="1609" w:type="dxa"/>
            <w:tcBorders>
              <w:top w:val="single" w:color="auto" w:sz="4" w:space="0"/>
              <w:left w:val="single" w:color="auto" w:sz="4" w:space="0"/>
              <w:bottom w:val="single" w:color="auto" w:sz="4" w:space="0"/>
              <w:right w:val="single" w:color="auto" w:sz="4" w:space="0"/>
            </w:tcBorders>
            <w:shd w:val="clear"/>
            <w:noWrap/>
            <w:vAlign w:val="center"/>
          </w:tcPr>
          <w:p w14:paraId="6F8D44D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-0.164</w:t>
            </w:r>
          </w:p>
        </w:tc>
        <w:tc>
          <w:tcPr>
            <w:tcW w:w="1676" w:type="dxa"/>
            <w:tcBorders>
              <w:top w:val="single" w:color="auto" w:sz="4" w:space="0"/>
              <w:left w:val="single" w:color="auto" w:sz="4" w:space="0"/>
              <w:bottom w:val="single" w:color="auto" w:sz="4" w:space="0"/>
              <w:right w:val="single" w:color="auto" w:sz="4" w:space="0"/>
            </w:tcBorders>
            <w:shd w:val="clear"/>
            <w:noWrap/>
            <w:vAlign w:val="center"/>
          </w:tcPr>
          <w:p w14:paraId="0D380D5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0.075</w:t>
            </w:r>
          </w:p>
        </w:tc>
        <w:tc>
          <w:tcPr>
            <w:tcW w:w="1675" w:type="dxa"/>
            <w:tcBorders>
              <w:top w:val="single" w:color="auto" w:sz="4" w:space="0"/>
              <w:left w:val="single" w:color="auto" w:sz="4" w:space="0"/>
              <w:bottom w:val="single" w:color="auto" w:sz="4" w:space="0"/>
              <w:right w:val="single" w:color="auto" w:sz="4" w:space="0"/>
            </w:tcBorders>
            <w:shd w:val="clear"/>
            <w:noWrap/>
            <w:vAlign w:val="center"/>
          </w:tcPr>
          <w:p w14:paraId="331FFB4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-2.18</w:t>
            </w:r>
          </w:p>
        </w:tc>
        <w:tc>
          <w:tcPr>
            <w:tcW w:w="1164" w:type="dxa"/>
            <w:tcBorders>
              <w:top w:val="single" w:color="auto" w:sz="4" w:space="0"/>
              <w:left w:val="single" w:color="auto" w:sz="4" w:space="0"/>
              <w:bottom w:val="single" w:color="auto" w:sz="4" w:space="0"/>
              <w:right w:val="single" w:color="auto" w:sz="4" w:space="0"/>
            </w:tcBorders>
            <w:shd w:val="clear"/>
            <w:noWrap/>
            <w:vAlign w:val="center"/>
          </w:tcPr>
          <w:p w14:paraId="44362478">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0.0304</w:t>
            </w:r>
          </w:p>
        </w:tc>
        <w:tc>
          <w:tcPr>
            <w:tcW w:w="1412" w:type="dxa"/>
            <w:tcBorders>
              <w:top w:val="single" w:color="auto" w:sz="4" w:space="0"/>
              <w:left w:val="single" w:color="auto" w:sz="4" w:space="0"/>
              <w:bottom w:val="single" w:color="auto" w:sz="4" w:space="0"/>
              <w:right w:val="single" w:color="auto" w:sz="4" w:space="0"/>
            </w:tcBorders>
            <w:shd w:val="clear"/>
            <w:noWrap/>
            <w:vAlign w:val="center"/>
          </w:tcPr>
          <w:p w14:paraId="037FB98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r w14:paraId="5342D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00" w:hRule="atLeast"/>
        </w:trPr>
        <w:tc>
          <w:tcPr>
            <w:tcW w:w="2165" w:type="dxa"/>
            <w:tcBorders>
              <w:top w:val="single" w:color="auto" w:sz="4" w:space="0"/>
              <w:left w:val="single" w:color="auto" w:sz="4" w:space="0"/>
              <w:bottom w:val="single" w:color="auto" w:sz="4" w:space="0"/>
              <w:right w:val="single" w:color="auto" w:sz="4" w:space="0"/>
            </w:tcBorders>
            <w:shd w:val="clear"/>
            <w:noWrap/>
            <w:vAlign w:val="center"/>
          </w:tcPr>
          <w:p w14:paraId="267DCAB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количество комнат</w:t>
            </w:r>
          </w:p>
        </w:tc>
        <w:tc>
          <w:tcPr>
            <w:tcW w:w="1609" w:type="dxa"/>
            <w:tcBorders>
              <w:top w:val="single" w:color="auto" w:sz="4" w:space="0"/>
              <w:left w:val="single" w:color="auto" w:sz="4" w:space="0"/>
              <w:bottom w:val="single" w:color="auto" w:sz="4" w:space="0"/>
              <w:right w:val="single" w:color="auto" w:sz="4" w:space="0"/>
            </w:tcBorders>
            <w:shd w:val="clear"/>
            <w:noWrap/>
            <w:vAlign w:val="center"/>
          </w:tcPr>
          <w:p w14:paraId="01E1F458">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0.174</w:t>
            </w:r>
          </w:p>
        </w:tc>
        <w:tc>
          <w:tcPr>
            <w:tcW w:w="1676" w:type="dxa"/>
            <w:tcBorders>
              <w:top w:val="single" w:color="auto" w:sz="4" w:space="0"/>
              <w:left w:val="single" w:color="auto" w:sz="4" w:space="0"/>
              <w:bottom w:val="single" w:color="auto" w:sz="4" w:space="0"/>
              <w:right w:val="single" w:color="auto" w:sz="4" w:space="0"/>
            </w:tcBorders>
            <w:shd w:val="clear"/>
            <w:noWrap/>
            <w:vAlign w:val="center"/>
          </w:tcPr>
          <w:p w14:paraId="2B194B2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0.053</w:t>
            </w:r>
          </w:p>
        </w:tc>
        <w:tc>
          <w:tcPr>
            <w:tcW w:w="1675" w:type="dxa"/>
            <w:tcBorders>
              <w:top w:val="single" w:color="auto" w:sz="4" w:space="0"/>
              <w:left w:val="single" w:color="auto" w:sz="4" w:space="0"/>
              <w:bottom w:val="single" w:color="auto" w:sz="4" w:space="0"/>
              <w:right w:val="single" w:color="auto" w:sz="4" w:space="0"/>
            </w:tcBorders>
            <w:shd w:val="clear"/>
            <w:noWrap/>
            <w:vAlign w:val="center"/>
          </w:tcPr>
          <w:p w14:paraId="46F6C98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3.268</w:t>
            </w:r>
          </w:p>
        </w:tc>
        <w:tc>
          <w:tcPr>
            <w:tcW w:w="1164" w:type="dxa"/>
            <w:tcBorders>
              <w:top w:val="single" w:color="auto" w:sz="4" w:space="0"/>
              <w:left w:val="single" w:color="auto" w:sz="4" w:space="0"/>
              <w:bottom w:val="single" w:color="auto" w:sz="4" w:space="0"/>
              <w:right w:val="single" w:color="auto" w:sz="4" w:space="0"/>
            </w:tcBorders>
            <w:shd w:val="clear"/>
            <w:noWrap/>
            <w:vAlign w:val="center"/>
          </w:tcPr>
          <w:p w14:paraId="34384501">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0.0013</w:t>
            </w:r>
          </w:p>
        </w:tc>
        <w:tc>
          <w:tcPr>
            <w:tcW w:w="1412" w:type="dxa"/>
            <w:tcBorders>
              <w:top w:val="single" w:color="auto" w:sz="4" w:space="0"/>
              <w:left w:val="single" w:color="auto" w:sz="4" w:space="0"/>
              <w:bottom w:val="single" w:color="auto" w:sz="4" w:space="0"/>
              <w:right w:val="single" w:color="auto" w:sz="4" w:space="0"/>
            </w:tcBorders>
            <w:shd w:val="clear"/>
            <w:noWrap/>
            <w:vAlign w:val="center"/>
          </w:tcPr>
          <w:p w14:paraId="611E087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bdr w:val="none" w:color="auto" w:sz="0" w:space="0"/>
                <w:lang w:val="en-US" w:eastAsia="zh-CN" w:bidi="ar"/>
                <w14:ligatures w14:val="standardContextual"/>
              </w:rPr>
              <w:t>значим</w:t>
            </w:r>
          </w:p>
        </w:tc>
      </w:tr>
    </w:tbl>
    <w:p w14:paraId="26B6171D">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szCs w:val="20"/>
        </w:rPr>
        <w:t xml:space="preserve">Таблица </w:t>
      </w:r>
      <w:r>
        <w:rPr>
          <w:rFonts w:hint="default" w:ascii="Times New Roman" w:hAnsi="Times New Roman" w:cs="Times New Roman"/>
          <w:b w:val="0"/>
          <w:bCs w:val="0"/>
          <w:color w:val="auto"/>
          <w:sz w:val="24"/>
          <w:szCs w:val="20"/>
          <w:lang w:val="en-US"/>
        </w:rPr>
        <w:t>9</w:t>
      </w:r>
      <w:r>
        <w:rPr>
          <w:rFonts w:ascii="Times New Roman" w:hAnsi="Times New Roman" w:cs="Times New Roman"/>
          <w:b w:val="0"/>
          <w:bCs w:val="0"/>
          <w:color w:val="auto"/>
          <w:sz w:val="24"/>
          <w:szCs w:val="20"/>
        </w:rPr>
        <w:t xml:space="preserve">. Коэффициенты Модели </w:t>
      </w:r>
      <w:r>
        <w:rPr>
          <w:rFonts w:hint="default" w:ascii="Times New Roman" w:hAnsi="Times New Roman" w:cs="Times New Roman"/>
          <w:b w:val="0"/>
          <w:bCs w:val="0"/>
          <w:color w:val="auto"/>
          <w:sz w:val="24"/>
          <w:szCs w:val="20"/>
          <w:lang w:val="en-US"/>
        </w:rPr>
        <w:t>5</w:t>
      </w:r>
    </w:p>
    <w:p w14:paraId="6AF6FB58">
      <w:pPr>
        <w:spacing w:after="200" w:line="240" w:lineRule="auto"/>
        <w:ind w:firstLine="567"/>
        <w:jc w:val="both"/>
        <w:rPr>
          <w:rFonts w:hint="default"/>
          <w:lang w:val="ru-RU"/>
        </w:rPr>
      </w:pPr>
      <w:r>
        <w:rPr>
          <w:rFonts w:ascii="Times New Roman" w:hAnsi="Times New Roman" w:eastAsia="Times New Roman" w:cs="Times New Roman"/>
          <w:sz w:val="28"/>
          <w:szCs w:val="28"/>
        </w:rPr>
        <w:t>Все три коэффициента статистически значимы. Эластичность цены по площади составляет 0,965 (t = 6,69; p &lt; 0,0001): увеличение площади на 1% сопровождается ростом цены в среднем на 0,965%, то есть цена растёт практически пропорционально площади. Эластичность по площади кухни отрицательна и равна −0,164 (t = −2,18; p = 0,0304): при фиксированной общей площади и числе комнат более просторная кухня связана с несколько более низкой ценой — вероятно, потому что при той же суммарной площади увеличение кухни происходит за счёт уменьшения жилых комнат, которые покупатели ценят выше. Количество комнат сохраняет положительное и значимое влияние (коэффициент 0,174; t = 3,27; p = 0,0013): при фиксированной площади каждая дополнительная комната увеличивает цену в среднем на 19% (e^0,174 − 1 ≈ 0,19). Уравнение регрессии: ln(Цена) = 11,853 + 0,965 · ln(Площадь) − 0,164 · ln(Площадь кухни) + 0,174 · Комнаты. Модель объясняет 53,2% вариации логарифма цены (R² = 0,532; Adj. R² = 0,524) — заметно больше, чем любая из линейных моделей.</w:t>
      </w:r>
    </w:p>
    <w:p w14:paraId="545301EC">
      <w:pPr>
        <w:spacing w:before="200" w:after="150"/>
        <w:jc w:val="left"/>
      </w:pPr>
      <w:r>
        <w:rPr>
          <w:rFonts w:ascii="Times New Roman" w:hAnsi="Times New Roman" w:eastAsia="Times New Roman" w:cs="Times New Roman"/>
          <w:b/>
          <w:bCs/>
          <w:sz w:val="28"/>
          <w:szCs w:val="28"/>
        </w:rPr>
        <w:t>Сравнение моделей</w:t>
      </w:r>
    </w:p>
    <w:p w14:paraId="7F438A3E">
      <w:pPr>
        <w:spacing w:after="200" w:line="240" w:lineRule="auto"/>
        <w:ind w:firstLine="567"/>
        <w:jc w:val="both"/>
        <w:rPr>
          <w:rFonts w:hint="default" w:ascii="Times New Roman" w:hAnsi="Times New Roman" w:cs="Times New Roman"/>
          <w:sz w:val="28"/>
          <w:szCs w:val="28"/>
        </w:rPr>
      </w:pPr>
      <w:r>
        <w:rPr>
          <w:rFonts w:ascii="Times New Roman" w:hAnsi="Times New Roman" w:eastAsia="Times New Roman" w:cs="Times New Roman"/>
          <w:sz w:val="28"/>
          <w:szCs w:val="28"/>
        </w:rPr>
        <w:t>Сводные показатели качества всех пяти моделей представлены в таблице 9. Логарифмическая модель (Модель 5) продемонстрировала наилучший результат по обоим критериям — R² и скорректированному R², заметно опережая линейные модели, которые объясняют от 34 до 37% вариации цены. Это говорит о том, что зависимость цены квартиры от её характеристик на вторичном рынке Махачкалы носит не строго линейный, а близкий к мультипликативному характер, а также свидетельствует о существенном искажающем влиянии на линейные модели единичного ценового выброса в выборке. Выбор наилучшей модели с точки зрения содержательной интерпретации и диагностики остатков рассматривается в следующей главе.</w:t>
      </w:r>
    </w:p>
    <w:p w14:paraId="5D5368A1">
      <w:pPr>
        <w:pStyle w:val="2"/>
        <w:bidi w:val="0"/>
        <w:jc w:val="center"/>
        <w:rPr>
          <w:rFonts w:hint="default" w:ascii="Times New Roman" w:hAnsi="Times New Roman" w:cs="Times New Roman"/>
          <w:sz w:val="28"/>
          <w:szCs w:val="28"/>
        </w:rPr>
      </w:pPr>
      <w:bookmarkStart w:id="10" w:name="_Toc11097"/>
      <w:r>
        <w:rPr>
          <w:rFonts w:hint="default" w:ascii="Times New Roman" w:hAnsi="Times New Roman" w:cs="Times New Roman"/>
          <w:sz w:val="28"/>
          <w:szCs w:val="28"/>
        </w:rPr>
        <w:t>ОТБОР НАИЛУЧШЕЙ РЕГРЕССИОННОЙ МОДЕЛИ</w:t>
      </w:r>
      <w:bookmarkEnd w:id="10"/>
    </w:p>
    <w:p w14:paraId="190D0211">
      <w:pPr>
        <w:spacing w:after="200" w:line="24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 результатам сравнения, представленным в сводной таблице, наилучшей по критерию скорректированного коэффициента детерминации оказалась Модель 5 (Adj. R² = 0,524), заметно превосходящая все линейные модели (Adj. R² от 0,337 до 0,364). </w:t>
      </w:r>
    </w:p>
    <w:tbl>
      <w:tblPr>
        <w:tblStyle w:val="4"/>
        <w:tblW w:w="5274"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4143"/>
        <w:gridCol w:w="1700"/>
        <w:gridCol w:w="1225"/>
        <w:gridCol w:w="1069"/>
        <w:gridCol w:w="868"/>
        <w:gridCol w:w="675"/>
      </w:tblGrid>
      <w:tr w14:paraId="0A7CE8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2139"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EEC21EA">
            <w:pPr>
              <w:keepNext w:val="0"/>
              <w:keepLines w:val="0"/>
              <w:widowControl/>
              <w:suppressLineNumbers w:val="0"/>
              <w:jc w:val="left"/>
              <w:textAlignment w:val="center"/>
              <w:rPr>
                <w:rFonts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Модель</w:t>
            </w:r>
          </w:p>
        </w:tc>
        <w:tc>
          <w:tcPr>
            <w:tcW w:w="87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FEA555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Зависимая переменная</w:t>
            </w:r>
          </w:p>
        </w:tc>
        <w:tc>
          <w:tcPr>
            <w:tcW w:w="63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BC6A5F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Число факторов</w:t>
            </w:r>
          </w:p>
        </w:tc>
        <w:tc>
          <w:tcPr>
            <w:tcW w:w="55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A6B868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R²</w:t>
            </w:r>
          </w:p>
        </w:tc>
        <w:tc>
          <w:tcPr>
            <w:tcW w:w="4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ED1ED2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Adj. R²</w:t>
            </w:r>
          </w:p>
        </w:tc>
        <w:tc>
          <w:tcPr>
            <w:tcW w:w="3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943F535">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n</w:t>
            </w:r>
          </w:p>
        </w:tc>
      </w:tr>
      <w:tr w14:paraId="0AA2F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2139"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AC32EA3">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Модель 1: Цена ~ Площадь</w:t>
            </w:r>
          </w:p>
        </w:tc>
        <w:tc>
          <w:tcPr>
            <w:tcW w:w="87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CB6F8C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цена</w:t>
            </w:r>
          </w:p>
        </w:tc>
        <w:tc>
          <w:tcPr>
            <w:tcW w:w="63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6B3BC93">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1</w:t>
            </w:r>
          </w:p>
        </w:tc>
        <w:tc>
          <w:tcPr>
            <w:tcW w:w="55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76EF49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0.341</w:t>
            </w:r>
          </w:p>
        </w:tc>
        <w:tc>
          <w:tcPr>
            <w:tcW w:w="4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270F44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0.337</w:t>
            </w:r>
          </w:p>
        </w:tc>
        <w:tc>
          <w:tcPr>
            <w:tcW w:w="3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64B80F2">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195</w:t>
            </w:r>
          </w:p>
        </w:tc>
      </w:tr>
      <w:tr w14:paraId="09B344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2139"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3598510">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Модель 2: Цена ~ Площадь + Комнаты + Площадь кухни</w:t>
            </w:r>
          </w:p>
        </w:tc>
        <w:tc>
          <w:tcPr>
            <w:tcW w:w="87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A388DB7">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цена</w:t>
            </w:r>
          </w:p>
        </w:tc>
        <w:tc>
          <w:tcPr>
            <w:tcW w:w="63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294A3DE">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3</w:t>
            </w:r>
          </w:p>
        </w:tc>
        <w:tc>
          <w:tcPr>
            <w:tcW w:w="55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47A4A26">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0.374</w:t>
            </w:r>
          </w:p>
        </w:tc>
        <w:tc>
          <w:tcPr>
            <w:tcW w:w="4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DCC68D6">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0.364</w:t>
            </w:r>
          </w:p>
        </w:tc>
        <w:tc>
          <w:tcPr>
            <w:tcW w:w="3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4C6E268">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195</w:t>
            </w:r>
          </w:p>
        </w:tc>
      </w:tr>
      <w:tr w14:paraId="06FE36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2139"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085512F">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Модель 3: Цена ~ Жилая площадь + Комнаты + Расстояние до транспорта</w:t>
            </w:r>
          </w:p>
        </w:tc>
        <w:tc>
          <w:tcPr>
            <w:tcW w:w="87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7293E23">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цена</w:t>
            </w:r>
          </w:p>
        </w:tc>
        <w:tc>
          <w:tcPr>
            <w:tcW w:w="63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0A7898C">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3</w:t>
            </w:r>
          </w:p>
        </w:tc>
        <w:tc>
          <w:tcPr>
            <w:tcW w:w="55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C614924">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0.367</w:t>
            </w:r>
          </w:p>
        </w:tc>
        <w:tc>
          <w:tcPr>
            <w:tcW w:w="4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0290816E">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0.357</w:t>
            </w:r>
          </w:p>
        </w:tc>
        <w:tc>
          <w:tcPr>
            <w:tcW w:w="3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0357A59">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195</w:t>
            </w:r>
          </w:p>
        </w:tc>
      </w:tr>
      <w:tr w14:paraId="61668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2139"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BD8BBAA">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Модель 4: Цена ~ Площадь + Первый этаж + Этажность дома</w:t>
            </w:r>
          </w:p>
        </w:tc>
        <w:tc>
          <w:tcPr>
            <w:tcW w:w="87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A6137E9">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цена</w:t>
            </w:r>
          </w:p>
        </w:tc>
        <w:tc>
          <w:tcPr>
            <w:tcW w:w="63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2DB8138">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3</w:t>
            </w:r>
          </w:p>
        </w:tc>
        <w:tc>
          <w:tcPr>
            <w:tcW w:w="55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FEC732C">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0.363</w:t>
            </w:r>
          </w:p>
        </w:tc>
        <w:tc>
          <w:tcPr>
            <w:tcW w:w="4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3E79A31B">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0.353</w:t>
            </w:r>
          </w:p>
        </w:tc>
        <w:tc>
          <w:tcPr>
            <w:tcW w:w="3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1F144AA2">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195</w:t>
            </w:r>
          </w:p>
        </w:tc>
      </w:tr>
      <w:tr w14:paraId="6CC82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2139" w:type="pct"/>
            <w:tcBorders>
              <w:top w:val="single" w:color="auto" w:sz="4" w:space="0"/>
              <w:left w:val="single" w:color="auto" w:sz="4" w:space="0"/>
              <w:bottom w:val="single" w:color="auto" w:sz="4" w:space="0"/>
              <w:right w:val="single" w:color="auto" w:sz="4" w:space="0"/>
            </w:tcBorders>
            <w:shd w:val="clear" w:color="auto" w:fill="auto"/>
            <w:noWrap/>
            <w:vAlign w:val="center"/>
          </w:tcPr>
          <w:p w14:paraId="483D7B6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Модель 5: ln(Цена) ~ ln(Площадь) + ln(Площадь кухни) + Комнаты</w:t>
            </w:r>
          </w:p>
        </w:tc>
        <w:tc>
          <w:tcPr>
            <w:tcW w:w="87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270C4204">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ln_цена</w:t>
            </w:r>
          </w:p>
        </w:tc>
        <w:tc>
          <w:tcPr>
            <w:tcW w:w="63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729BA00A">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3</w:t>
            </w:r>
          </w:p>
        </w:tc>
        <w:tc>
          <w:tcPr>
            <w:tcW w:w="552"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3DF5F0D">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0.532</w:t>
            </w:r>
          </w:p>
        </w:tc>
        <w:tc>
          <w:tcPr>
            <w:tcW w:w="4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5A258C54">
            <w:pPr>
              <w:keepNext w:val="0"/>
              <w:keepLines w:val="0"/>
              <w:widowControl/>
              <w:suppressLineNumbers w:val="0"/>
              <w:jc w:val="lef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0.524</w:t>
            </w:r>
          </w:p>
        </w:tc>
        <w:tc>
          <w:tcPr>
            <w:tcW w:w="348" w:type="pct"/>
            <w:tcBorders>
              <w:top w:val="single" w:color="auto" w:sz="4" w:space="0"/>
              <w:left w:val="single" w:color="auto" w:sz="4" w:space="0"/>
              <w:bottom w:val="single" w:color="auto" w:sz="4" w:space="0"/>
              <w:right w:val="single" w:color="auto" w:sz="4" w:space="0"/>
            </w:tcBorders>
            <w:shd w:val="clear" w:color="auto" w:fill="auto"/>
            <w:noWrap/>
            <w:vAlign w:val="center"/>
          </w:tcPr>
          <w:p w14:paraId="6526AF77">
            <w:pPr>
              <w:keepNext w:val="0"/>
              <w:keepLines w:val="0"/>
              <w:widowControl/>
              <w:suppressLineNumbers w:val="0"/>
              <w:jc w:val="right"/>
              <w:textAlignment w:val="center"/>
              <w:rPr>
                <w:rFonts w:hint="default" w:ascii="Calibri" w:hAnsi="Calibri" w:cs="Calibri"/>
                <w:i w:val="0"/>
                <w:iCs w:val="0"/>
                <w:color w:val="000000"/>
                <w:u w:val="none"/>
              </w:rPr>
            </w:pPr>
            <w:r>
              <w:rPr>
                <w:rFonts w:hint="default" w:ascii="Calibri" w:hAnsi="Calibri" w:eastAsia="SimSun" w:cs="Calibri"/>
                <w:i w:val="0"/>
                <w:iCs w:val="0"/>
                <w:color w:val="000000"/>
                <w:kern w:val="0"/>
                <w:sz w:val="24"/>
                <w:szCs w:val="24"/>
                <w:u w:val="none"/>
                <w:lang w:val="en-US" w:eastAsia="zh-CN" w:bidi="ar"/>
                <w14:ligatures w14:val="standardContextual"/>
              </w:rPr>
              <w:t>195</w:t>
            </w:r>
          </w:p>
        </w:tc>
      </w:tr>
    </w:tbl>
    <w:p w14:paraId="7F370521">
      <w:pPr>
        <w:pStyle w:val="8"/>
        <w:jc w:val="center"/>
        <w:rPr>
          <w:rFonts w:ascii="Times New Roman" w:hAnsi="Times New Roman" w:eastAsia="Times New Roman" w:cs="Times New Roman"/>
          <w:sz w:val="28"/>
          <w:szCs w:val="28"/>
        </w:rPr>
      </w:pPr>
      <w:r>
        <w:rPr>
          <w:rFonts w:ascii="Times New Roman" w:hAnsi="Times New Roman" w:cs="Times New Roman"/>
          <w:b w:val="0"/>
          <w:bCs w:val="0"/>
          <w:color w:val="auto"/>
          <w:sz w:val="24"/>
          <w:szCs w:val="20"/>
        </w:rPr>
        <w:t xml:space="preserve">Таблица </w:t>
      </w:r>
      <w:r>
        <w:rPr>
          <w:rFonts w:hint="default" w:ascii="Times New Roman" w:hAnsi="Times New Roman" w:cs="Times New Roman"/>
          <w:b w:val="0"/>
          <w:bCs w:val="0"/>
          <w:color w:val="auto"/>
          <w:sz w:val="24"/>
          <w:szCs w:val="20"/>
          <w:lang w:val="en-US"/>
        </w:rPr>
        <w:t>10</w:t>
      </w:r>
      <w:r>
        <w:rPr>
          <w:rFonts w:ascii="Times New Roman" w:hAnsi="Times New Roman" w:cs="Times New Roman"/>
          <w:b w:val="0"/>
          <w:bCs w:val="0"/>
          <w:color w:val="auto"/>
          <w:sz w:val="24"/>
          <w:szCs w:val="20"/>
        </w:rPr>
        <w:t xml:space="preserve">. </w:t>
      </w:r>
      <w:r>
        <w:rPr>
          <w:rFonts w:hint="default" w:ascii="Times New Roman" w:hAnsi="Times New Roman" w:cs="Times New Roman"/>
          <w:b w:val="0"/>
          <w:bCs w:val="0"/>
          <w:color w:val="auto"/>
          <w:sz w:val="24"/>
          <w:szCs w:val="20"/>
        </w:rPr>
        <w:t>Сравнение качества регрессионных моделей</w:t>
      </w:r>
    </w:p>
    <w:p w14:paraId="7D07C5CC">
      <w:pPr>
        <w:spacing w:before="200" w:after="150"/>
        <w:jc w:val="left"/>
      </w:pPr>
      <w:r>
        <w:rPr>
          <w:rFonts w:ascii="Times New Roman" w:hAnsi="Times New Roman" w:eastAsia="Times New Roman" w:cs="Times New Roman"/>
          <w:b/>
          <w:bCs/>
          <w:sz w:val="28"/>
          <w:szCs w:val="28"/>
        </w:rPr>
        <w:t>Анализ диаграммы прогнозных и фактических значений</w:t>
      </w:r>
    </w:p>
    <w:p w14:paraId="6A7DF3B8">
      <w:pPr>
        <w:spacing w:after="200" w:line="240" w:lineRule="auto"/>
        <w:ind w:firstLine="567"/>
        <w:jc w:val="both"/>
      </w:pPr>
      <w:r>
        <w:rPr>
          <w:rFonts w:ascii="Times New Roman" w:hAnsi="Times New Roman" w:eastAsia="Times New Roman" w:cs="Times New Roman"/>
          <w:sz w:val="28"/>
          <w:szCs w:val="28"/>
        </w:rPr>
        <w:t>На диаграмме рассеяния прогнозных значений против фактических (в логарифмической шкале) основная масса точек расположена вблизи диагональной линии идеального прогноза, что говорит об удовлетворительном качестве подгонки модели для типичных объектов выборки. Тем не менее заметны систематические отклонения на краях распределения. Наибольшее положительное отклонение — у уже отмеченного в предыдущих главах объекта стоимостью 80 млн руб.: остаток для него составляет 1,60 в логарифмической шкале, то есть фактическая цена этой квартиры почти в 5 раз выше значения, предсказанного моделью. Это подтверждает, что даже логарифмическое преобразование не позволяет полностью описать данный объект как типичный: он остаётся аномальным выбросом, не объяснимым рассмотренным набором характеристик.</w:t>
      </w:r>
    </w:p>
    <w:p w14:paraId="26802073">
      <w:pPr>
        <w:spacing w:after="200" w:line="240" w:lineRule="auto"/>
        <w:ind w:firstLine="567"/>
        <w:jc w:val="both"/>
      </w:pPr>
      <w:r>
        <w:rPr>
          <w:rFonts w:ascii="Times New Roman" w:hAnsi="Times New Roman" w:eastAsia="Times New Roman" w:cs="Times New Roman"/>
          <w:sz w:val="28"/>
          <w:szCs w:val="28"/>
        </w:rPr>
        <w:t>Противоположная картина наблюдается для нескольких относительно недорогих квартир (от 1,5 до 3,3 млн руб.) сопоставимой площади (49–80 м²): их остатки составляют от −0,87 до −1,14, то есть модель заметно переоценивает их стоимость. Вероятно, фактическая цена таких объектов определяется факторами, не вошедшими в выборку данных, — состоянием ремонта, юридическими особенностями сделки, срочностью продажи или расположением, — которые в рамках построенной модели учесть невозможно.</w:t>
      </w:r>
    </w:p>
    <w:p w14:paraId="29A12583">
      <w:pPr>
        <w:spacing w:before="200" w:after="150"/>
        <w:jc w:val="left"/>
        <w:rPr>
          <w:rFonts w:ascii="Times New Roman" w:hAnsi="Times New Roman" w:eastAsia="Times New Roman" w:cs="Times New Roman"/>
          <w:b/>
          <w:bCs/>
          <w:sz w:val="28"/>
          <w:szCs w:val="28"/>
        </w:rPr>
      </w:pPr>
    </w:p>
    <w:p w14:paraId="43157CC7">
      <w:pPr>
        <w:spacing w:before="200" w:after="150"/>
        <w:jc w:val="left"/>
        <w:rPr>
          <w:rFonts w:ascii="Times New Roman" w:hAnsi="Times New Roman" w:eastAsia="Times New Roman" w:cs="Times New Roman"/>
          <w:b/>
          <w:bCs/>
          <w:sz w:val="28"/>
          <w:szCs w:val="28"/>
        </w:rPr>
      </w:pPr>
    </w:p>
    <w:p w14:paraId="12E5FCD6">
      <w:pPr>
        <w:spacing w:before="200" w:after="150"/>
        <w:jc w:val="left"/>
      </w:pPr>
      <w:r>
        <w:rPr>
          <w:rFonts w:ascii="Times New Roman" w:hAnsi="Times New Roman" w:eastAsia="Times New Roman" w:cs="Times New Roman"/>
          <w:b/>
          <w:bCs/>
          <w:sz w:val="28"/>
          <w:szCs w:val="28"/>
        </w:rPr>
        <w:t>Анализ гистограммы остатков</w:t>
      </w:r>
    </w:p>
    <w:p w14:paraId="13B6DD9D">
      <w:pPr>
        <w:spacing w:after="200" w:line="240" w:lineRule="auto"/>
        <w:ind w:firstLine="567"/>
        <w:jc w:val="both"/>
      </w:pPr>
      <w:r>
        <w:rPr>
          <w:rFonts w:ascii="Times New Roman" w:hAnsi="Times New Roman" w:eastAsia="Times New Roman" w:cs="Times New Roman"/>
          <w:sz w:val="28"/>
          <w:szCs w:val="28"/>
        </w:rPr>
        <w:t>Среднее значение остатков практически равно нулю, что является прямым следствием метода наименьших квадратов, а их стандартное отклонение составляет 0,403 (в логарифмической шкале). Показатель асимметрии остатков близок к нулю (0,01), то есть распределение остатков в целом симметрично. При этом избыточный эксцесс составляет 1,05, что указывает на несколько более «тяжёлые хвосты», чем у нормального распределения: на гистограмме виден выраженный пик в центральной части при отдельных крупных отклонениях по краям — в первую очередь за счёт уже упомянутого ценового выброса и группы недооценённых моделью дешёвых квартир.</w:t>
      </w:r>
    </w:p>
    <w:p w14:paraId="3835DD15">
      <w:pPr>
        <w:spacing w:after="200" w:line="240" w:lineRule="auto"/>
        <w:ind w:firstLine="567"/>
        <w:jc w:val="both"/>
      </w:pPr>
      <w:r>
        <w:rPr>
          <w:rFonts w:ascii="Times New Roman" w:hAnsi="Times New Roman" w:eastAsia="Times New Roman" w:cs="Times New Roman"/>
          <w:sz w:val="28"/>
          <w:szCs w:val="28"/>
        </w:rPr>
        <w:t>Таким образом, Модель 5 признана наилучшей для описания ценообразования на вторичном рынке жилья Махачкалы среди построенных моделей: она обеспечивает наибольшую объясняющую способность (53,2% вариации логарифма цены) и содержит только статистически значимые предикторы. Вместе с тем оставшиеся 46,8% вариации цены, не объяснённые моделью, могут быть связаны с факторами, не вошедшими в выборку данных (расположение относительно центра города и побережья, состояние ремонта, материал стен, юридический статус объекта), а также с влиянием отдельных нетипичных объявлений, подобных рассмотренному ценовому выбросу.</w:t>
      </w:r>
    </w:p>
    <w:p w14:paraId="08BAC7AC">
      <w:pPr>
        <w:spacing w:after="200" w:line="240" w:lineRule="auto"/>
        <w:ind w:firstLine="567"/>
        <w:jc w:val="both"/>
        <w:rPr>
          <w:rFonts w:ascii="Times New Roman" w:hAnsi="Times New Roman" w:eastAsia="Times New Roman" w:cs="Times New Roman"/>
          <w:sz w:val="28"/>
          <w:szCs w:val="28"/>
          <w:u w:val="none"/>
        </w:rPr>
      </w:pPr>
      <w:r>
        <w:rPr>
          <w:rFonts w:ascii="Times New Roman" w:hAnsi="Times New Roman" w:eastAsia="Times New Roman" w:cs="Times New Roman"/>
          <w:sz w:val="28"/>
          <w:szCs w:val="28"/>
          <w:u w:val="none"/>
        </w:rPr>
        <w:t>Диаграмм</w:t>
      </w:r>
      <w:r>
        <w:rPr>
          <w:rFonts w:ascii="Times New Roman" w:hAnsi="Times New Roman" w:eastAsia="Times New Roman" w:cs="Times New Roman"/>
          <w:sz w:val="28"/>
          <w:szCs w:val="28"/>
          <w:u w:val="none"/>
          <w:lang w:val="ru-RU"/>
        </w:rPr>
        <w:t>ы</w:t>
      </w:r>
      <w:r>
        <w:rPr>
          <w:rFonts w:ascii="Times New Roman" w:hAnsi="Times New Roman" w:eastAsia="Times New Roman" w:cs="Times New Roman"/>
          <w:sz w:val="28"/>
          <w:szCs w:val="28"/>
          <w:u w:val="none"/>
        </w:rPr>
        <w:t xml:space="preserve"> прогнозных и фактических значений и гистограмма распределения остатков для</w:t>
      </w:r>
      <w:r>
        <w:rPr>
          <w:rFonts w:hint="default" w:ascii="Times New Roman" w:hAnsi="Times New Roman" w:eastAsia="Times New Roman" w:cs="Times New Roman"/>
          <w:sz w:val="28"/>
          <w:szCs w:val="28"/>
          <w:u w:val="none"/>
          <w:lang w:val="ru-RU"/>
        </w:rPr>
        <w:t xml:space="preserve"> всех моделей</w:t>
      </w:r>
      <w:r>
        <w:rPr>
          <w:rFonts w:ascii="Times New Roman" w:hAnsi="Times New Roman" w:eastAsia="Times New Roman" w:cs="Times New Roman"/>
          <w:sz w:val="28"/>
          <w:szCs w:val="28"/>
          <w:u w:val="none"/>
        </w:rPr>
        <w:t xml:space="preserve"> представлены в </w:t>
      </w:r>
      <w:r>
        <w:rPr>
          <w:rFonts w:ascii="Times New Roman" w:hAnsi="Times New Roman" w:eastAsia="Times New Roman" w:cs="Times New Roman"/>
          <w:sz w:val="28"/>
          <w:szCs w:val="28"/>
          <w:u w:val="none"/>
        </w:rPr>
        <w:fldChar w:fldCharType="begin"/>
      </w:r>
      <w:r>
        <w:rPr>
          <w:rFonts w:ascii="Times New Roman" w:hAnsi="Times New Roman" w:eastAsia="Times New Roman" w:cs="Times New Roman"/>
          <w:sz w:val="28"/>
          <w:szCs w:val="28"/>
          <w:u w:val="none"/>
        </w:rPr>
        <w:instrText xml:space="preserve"> HYPERLINK \l "_ПРИЛОЖЕНИЕ И − ДИАГНОСТИЧЕСКИЕ ГРАФИКИ РЕГРЕССИОННЫХ МОДЕЛЕЙ" </w:instrText>
      </w:r>
      <w:r>
        <w:rPr>
          <w:rFonts w:ascii="Times New Roman" w:hAnsi="Times New Roman" w:eastAsia="Times New Roman" w:cs="Times New Roman"/>
          <w:sz w:val="28"/>
          <w:szCs w:val="28"/>
          <w:u w:val="none"/>
        </w:rPr>
        <w:fldChar w:fldCharType="separate"/>
      </w:r>
      <w:r>
        <w:rPr>
          <w:rStyle w:val="6"/>
          <w:rFonts w:ascii="Times New Roman" w:hAnsi="Times New Roman" w:eastAsia="Times New Roman" w:cs="Times New Roman"/>
          <w:sz w:val="28"/>
          <w:szCs w:val="28"/>
        </w:rPr>
        <w:t>Приложении И</w:t>
      </w:r>
      <w:r>
        <w:rPr>
          <w:rFonts w:ascii="Times New Roman" w:hAnsi="Times New Roman" w:eastAsia="Times New Roman" w:cs="Times New Roman"/>
          <w:sz w:val="28"/>
          <w:szCs w:val="28"/>
          <w:u w:val="none"/>
        </w:rPr>
        <w:fldChar w:fldCharType="end"/>
      </w:r>
      <w:r>
        <w:rPr>
          <w:rFonts w:ascii="Times New Roman" w:hAnsi="Times New Roman" w:eastAsia="Times New Roman" w:cs="Times New Roman"/>
          <w:sz w:val="28"/>
          <w:szCs w:val="28"/>
          <w:u w:val="none"/>
        </w:rPr>
        <w:t>.</w:t>
      </w:r>
    </w:p>
    <w:p w14:paraId="158E24DC">
      <w:pPr>
        <w:pStyle w:val="2"/>
        <w:bidi w:val="0"/>
        <w:jc w:val="center"/>
        <w:rPr>
          <w:rFonts w:hint="default" w:ascii="Times New Roman" w:hAnsi="Times New Roman" w:cs="Times New Roman"/>
          <w:sz w:val="28"/>
          <w:szCs w:val="28"/>
        </w:rPr>
      </w:pPr>
      <w:bookmarkStart w:id="11" w:name="_Toc160041301"/>
      <w:bookmarkStart w:id="12" w:name="_Toc11381"/>
      <w:bookmarkStart w:id="13" w:name="_Toc233813577"/>
      <w:bookmarkStart w:id="14" w:name="_Toc26669"/>
      <w:r>
        <w:rPr>
          <w:rFonts w:hint="default" w:ascii="Times New Roman" w:hAnsi="Times New Roman" w:cs="Times New Roman"/>
          <w:sz w:val="28"/>
          <w:szCs w:val="28"/>
        </w:rPr>
        <w:t>З</w:t>
      </w:r>
      <w:bookmarkEnd w:id="11"/>
      <w:r>
        <w:rPr>
          <w:rFonts w:hint="default" w:ascii="Times New Roman" w:hAnsi="Times New Roman" w:cs="Times New Roman"/>
          <w:sz w:val="28"/>
          <w:szCs w:val="28"/>
        </w:rPr>
        <w:t>АКЛЮЧЕНИЕ</w:t>
      </w:r>
      <w:bookmarkEnd w:id="12"/>
      <w:bookmarkEnd w:id="13"/>
      <w:bookmarkEnd w:id="14"/>
    </w:p>
    <w:p w14:paraId="48781C50">
      <w:pPr>
        <w:spacing w:after="200" w:line="240" w:lineRule="auto"/>
        <w:ind w:firstLine="567"/>
        <w:jc w:val="both"/>
      </w:pPr>
      <w:r>
        <w:rPr>
          <w:rFonts w:ascii="Times New Roman" w:hAnsi="Times New Roman" w:eastAsia="Times New Roman" w:cs="Times New Roman"/>
          <w:sz w:val="28"/>
          <w:szCs w:val="28"/>
        </w:rPr>
        <w:t>В результате выполнения учебной практики по теме ценообразования на вторичном рынке жилой недвижимости г. Махачкалы была достигнута поставленная цель: построена регрессионная модель, позволяющая оценивать стоимость квартир на данном рынке и выявлять статистически значимые факторы её формирования.</w:t>
      </w:r>
    </w:p>
    <w:p w14:paraId="3B1BC810">
      <w:pPr>
        <w:spacing w:after="200" w:line="240" w:lineRule="auto"/>
        <w:ind w:firstLine="567"/>
        <w:jc w:val="both"/>
      </w:pPr>
      <w:r>
        <w:rPr>
          <w:rFonts w:ascii="Times New Roman" w:hAnsi="Times New Roman" w:eastAsia="Times New Roman" w:cs="Times New Roman"/>
          <w:sz w:val="28"/>
          <w:szCs w:val="28"/>
        </w:rPr>
        <w:t>На первом этапе работы было установлено, что специализированные научные исследования, посвящённые количественному моделированию цен на квартиры непосредственно в Махачкале, в открытых базах данных (eLIBRARY.ru, КиберЛенинка, Google Scholar, SSRN, arXiv) отсутствуют. В связи с этим обзор литературы построен на двух источниках: работе И. В. Пилипенко, содержащей актуальную статистику по жилищной сфере Республики Дагестан в общероссийском контексте, и статье А. Х. Евстафьевой, О. Н. Боровских и Д. М. Бахтеевой, продемонстрировавшей методику построения регрессионной модели цены жилья на примере другого крупного города России — Казани, использованную как методологический ориентир для собственного исследования.</w:t>
      </w:r>
    </w:p>
    <w:p w14:paraId="4D622148">
      <w:pPr>
        <w:spacing w:after="200" w:line="240" w:lineRule="auto"/>
        <w:ind w:firstLine="567"/>
        <w:jc w:val="both"/>
      </w:pPr>
      <w:r>
        <w:rPr>
          <w:rFonts w:ascii="Times New Roman" w:hAnsi="Times New Roman" w:eastAsia="Times New Roman" w:cs="Times New Roman"/>
          <w:sz w:val="28"/>
          <w:szCs w:val="28"/>
        </w:rPr>
        <w:t>Для целей практики сформирована выборка из объявлений о продаже квартир на вторичном рынке Махачкалы, размещённых на платформе Cian.ru; выборка составила 195 объектов. Для каждого объекта собраны данные о цене, общей и жилой площади, площади кухни, количестве комнат, этаже, этажности дома, высоте потолков и расстоянии до общественного транспорта.</w:t>
      </w:r>
    </w:p>
    <w:p w14:paraId="401D5A07">
      <w:pPr>
        <w:spacing w:after="200" w:line="240" w:lineRule="auto"/>
        <w:ind w:firstLine="567"/>
        <w:jc w:val="both"/>
      </w:pPr>
      <w:r>
        <w:rPr>
          <w:rFonts w:ascii="Times New Roman" w:hAnsi="Times New Roman" w:eastAsia="Times New Roman" w:cs="Times New Roman"/>
          <w:sz w:val="28"/>
          <w:szCs w:val="28"/>
        </w:rPr>
        <w:t>Расчёт описательной статистики показал существенную неоднородность вторичного рынка жилья Махачкалы: при средней цене квартиры 9,06 млн руб. медианное значение составило 7,8 млн руб., а коэффициент вариации цены достиг 78%, что свидетельствует о широком разбросе цен и наличии отдельных заметно более дорогих объектов.</w:t>
      </w:r>
    </w:p>
    <w:p w14:paraId="4EEDF7C0">
      <w:pPr>
        <w:spacing w:after="200" w:line="240" w:lineRule="auto"/>
        <w:ind w:firstLine="567"/>
        <w:jc w:val="both"/>
      </w:pPr>
      <w:r>
        <w:rPr>
          <w:rFonts w:ascii="Times New Roman" w:hAnsi="Times New Roman" w:eastAsia="Times New Roman" w:cs="Times New Roman"/>
          <w:sz w:val="28"/>
          <w:szCs w:val="28"/>
        </w:rPr>
        <w:t>Корреляционный анализ выявил статистически значимую связь цены с общей и жилой площадью, количеством комнат и площадью кухни, тогда как связь с этажом, этажностью дома, высотой потолков и расстоянием до общественного транспорта на данной выборке не подтвердилась.</w:t>
      </w:r>
    </w:p>
    <w:p w14:paraId="28C51CE8">
      <w:pPr>
        <w:spacing w:after="200" w:line="240" w:lineRule="auto"/>
        <w:ind w:firstLine="567"/>
        <w:jc w:val="both"/>
      </w:pPr>
      <w:r>
        <w:rPr>
          <w:rFonts w:ascii="Times New Roman" w:hAnsi="Times New Roman" w:eastAsia="Times New Roman" w:cs="Times New Roman"/>
          <w:sz w:val="28"/>
          <w:szCs w:val="28"/>
        </w:rPr>
        <w:t xml:space="preserve">В ходе исследования построено пять регрессионных моделей, различающихся составом факторов и формой представления переменных. Наиболее высокое качество продемонстрировала модель в логарифмической форме, объясняющая 53,2% вариации логарифма цены (Adj. R² = 0,524) — заметно больше, чем любая из линейных моделей. </w:t>
      </w:r>
      <w:r>
        <w:rPr>
          <w:rFonts w:ascii="Times New Roman" w:hAnsi="Times New Roman" w:eastAsia="Times New Roman" w:cs="Times New Roman"/>
          <w:sz w:val="28"/>
          <w:szCs w:val="28"/>
          <w:lang w:val="ru-RU"/>
        </w:rPr>
        <w:t>Е</w:t>
      </w:r>
      <w:r>
        <w:rPr>
          <w:rFonts w:ascii="Times New Roman" w:hAnsi="Times New Roman" w:eastAsia="Times New Roman" w:cs="Times New Roman"/>
          <w:sz w:val="28"/>
          <w:szCs w:val="28"/>
        </w:rPr>
        <w:t>динственное существенное отклонение от нормальности их распределения связано с влиянием одного нетипичного объекта выборки.</w:t>
      </w:r>
    </w:p>
    <w:p w14:paraId="466D91C7">
      <w:pPr>
        <w:spacing w:after="200" w:line="240" w:lineRule="auto"/>
        <w:ind w:firstLine="567"/>
        <w:jc w:val="both"/>
      </w:pPr>
      <w:r>
        <w:rPr>
          <w:rFonts w:ascii="Times New Roman" w:hAnsi="Times New Roman" w:eastAsia="Times New Roman" w:cs="Times New Roman"/>
          <w:sz w:val="28"/>
          <w:szCs w:val="28"/>
        </w:rPr>
        <w:t>Проверка сформулированных на этапе планирования исследования гипотез показала неоднозначные результаты. Подтвердилась гипотеза о положительном влиянии общей площади квартиры на её стоимость. Не подтвердились гипотезы о влиянии расстояния до общественного транспорта, высоты потолков и расположения на первом этаже — статистически значимой связи этих характеристик с ценой на данной выборке не выявлено. Гипотезы о положительном влиянии площади кухни и этажности дома, а также о снижении цены за квадратный метр при увеличении числа комнат, не только не подтвердились, но и продемонстрировали в многофакторных моделях эффект, обратный ожидаемому: при контроле по прочим характеристикам увеличение площади кухни и этажности дома оказалось связано со снижением цены, а увеличение числа комнат — с её ростом. Такие результаты подчёркивают важность многофакторного анализа: однофакторные предположения о влиянии отдельных характеристик могут не подтверждаться или даже менять знак при учёте взаимосвязей между факторами.</w:t>
      </w:r>
    </w:p>
    <w:p w14:paraId="134B1B05">
      <w:pPr>
        <w:spacing w:after="200" w:line="240" w:lineRule="auto"/>
        <w:ind w:firstLine="567"/>
        <w:jc w:val="both"/>
      </w:pPr>
      <w:r>
        <w:rPr>
          <w:rFonts w:ascii="Times New Roman" w:hAnsi="Times New Roman" w:eastAsia="Times New Roman" w:cs="Times New Roman"/>
          <w:sz w:val="28"/>
          <w:szCs w:val="28"/>
        </w:rPr>
        <w:t>Полученные результаты могут быть использованы участниками вторичного рынка жилья Махачкалы — покупателями, продавцами, риелторами — для более обоснованной оценки стоимости квартир, а также послужить основой для разработки программного продукта автоматизированной оценки жилья, использующего построенную регрессионную модель. В качестве направлений дальнейшего развития исследования можно выделить расширение выборки, включение дополнительных характеристик (расположение относительно центра города и морского побережья, состояние ремонта, материал стен) и применение более сложных методов моделирования, включая методы машинного обучения.</w:t>
      </w:r>
    </w:p>
    <w:p w14:paraId="37941BDD">
      <w:pPr>
        <w:pStyle w:val="2"/>
        <w:bidi w:val="0"/>
        <w:jc w:val="center"/>
        <w:rPr>
          <w:rFonts w:hint="default" w:ascii="Times New Roman" w:hAnsi="Times New Roman" w:cs="Times New Roman"/>
          <w:sz w:val="28"/>
          <w:szCs w:val="28"/>
        </w:rPr>
      </w:pPr>
      <w:bookmarkStart w:id="15" w:name="_Toc2579"/>
      <w:bookmarkStart w:id="16" w:name="_Toc233813578"/>
      <w:bookmarkStart w:id="17" w:name="_Toc20634"/>
      <w:r>
        <w:rPr>
          <w:rFonts w:hint="default" w:ascii="Times New Roman" w:hAnsi="Times New Roman" w:cs="Times New Roman"/>
          <w:sz w:val="28"/>
          <w:szCs w:val="28"/>
        </w:rPr>
        <w:t>СПИСОК ИСПОЛЬЗОВАННЫХ ИСТОЧНИКОВ</w:t>
      </w:r>
      <w:bookmarkEnd w:id="15"/>
      <w:bookmarkEnd w:id="16"/>
      <w:bookmarkEnd w:id="17"/>
    </w:p>
    <w:p w14:paraId="1011B64A">
      <w:pPr>
        <w:spacing w:after="150" w:line="240" w:lineRule="auto"/>
        <w:ind w:left="567" w:hanging="397"/>
        <w:jc w:val="both"/>
      </w:pPr>
      <w:r>
        <w:rPr>
          <w:rFonts w:ascii="Times New Roman" w:hAnsi="Times New Roman" w:eastAsia="Times New Roman" w:cs="Times New Roman"/>
          <w:sz w:val="28"/>
          <w:szCs w:val="28"/>
        </w:rPr>
        <w:t xml:space="preserve">1. Пилипенко, И. В. Ранжирование и типология регионов Российской Федерации по жилищной обеспеченности и доступности жилья в 1990–2020-х годах / И. В. Пилипенко // Экономика региона. – 2024. – Т. 20. – № 3. – С. 763–786. – Режим доступа: </w:t>
      </w:r>
      <w:r>
        <w:fldChar w:fldCharType="begin"/>
      </w:r>
      <w:r>
        <w:instrText xml:space="preserve"> HYPERLINK "https://economyofregions.org/ojs/index.php/er/article/view/882" </w:instrText>
      </w:r>
      <w:r>
        <w:fldChar w:fldCharType="separate"/>
      </w:r>
      <w:r>
        <w:rPr>
          <w:rStyle w:val="6"/>
          <w:rFonts w:ascii="Times New Roman" w:hAnsi="Times New Roman" w:eastAsia="Times New Roman" w:cs="Times New Roman"/>
          <w:color w:val="0563C1"/>
          <w:sz w:val="28"/>
          <w:szCs w:val="28"/>
          <w:u w:val="single"/>
        </w:rPr>
        <w:t>https://economyofregions.org/ojs/index.php/er/article/view/882</w:t>
      </w:r>
      <w:r>
        <w:rPr>
          <w:rStyle w:val="6"/>
          <w:rFonts w:ascii="Times New Roman" w:hAnsi="Times New Roman" w:eastAsia="Times New Roman" w:cs="Times New Roman"/>
          <w:color w:val="0563C1"/>
          <w:sz w:val="28"/>
          <w:szCs w:val="28"/>
          <w:u w:val="single"/>
        </w:rPr>
        <w:fldChar w:fldCharType="end"/>
      </w:r>
      <w:r>
        <w:rPr>
          <w:rFonts w:ascii="Times New Roman" w:hAnsi="Times New Roman" w:eastAsia="Times New Roman" w:cs="Times New Roman"/>
          <w:sz w:val="28"/>
          <w:szCs w:val="28"/>
        </w:rPr>
        <w:t xml:space="preserve"> (дата обращения: 0</w:t>
      </w:r>
      <w:r>
        <w:rPr>
          <w:rFonts w:hint="default" w:ascii="Times New Roman" w:hAnsi="Times New Roman" w:eastAsia="Times New Roman" w:cs="Times New Roman"/>
          <w:sz w:val="28"/>
          <w:szCs w:val="28"/>
          <w:lang w:val="ru-RU"/>
        </w:rPr>
        <w:t>2</w:t>
      </w:r>
      <w:r>
        <w:rPr>
          <w:rFonts w:ascii="Times New Roman" w:hAnsi="Times New Roman" w:eastAsia="Times New Roman" w:cs="Times New Roman"/>
          <w:sz w:val="28"/>
          <w:szCs w:val="28"/>
        </w:rPr>
        <w:t>.07.2026).</w:t>
      </w:r>
    </w:p>
    <w:p w14:paraId="19AAB036">
      <w:pPr>
        <w:spacing w:after="150" w:line="240" w:lineRule="auto"/>
        <w:ind w:left="567" w:hanging="397"/>
        <w:jc w:val="both"/>
      </w:pPr>
      <w:r>
        <w:rPr>
          <w:rFonts w:ascii="Times New Roman" w:hAnsi="Times New Roman" w:eastAsia="Times New Roman" w:cs="Times New Roman"/>
          <w:sz w:val="28"/>
          <w:szCs w:val="28"/>
        </w:rPr>
        <w:t xml:space="preserve">2. Евстафьева, А. Х. Моделирование зависимости цены жилья от различных факторов / А. Х. Евстафьева, О. Н. Боровских, Д. М. Бахтеева // Вестник евразийской науки. – 2025. – Т. 17. – № 4. – Режим доступа: </w:t>
      </w:r>
      <w:r>
        <w:fldChar w:fldCharType="begin"/>
      </w:r>
      <w:r>
        <w:instrText xml:space="preserve"> HYPERLINK "https://esj.today/PDF/22ECVN425.pdf" </w:instrText>
      </w:r>
      <w:r>
        <w:fldChar w:fldCharType="separate"/>
      </w:r>
      <w:r>
        <w:rPr>
          <w:rStyle w:val="6"/>
          <w:rFonts w:ascii="Times New Roman" w:hAnsi="Times New Roman" w:eastAsia="Times New Roman" w:cs="Times New Roman"/>
          <w:color w:val="0563C1"/>
          <w:sz w:val="28"/>
          <w:szCs w:val="28"/>
          <w:u w:val="single"/>
        </w:rPr>
        <w:t>https://esj.today/PDF/22ECVN425.pdf</w:t>
      </w:r>
      <w:r>
        <w:rPr>
          <w:rStyle w:val="6"/>
          <w:rFonts w:ascii="Times New Roman" w:hAnsi="Times New Roman" w:eastAsia="Times New Roman" w:cs="Times New Roman"/>
          <w:color w:val="0563C1"/>
          <w:sz w:val="28"/>
          <w:szCs w:val="28"/>
          <w:u w:val="single"/>
        </w:rPr>
        <w:fldChar w:fldCharType="end"/>
      </w:r>
      <w:r>
        <w:rPr>
          <w:rFonts w:ascii="Times New Roman" w:hAnsi="Times New Roman" w:eastAsia="Times New Roman" w:cs="Times New Roman"/>
          <w:sz w:val="28"/>
          <w:szCs w:val="28"/>
        </w:rPr>
        <w:t xml:space="preserve"> (дата обращения: 0</w:t>
      </w:r>
      <w:r>
        <w:rPr>
          <w:rFonts w:hint="default" w:ascii="Times New Roman" w:hAnsi="Times New Roman" w:eastAsia="Times New Roman" w:cs="Times New Roman"/>
          <w:sz w:val="28"/>
          <w:szCs w:val="28"/>
          <w:lang w:val="ru-RU"/>
        </w:rPr>
        <w:t>2</w:t>
      </w:r>
      <w:r>
        <w:rPr>
          <w:rFonts w:ascii="Times New Roman" w:hAnsi="Times New Roman" w:eastAsia="Times New Roman" w:cs="Times New Roman"/>
          <w:sz w:val="28"/>
          <w:szCs w:val="28"/>
        </w:rPr>
        <w:t>.07.2026).</w:t>
      </w:r>
    </w:p>
    <w:p w14:paraId="35B201A6">
      <w:pPr>
        <w:spacing w:after="150" w:line="240" w:lineRule="auto"/>
        <w:ind w:left="567" w:hanging="397"/>
        <w:jc w:val="both"/>
      </w:pPr>
      <w:r>
        <w:rPr>
          <w:rFonts w:ascii="Times New Roman" w:hAnsi="Times New Roman" w:eastAsia="Times New Roman" w:cs="Times New Roman"/>
          <w:sz w:val="28"/>
          <w:szCs w:val="28"/>
        </w:rPr>
        <w:t xml:space="preserve">4. pandas development team. pandas documentation [Электронный ресурс]. – Режим доступа: </w:t>
      </w:r>
      <w:r>
        <w:fldChar w:fldCharType="begin"/>
      </w:r>
      <w:r>
        <w:instrText xml:space="preserve"> HYPERLINK "https://pandas.pydata.org/docs/" </w:instrText>
      </w:r>
      <w:r>
        <w:fldChar w:fldCharType="separate"/>
      </w:r>
      <w:r>
        <w:rPr>
          <w:rStyle w:val="6"/>
          <w:rFonts w:ascii="Times New Roman" w:hAnsi="Times New Roman" w:eastAsia="Times New Roman" w:cs="Times New Roman"/>
          <w:color w:val="0563C1"/>
          <w:sz w:val="28"/>
          <w:szCs w:val="28"/>
          <w:u w:val="single"/>
        </w:rPr>
        <w:t>https://pandas.pydata.org/docs/</w:t>
      </w:r>
      <w:r>
        <w:rPr>
          <w:rStyle w:val="6"/>
          <w:rFonts w:ascii="Times New Roman" w:hAnsi="Times New Roman" w:eastAsia="Times New Roman" w:cs="Times New Roman"/>
          <w:color w:val="0563C1"/>
          <w:sz w:val="28"/>
          <w:szCs w:val="28"/>
          <w:u w:val="single"/>
        </w:rPr>
        <w:fldChar w:fldCharType="end"/>
      </w:r>
      <w:r>
        <w:rPr>
          <w:rFonts w:ascii="Times New Roman" w:hAnsi="Times New Roman" w:eastAsia="Times New Roman" w:cs="Times New Roman"/>
          <w:sz w:val="28"/>
          <w:szCs w:val="28"/>
        </w:rPr>
        <w:t xml:space="preserve"> (дата обращения: 0</w:t>
      </w:r>
      <w:r>
        <w:rPr>
          <w:rFonts w:hint="default" w:ascii="Times New Roman" w:hAnsi="Times New Roman" w:eastAsia="Times New Roman" w:cs="Times New Roman"/>
          <w:sz w:val="28"/>
          <w:szCs w:val="28"/>
          <w:lang w:val="ru-RU"/>
        </w:rPr>
        <w:t>3</w:t>
      </w:r>
      <w:r>
        <w:rPr>
          <w:rFonts w:ascii="Times New Roman" w:hAnsi="Times New Roman" w:eastAsia="Times New Roman" w:cs="Times New Roman"/>
          <w:sz w:val="28"/>
          <w:szCs w:val="28"/>
        </w:rPr>
        <w:t>.07.2026).</w:t>
      </w:r>
    </w:p>
    <w:p w14:paraId="15E7FDF1">
      <w:pPr>
        <w:spacing w:after="150" w:line="240" w:lineRule="auto"/>
        <w:ind w:left="567" w:hanging="397"/>
        <w:jc w:val="both"/>
      </w:pPr>
      <w:r>
        <w:rPr>
          <w:rFonts w:ascii="Times New Roman" w:hAnsi="Times New Roman" w:eastAsia="Times New Roman" w:cs="Times New Roman"/>
          <w:sz w:val="28"/>
          <w:szCs w:val="28"/>
        </w:rPr>
        <w:t xml:space="preserve">5. Waskom, M. seaborn: statistical data visualization [Электронный ресурс]. – Режим доступа: </w:t>
      </w:r>
      <w:r>
        <w:fldChar w:fldCharType="begin"/>
      </w:r>
      <w:r>
        <w:instrText xml:space="preserve"> HYPERLINK "https://seaborn.pydata.org/" </w:instrText>
      </w:r>
      <w:r>
        <w:fldChar w:fldCharType="separate"/>
      </w:r>
      <w:r>
        <w:rPr>
          <w:rStyle w:val="6"/>
          <w:rFonts w:ascii="Times New Roman" w:hAnsi="Times New Roman" w:eastAsia="Times New Roman" w:cs="Times New Roman"/>
          <w:color w:val="0563C1"/>
          <w:sz w:val="28"/>
          <w:szCs w:val="28"/>
          <w:u w:val="single"/>
        </w:rPr>
        <w:t>https://seaborn.pydata.org/</w:t>
      </w:r>
      <w:r>
        <w:rPr>
          <w:rStyle w:val="6"/>
          <w:rFonts w:ascii="Times New Roman" w:hAnsi="Times New Roman" w:eastAsia="Times New Roman" w:cs="Times New Roman"/>
          <w:color w:val="0563C1"/>
          <w:sz w:val="28"/>
          <w:szCs w:val="28"/>
          <w:u w:val="single"/>
        </w:rPr>
        <w:fldChar w:fldCharType="end"/>
      </w:r>
      <w:r>
        <w:rPr>
          <w:rFonts w:ascii="Times New Roman" w:hAnsi="Times New Roman" w:eastAsia="Times New Roman" w:cs="Times New Roman"/>
          <w:sz w:val="28"/>
          <w:szCs w:val="28"/>
        </w:rPr>
        <w:t xml:space="preserve"> (дата обращения: 0</w:t>
      </w:r>
      <w:r>
        <w:rPr>
          <w:rFonts w:hint="default" w:ascii="Times New Roman" w:hAnsi="Times New Roman" w:eastAsia="Times New Roman" w:cs="Times New Roman"/>
          <w:sz w:val="28"/>
          <w:szCs w:val="28"/>
          <w:lang w:val="ru-RU"/>
        </w:rPr>
        <w:t>3</w:t>
      </w:r>
      <w:r>
        <w:rPr>
          <w:rFonts w:ascii="Times New Roman" w:hAnsi="Times New Roman" w:eastAsia="Times New Roman" w:cs="Times New Roman"/>
          <w:sz w:val="28"/>
          <w:szCs w:val="28"/>
        </w:rPr>
        <w:t>.07.2026).</w:t>
      </w:r>
    </w:p>
    <w:p w14:paraId="13604F91">
      <w:pPr>
        <w:spacing w:after="150" w:line="240" w:lineRule="auto"/>
        <w:ind w:left="567" w:hanging="39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6. Seabold, S., Perktold, J. statsmodels: Econometric and statistical modeling with Python [Электронный ресурс]. – Режим доступа: </w:t>
      </w:r>
      <w:r>
        <w:fldChar w:fldCharType="begin"/>
      </w:r>
      <w:r>
        <w:instrText xml:space="preserve"> HYPERLINK "https://www.statsmodels.org/stable/index.html" </w:instrText>
      </w:r>
      <w:r>
        <w:fldChar w:fldCharType="separate"/>
      </w:r>
      <w:r>
        <w:rPr>
          <w:rStyle w:val="6"/>
          <w:rFonts w:ascii="Times New Roman" w:hAnsi="Times New Roman" w:eastAsia="Times New Roman" w:cs="Times New Roman"/>
          <w:color w:val="0563C1"/>
          <w:sz w:val="28"/>
          <w:szCs w:val="28"/>
          <w:u w:val="single"/>
        </w:rPr>
        <w:t>https://www.statsmodels.org/stable/index.html</w:t>
      </w:r>
      <w:r>
        <w:rPr>
          <w:rStyle w:val="6"/>
          <w:rFonts w:ascii="Times New Roman" w:hAnsi="Times New Roman" w:eastAsia="Times New Roman" w:cs="Times New Roman"/>
          <w:color w:val="0563C1"/>
          <w:sz w:val="28"/>
          <w:szCs w:val="28"/>
          <w:u w:val="single"/>
        </w:rPr>
        <w:fldChar w:fldCharType="end"/>
      </w:r>
      <w:r>
        <w:rPr>
          <w:rFonts w:ascii="Times New Roman" w:hAnsi="Times New Roman" w:eastAsia="Times New Roman" w:cs="Times New Roman"/>
          <w:sz w:val="28"/>
          <w:szCs w:val="28"/>
        </w:rPr>
        <w:t xml:space="preserve"> (дата обращения: 0</w:t>
      </w:r>
      <w:r>
        <w:rPr>
          <w:rFonts w:hint="default" w:ascii="Times New Roman" w:hAnsi="Times New Roman" w:eastAsia="Times New Roman" w:cs="Times New Roman"/>
          <w:sz w:val="28"/>
          <w:szCs w:val="28"/>
          <w:lang w:val="ru-RU"/>
        </w:rPr>
        <w:t>3</w:t>
      </w:r>
      <w:r>
        <w:rPr>
          <w:rFonts w:ascii="Times New Roman" w:hAnsi="Times New Roman" w:eastAsia="Times New Roman" w:cs="Times New Roman"/>
          <w:sz w:val="28"/>
          <w:szCs w:val="28"/>
        </w:rPr>
        <w:t>.07.2026).</w:t>
      </w:r>
    </w:p>
    <w:p w14:paraId="4BF937C7">
      <w:pPr>
        <w:pStyle w:val="2"/>
        <w:rPr>
          <w:rFonts w:hint="default" w:ascii="Times New Roman" w:hAnsi="Times New Roman" w:cs="Times New Roman"/>
          <w:sz w:val="28"/>
          <w:szCs w:val="28"/>
        </w:rPr>
      </w:pPr>
      <w:bookmarkStart w:id="18" w:name="_Toc10682"/>
      <w:bookmarkStart w:id="19" w:name="_Toc233813580"/>
      <w:bookmarkStart w:id="20" w:name="_ПРИЛОЖЕНИЕ А − ГИСТОГРАММА РАСПРЕДЕЛЕНИЯ ЦЕН"/>
    </w:p>
    <w:p w14:paraId="689617F9">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065F9294">
      <w:pPr>
        <w:pStyle w:val="2"/>
        <w:rPr>
          <w:rFonts w:hint="default" w:ascii="Times New Roman" w:hAnsi="Times New Roman" w:cs="Times New Roman"/>
          <w:sz w:val="28"/>
          <w:szCs w:val="28"/>
          <w:lang w:eastAsia="ru-RU"/>
        </w:rPr>
      </w:pPr>
      <w:bookmarkStart w:id="21" w:name="_Toc458"/>
      <w:r>
        <w:rPr>
          <w:rFonts w:hint="default" w:ascii="Times New Roman" w:hAnsi="Times New Roman" w:cs="Times New Roman"/>
          <w:sz w:val="28"/>
          <w:szCs w:val="28"/>
        </w:rPr>
        <w:t xml:space="preserve">ПРИЛОЖЕНИЕ </w:t>
      </w:r>
      <w:r>
        <w:rPr>
          <w:rFonts w:hint="default" w:ascii="Times New Roman" w:hAnsi="Times New Roman" w:cs="Times New Roman"/>
          <w:sz w:val="28"/>
          <w:szCs w:val="28"/>
          <w:lang w:val="ru-RU"/>
        </w:rPr>
        <w:t>А</w:t>
      </w:r>
      <w:r>
        <w:rPr>
          <w:rFonts w:hint="default" w:ascii="Times New Roman" w:hAnsi="Times New Roman" w:cs="Times New Roman"/>
          <w:sz w:val="28"/>
          <w:szCs w:val="28"/>
        </w:rPr>
        <w:t xml:space="preserve"> − ГИСТОГРАММА РАСПРЕДЕЛЕНИЯ ЦЕН</w:t>
      </w:r>
      <w:bookmarkEnd w:id="18"/>
      <w:bookmarkEnd w:id="19"/>
      <w:bookmarkEnd w:id="21"/>
    </w:p>
    <w:bookmarkEnd w:id="20"/>
    <w:p w14:paraId="075B8789">
      <w:pPr>
        <w:bidi w:val="0"/>
        <w:rPr>
          <w:rFonts w:hint="default"/>
          <w:lang w:val="ru-RU"/>
        </w:rPr>
      </w:pPr>
      <w:bookmarkStart w:id="22" w:name="_Toc11889"/>
      <w:bookmarkStart w:id="23" w:name="_Toc233813581"/>
      <w:bookmarkStart w:id="24" w:name="_ПРИЛОЖЕНИЕ Б − ГИСТОГРАММА РАСПРЕДЕЛЕНИЯ ОБЩЕЙ ПЛОЩАДИ"/>
      <w:r>
        <w:rPr>
          <w:rFonts w:hint="default"/>
          <w:lang w:val="ru-RU"/>
        </w:rPr>
        <w:drawing>
          <wp:inline distT="0" distB="0" distL="114300" distR="114300">
            <wp:extent cx="5365750" cy="4025265"/>
            <wp:effectExtent l="0" t="0" r="6350" b="13335"/>
            <wp:docPr id="3" name="Изображение 3" descr="hist_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hist_price"/>
                    <pic:cNvPicPr>
                      <a:picLocks noChangeAspect="1"/>
                    </pic:cNvPicPr>
                  </pic:nvPicPr>
                  <pic:blipFill>
                    <a:blip r:embed="rId6"/>
                    <a:stretch>
                      <a:fillRect/>
                    </a:stretch>
                  </pic:blipFill>
                  <pic:spPr>
                    <a:xfrm>
                      <a:off x="0" y="0"/>
                      <a:ext cx="5365750" cy="4025265"/>
                    </a:xfrm>
                    <a:prstGeom prst="rect">
                      <a:avLst/>
                    </a:prstGeom>
                  </pic:spPr>
                </pic:pic>
              </a:graphicData>
            </a:graphic>
          </wp:inline>
        </w:drawing>
      </w:r>
    </w:p>
    <w:p w14:paraId="6C5B00C1">
      <w:pPr>
        <w:pStyle w:val="2"/>
        <w:bidi w:val="0"/>
        <w:rPr>
          <w:rFonts w:hint="default" w:ascii="Times New Roman" w:hAnsi="Times New Roman" w:cs="Times New Roman"/>
          <w:sz w:val="28"/>
          <w:szCs w:val="28"/>
          <w:lang w:eastAsia="ru-RU"/>
        </w:rPr>
      </w:pPr>
      <w:bookmarkStart w:id="25" w:name="_Toc6465"/>
      <w:r>
        <w:rPr>
          <w:rFonts w:hint="default" w:ascii="Times New Roman" w:hAnsi="Times New Roman" w:cs="Times New Roman"/>
          <w:sz w:val="28"/>
          <w:szCs w:val="28"/>
        </w:rPr>
        <w:t xml:space="preserve">ПРИЛОЖЕНИЕ </w:t>
      </w:r>
      <w:r>
        <w:rPr>
          <w:rFonts w:hint="default" w:ascii="Times New Roman" w:hAnsi="Times New Roman" w:cs="Times New Roman"/>
          <w:sz w:val="28"/>
          <w:szCs w:val="28"/>
          <w:lang w:val="ru-RU"/>
        </w:rPr>
        <w:t>Б</w:t>
      </w:r>
      <w:r>
        <w:rPr>
          <w:rFonts w:hint="default" w:ascii="Times New Roman" w:hAnsi="Times New Roman" w:cs="Times New Roman"/>
          <w:sz w:val="28"/>
          <w:szCs w:val="28"/>
        </w:rPr>
        <w:t xml:space="preserve"> − ГИСТОГРАММА РАСПРЕДЕЛЕНИЯ ОБ</w:t>
      </w:r>
      <w:r>
        <w:rPr>
          <w:rFonts w:hint="default" w:ascii="Times New Roman" w:hAnsi="Times New Roman" w:cs="Times New Roman"/>
          <w:i w:val="0"/>
          <w:iCs w:val="0"/>
          <w:sz w:val="28"/>
          <w:szCs w:val="28"/>
        </w:rPr>
        <w:t>Щ</w:t>
      </w:r>
      <w:r>
        <w:rPr>
          <w:rFonts w:hint="default" w:ascii="Times New Roman" w:hAnsi="Times New Roman" w:cs="Times New Roman"/>
          <w:sz w:val="28"/>
          <w:szCs w:val="28"/>
        </w:rPr>
        <w:t>ЕЙ ПЛОЩАДИ</w:t>
      </w:r>
      <w:bookmarkEnd w:id="22"/>
      <w:bookmarkEnd w:id="23"/>
      <w:bookmarkEnd w:id="25"/>
    </w:p>
    <w:bookmarkEnd w:id="24"/>
    <w:p w14:paraId="3A768FE8">
      <w:pPr>
        <w:bidi w:val="0"/>
        <w:rPr>
          <w:rFonts w:hint="default"/>
          <w:lang w:val="ru-RU"/>
        </w:rPr>
      </w:pPr>
      <w:bookmarkStart w:id="26" w:name="_Toc233813582"/>
      <w:bookmarkStart w:id="27" w:name="_Toc3514"/>
      <w:bookmarkStart w:id="28" w:name="_ПРИЛОЖЕНИЕ В − ДИАГРАММА РАЗМАХА ЦЕН"/>
      <w:r>
        <w:rPr>
          <w:rFonts w:hint="default"/>
          <w:lang w:val="ru-RU"/>
        </w:rPr>
        <w:drawing>
          <wp:inline distT="0" distB="0" distL="114300" distR="114300">
            <wp:extent cx="5398135" cy="4048760"/>
            <wp:effectExtent l="0" t="0" r="12065" b="8890"/>
            <wp:docPr id="4" name="Изображение 4" descr="hist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hist_area"/>
                    <pic:cNvPicPr>
                      <a:picLocks noChangeAspect="1"/>
                    </pic:cNvPicPr>
                  </pic:nvPicPr>
                  <pic:blipFill>
                    <a:blip r:embed="rId7"/>
                    <a:stretch>
                      <a:fillRect/>
                    </a:stretch>
                  </pic:blipFill>
                  <pic:spPr>
                    <a:xfrm>
                      <a:off x="0" y="0"/>
                      <a:ext cx="5398135" cy="4048760"/>
                    </a:xfrm>
                    <a:prstGeom prst="rect">
                      <a:avLst/>
                    </a:prstGeom>
                  </pic:spPr>
                </pic:pic>
              </a:graphicData>
            </a:graphic>
          </wp:inline>
        </w:drawing>
      </w:r>
    </w:p>
    <w:p w14:paraId="47D74760">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7D4A6E6D">
      <w:pPr>
        <w:pStyle w:val="2"/>
        <w:bidi w:val="0"/>
        <w:rPr>
          <w:rFonts w:hint="default" w:ascii="Times New Roman" w:hAnsi="Times New Roman" w:cs="Times New Roman"/>
          <w:sz w:val="28"/>
          <w:szCs w:val="28"/>
        </w:rPr>
      </w:pPr>
      <w:bookmarkStart w:id="29" w:name="_Toc21107"/>
      <w:r>
        <w:rPr>
          <w:rFonts w:hint="default" w:ascii="Times New Roman" w:hAnsi="Times New Roman" w:cs="Times New Roman"/>
          <w:sz w:val="28"/>
          <w:szCs w:val="28"/>
        </w:rPr>
        <w:t xml:space="preserve">ПРИЛОЖЕНИЕ </w:t>
      </w:r>
      <w:r>
        <w:rPr>
          <w:rFonts w:hint="default" w:ascii="Times New Roman" w:hAnsi="Times New Roman" w:cs="Times New Roman"/>
          <w:sz w:val="28"/>
          <w:szCs w:val="28"/>
          <w:lang w:val="ru-RU"/>
        </w:rPr>
        <w:t>В</w:t>
      </w:r>
      <w:r>
        <w:rPr>
          <w:rFonts w:hint="default" w:ascii="Times New Roman" w:hAnsi="Times New Roman" w:cs="Times New Roman"/>
          <w:sz w:val="28"/>
          <w:szCs w:val="28"/>
        </w:rPr>
        <w:t xml:space="preserve"> − ДИАГРАММА РАЗМАХА ЦЕН</w:t>
      </w:r>
      <w:bookmarkEnd w:id="26"/>
      <w:bookmarkEnd w:id="27"/>
      <w:bookmarkEnd w:id="28"/>
      <w:bookmarkEnd w:id="29"/>
    </w:p>
    <w:p w14:paraId="566DDAB6">
      <w:pPr>
        <w:rPr>
          <w:rFonts w:hint="default"/>
          <w:lang w:val="ru-RU"/>
        </w:rPr>
      </w:pPr>
      <w:r>
        <w:rPr>
          <w:rFonts w:hint="default"/>
          <w:lang w:val="ru-RU"/>
        </w:rPr>
        <w:drawing>
          <wp:inline distT="0" distB="0" distL="114300" distR="114300">
            <wp:extent cx="5486400" cy="5486400"/>
            <wp:effectExtent l="0" t="0" r="0" b="0"/>
            <wp:docPr id="5" name="Изображение 5" descr="box_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descr="box_price"/>
                    <pic:cNvPicPr>
                      <a:picLocks noChangeAspect="1"/>
                    </pic:cNvPicPr>
                  </pic:nvPicPr>
                  <pic:blipFill>
                    <a:blip r:embed="rId8"/>
                    <a:stretch>
                      <a:fillRect/>
                    </a:stretch>
                  </pic:blipFill>
                  <pic:spPr>
                    <a:xfrm>
                      <a:off x="0" y="0"/>
                      <a:ext cx="5486400" cy="5486400"/>
                    </a:xfrm>
                    <a:prstGeom prst="rect">
                      <a:avLst/>
                    </a:prstGeom>
                  </pic:spPr>
                </pic:pic>
              </a:graphicData>
            </a:graphic>
          </wp:inline>
        </w:drawing>
      </w:r>
    </w:p>
    <w:p w14:paraId="09E26477">
      <w:pPr>
        <w:pStyle w:val="2"/>
        <w:rPr>
          <w:rStyle w:val="7"/>
          <w:rFonts w:hint="default" w:ascii="Times New Roman" w:hAnsi="Times New Roman" w:cs="Times New Roman"/>
          <w:b/>
          <w:bCs/>
          <w:sz w:val="28"/>
          <w:szCs w:val="28"/>
        </w:rPr>
      </w:pPr>
      <w:bookmarkStart w:id="30" w:name="_Toc7748"/>
      <w:bookmarkStart w:id="31" w:name="_Toc233813583"/>
      <w:bookmarkStart w:id="32" w:name="_ПРИЛОЖЕНИЕ  Г − ДИАГРАММА РАЗМАХА ОБЩЕЙ ПЛОЩАДИ"/>
      <w:bookmarkStart w:id="33" w:name="_Toc26122"/>
      <w:r>
        <w:rPr>
          <w:rFonts w:hint="default" w:ascii="Times New Roman" w:hAnsi="Times New Roman" w:cs="Times New Roman"/>
          <w:sz w:val="28"/>
          <w:szCs w:val="28"/>
        </w:rPr>
        <w:t xml:space="preserve">ПРИЛОЖЕНИЕ </w:t>
      </w:r>
      <w:r>
        <w:rPr>
          <w:rFonts w:hint="default" w:ascii="Times New Roman" w:hAnsi="Times New Roman" w:cs="Times New Roman"/>
          <w:sz w:val="28"/>
          <w:szCs w:val="28"/>
          <w:lang w:val="ru-RU"/>
        </w:rPr>
        <w:t xml:space="preserve"> Г</w:t>
      </w:r>
      <w:r>
        <w:rPr>
          <w:rFonts w:hint="default" w:ascii="Times New Roman" w:hAnsi="Times New Roman" w:cs="Times New Roman"/>
          <w:sz w:val="28"/>
          <w:szCs w:val="28"/>
        </w:rPr>
        <w:t xml:space="preserve"> − ДИАГРАММА РАЗМАХА ОБЩЕЙ ПЛОЩАДИ</w:t>
      </w:r>
      <w:bookmarkEnd w:id="30"/>
      <w:bookmarkEnd w:id="31"/>
      <w:bookmarkEnd w:id="32"/>
      <w:bookmarkEnd w:id="33"/>
    </w:p>
    <w:p w14:paraId="57D362A2">
      <w:pPr>
        <w:bidi w:val="0"/>
        <w:rPr>
          <w:rFonts w:hint="default"/>
          <w:lang w:val="ru-RU"/>
        </w:rPr>
      </w:pPr>
      <w:bookmarkStart w:id="34" w:name="_Toc15716"/>
      <w:bookmarkStart w:id="35" w:name="_Toc233813584"/>
      <w:bookmarkStart w:id="36" w:name="_ПРИЛОЖЕНИЕ Д − ДИАГРАММЫ РАССЕЯНИЯ"/>
      <w:r>
        <w:rPr>
          <w:rFonts w:hint="default"/>
          <w:lang w:val="ru-RU"/>
        </w:rPr>
        <w:drawing>
          <wp:inline distT="0" distB="0" distL="114300" distR="114300">
            <wp:extent cx="5486400" cy="5486400"/>
            <wp:effectExtent l="0" t="0" r="0" b="0"/>
            <wp:docPr id="6" name="Изображение 6" descr="box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descr="box_area"/>
                    <pic:cNvPicPr>
                      <a:picLocks noChangeAspect="1"/>
                    </pic:cNvPicPr>
                  </pic:nvPicPr>
                  <pic:blipFill>
                    <a:blip r:embed="rId9"/>
                    <a:stretch>
                      <a:fillRect/>
                    </a:stretch>
                  </pic:blipFill>
                  <pic:spPr>
                    <a:xfrm>
                      <a:off x="0" y="0"/>
                      <a:ext cx="5486400" cy="5486400"/>
                    </a:xfrm>
                    <a:prstGeom prst="rect">
                      <a:avLst/>
                    </a:prstGeom>
                  </pic:spPr>
                </pic:pic>
              </a:graphicData>
            </a:graphic>
          </wp:inline>
        </w:drawing>
      </w:r>
    </w:p>
    <w:p w14:paraId="1413239E">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0B9402EF">
      <w:pPr>
        <w:pStyle w:val="2"/>
        <w:rPr>
          <w:rFonts w:hint="default" w:ascii="Times New Roman" w:hAnsi="Times New Roman" w:cs="Times New Roman"/>
          <w:sz w:val="28"/>
          <w:szCs w:val="28"/>
        </w:rPr>
      </w:pPr>
      <w:bookmarkStart w:id="37" w:name="_Toc29680"/>
      <w:r>
        <w:rPr>
          <w:rFonts w:hint="default" w:ascii="Times New Roman" w:hAnsi="Times New Roman" w:cs="Times New Roman"/>
          <w:sz w:val="28"/>
          <w:szCs w:val="28"/>
        </w:rPr>
        <w:t xml:space="preserve">ПРИЛОЖЕНИЕ </w:t>
      </w:r>
      <w:r>
        <w:rPr>
          <w:rFonts w:hint="default" w:ascii="Times New Roman" w:hAnsi="Times New Roman" w:cs="Times New Roman"/>
          <w:sz w:val="28"/>
          <w:szCs w:val="28"/>
          <w:lang w:val="ru-RU"/>
        </w:rPr>
        <w:t>Д</w:t>
      </w:r>
      <w:r>
        <w:rPr>
          <w:rFonts w:hint="default" w:ascii="Times New Roman" w:hAnsi="Times New Roman" w:cs="Times New Roman"/>
          <w:sz w:val="28"/>
          <w:szCs w:val="28"/>
        </w:rPr>
        <w:t xml:space="preserve"> − ДИАГРАММЫ РАССЕЯНИЯ</w:t>
      </w:r>
      <w:bookmarkEnd w:id="34"/>
      <w:bookmarkEnd w:id="35"/>
      <w:bookmarkEnd w:id="36"/>
      <w:bookmarkEnd w:id="37"/>
    </w:p>
    <w:p w14:paraId="50964FBF">
      <w:pPr>
        <w:rPr>
          <w:rFonts w:hint="default"/>
          <w:lang w:val="ru-RU"/>
        </w:rPr>
      </w:pPr>
      <w:r>
        <w:rPr>
          <w:rFonts w:hint="default"/>
          <w:lang w:val="ru-RU"/>
        </w:rPr>
        <w:drawing>
          <wp:inline distT="0" distB="0" distL="114300" distR="114300">
            <wp:extent cx="5683885" cy="6394450"/>
            <wp:effectExtent l="0" t="0" r="12065" b="6350"/>
            <wp:docPr id="7" name="Изображение 7" descr="scatterp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descr="scatterplots"/>
                    <pic:cNvPicPr>
                      <a:picLocks noChangeAspect="1"/>
                    </pic:cNvPicPr>
                  </pic:nvPicPr>
                  <pic:blipFill>
                    <a:blip r:embed="rId10"/>
                    <a:stretch>
                      <a:fillRect/>
                    </a:stretch>
                  </pic:blipFill>
                  <pic:spPr>
                    <a:xfrm>
                      <a:off x="0" y="0"/>
                      <a:ext cx="5683885" cy="6394450"/>
                    </a:xfrm>
                    <a:prstGeom prst="rect">
                      <a:avLst/>
                    </a:prstGeom>
                  </pic:spPr>
                </pic:pic>
              </a:graphicData>
            </a:graphic>
          </wp:inline>
        </w:drawing>
      </w:r>
    </w:p>
    <w:p w14:paraId="57F26A65">
      <w:pPr>
        <w:pStyle w:val="2"/>
        <w:rPr>
          <w:rFonts w:hint="default" w:ascii="Times New Roman" w:hAnsi="Times New Roman" w:cs="Times New Roman"/>
          <w:sz w:val="28"/>
          <w:szCs w:val="28"/>
        </w:rPr>
      </w:pPr>
      <w:bookmarkStart w:id="38" w:name="_Toc233813585"/>
      <w:bookmarkStart w:id="39" w:name="_Toc6651"/>
      <w:bookmarkStart w:id="40" w:name="_Toc7593"/>
      <w:bookmarkStart w:id="41" w:name="_ПРИЛОЖЕНИЕ Е− ТЕПЛОВАЯ КАРТА МАТРИЦЫ КОРРЕЛЯЦИЙ"/>
      <w:r>
        <w:rPr>
          <w:rFonts w:hint="default" w:ascii="Times New Roman" w:hAnsi="Times New Roman" w:cs="Times New Roman"/>
          <w:sz w:val="28"/>
          <w:szCs w:val="28"/>
        </w:rPr>
        <w:t xml:space="preserve">ПРИЛОЖЕНИЕ </w:t>
      </w:r>
      <w:r>
        <w:rPr>
          <w:rFonts w:hint="default" w:ascii="Times New Roman" w:hAnsi="Times New Roman" w:cs="Times New Roman"/>
          <w:sz w:val="28"/>
          <w:szCs w:val="28"/>
          <w:lang w:val="ru-RU"/>
        </w:rPr>
        <w:t>Е</w:t>
      </w:r>
      <w:r>
        <w:rPr>
          <w:rFonts w:hint="default" w:ascii="Times New Roman" w:hAnsi="Times New Roman" w:cs="Times New Roman"/>
          <w:sz w:val="28"/>
          <w:szCs w:val="28"/>
        </w:rPr>
        <w:t>− ТЕПЛОВАЯ КАРТА МАТРИЦЫ КОРРЕЛЯЦИЙ</w:t>
      </w:r>
      <w:bookmarkEnd w:id="38"/>
      <w:bookmarkEnd w:id="39"/>
      <w:bookmarkEnd w:id="40"/>
    </w:p>
    <w:p w14:paraId="30659B4E">
      <w:pPr>
        <w:ind w:left="0" w:leftChars="-400" w:hanging="1120" w:hangingChars="400"/>
        <w:rPr>
          <w:rFonts w:hint="default"/>
          <w:lang w:val="ru-RU"/>
        </w:rPr>
      </w:pPr>
      <w:r>
        <w:rPr>
          <w:rFonts w:hint="default"/>
          <w:lang w:val="ru-RU"/>
        </w:rPr>
        <w:drawing>
          <wp:inline distT="0" distB="0" distL="114300" distR="114300">
            <wp:extent cx="6311900" cy="5049520"/>
            <wp:effectExtent l="0" t="0" r="12700" b="17780"/>
            <wp:docPr id="8" name="Изображение 8" descr="heatmap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heatmap_correlation"/>
                    <pic:cNvPicPr>
                      <a:picLocks noChangeAspect="1"/>
                    </pic:cNvPicPr>
                  </pic:nvPicPr>
                  <pic:blipFill>
                    <a:blip r:embed="rId11"/>
                    <a:stretch>
                      <a:fillRect/>
                    </a:stretch>
                  </pic:blipFill>
                  <pic:spPr>
                    <a:xfrm>
                      <a:off x="0" y="0"/>
                      <a:ext cx="6311900" cy="5049520"/>
                    </a:xfrm>
                    <a:prstGeom prst="rect">
                      <a:avLst/>
                    </a:prstGeom>
                  </pic:spPr>
                </pic:pic>
              </a:graphicData>
            </a:graphic>
          </wp:inline>
        </w:drawing>
      </w:r>
    </w:p>
    <w:bookmarkEnd w:id="41"/>
    <w:p w14:paraId="288FE274">
      <w:pPr>
        <w:pStyle w:val="2"/>
        <w:rPr>
          <w:rFonts w:hint="default" w:ascii="Times New Roman" w:hAnsi="Times New Roman" w:cs="Times New Roman"/>
          <w:sz w:val="28"/>
          <w:szCs w:val="28"/>
          <w:lang w:eastAsia="en-US"/>
        </w:rPr>
      </w:pPr>
      <w:bookmarkStart w:id="42" w:name="_Toc4543"/>
      <w:bookmarkStart w:id="43" w:name="_Toc24047"/>
      <w:bookmarkStart w:id="44" w:name="_ПРИЛОЖЕНИЕ И − ДИАГНОСТИЧЕСКИЕ ГРАФИКИ РЕГРЕССИОННЫХ МОДЕЛЕЙ"/>
      <w:r>
        <w:rPr>
          <w:rFonts w:hint="default" w:ascii="Times New Roman" w:hAnsi="Times New Roman" w:cs="Times New Roman"/>
          <w:sz w:val="28"/>
          <w:szCs w:val="28"/>
          <w:lang w:eastAsia="en-US"/>
        </w:rPr>
        <w:t>ПРИЛОЖЕНИЕ И − ДИАГНОСТИЧЕСКИЕ ГРАФИКИ РЕГРЕССИОННЫХ МОДЕЛЕЙ</w:t>
      </w:r>
      <w:bookmarkEnd w:id="42"/>
      <w:bookmarkEnd w:id="43"/>
    </w:p>
    <w:bookmarkEnd w:id="44"/>
    <w:p w14:paraId="2ADBCD08">
      <w:pPr>
        <w:rPr>
          <w:rFonts w:hint="default"/>
          <w:lang w:val="ru-RU"/>
        </w:rPr>
      </w:pPr>
      <w:r>
        <w:rPr>
          <w:rFonts w:hint="default"/>
          <w:lang w:val="ru-RU"/>
        </w:rPr>
        <w:drawing>
          <wp:inline distT="0" distB="0" distL="114300" distR="114300">
            <wp:extent cx="4965065" cy="4257040"/>
            <wp:effectExtent l="0" t="0" r="6985" b="10160"/>
            <wp:docPr id="9" name="Изображение 9" descr="actual_vs_predicted_mod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descr="actual_vs_predicted_model1"/>
                    <pic:cNvPicPr>
                      <a:picLocks noChangeAspect="1"/>
                    </pic:cNvPicPr>
                  </pic:nvPicPr>
                  <pic:blipFill>
                    <a:blip r:embed="rId12"/>
                    <a:stretch>
                      <a:fillRect/>
                    </a:stretch>
                  </pic:blipFill>
                  <pic:spPr>
                    <a:xfrm>
                      <a:off x="0" y="0"/>
                      <a:ext cx="4965065" cy="4257040"/>
                    </a:xfrm>
                    <a:prstGeom prst="rect">
                      <a:avLst/>
                    </a:prstGeom>
                  </pic:spPr>
                </pic:pic>
              </a:graphicData>
            </a:graphic>
          </wp:inline>
        </w:drawing>
      </w:r>
      <w:r>
        <w:rPr>
          <w:rFonts w:hint="default"/>
          <w:lang w:val="ru-RU"/>
        </w:rPr>
        <w:drawing>
          <wp:inline distT="0" distB="0" distL="114300" distR="114300">
            <wp:extent cx="4994275" cy="4283075"/>
            <wp:effectExtent l="0" t="0" r="15875" b="3175"/>
            <wp:docPr id="11" name="Изображение 11" descr="residuals_hist_mod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residuals_hist_model1"/>
                    <pic:cNvPicPr>
                      <a:picLocks noChangeAspect="1"/>
                    </pic:cNvPicPr>
                  </pic:nvPicPr>
                  <pic:blipFill>
                    <a:blip r:embed="rId13"/>
                    <a:stretch>
                      <a:fillRect/>
                    </a:stretch>
                  </pic:blipFill>
                  <pic:spPr>
                    <a:xfrm>
                      <a:off x="0" y="0"/>
                      <a:ext cx="4994275" cy="4283075"/>
                    </a:xfrm>
                    <a:prstGeom prst="rect">
                      <a:avLst/>
                    </a:prstGeom>
                  </pic:spPr>
                </pic:pic>
              </a:graphicData>
            </a:graphic>
          </wp:inline>
        </w:drawing>
      </w:r>
    </w:p>
    <w:p w14:paraId="76C6DEF8">
      <w:pPr>
        <w:rPr>
          <w:rFonts w:hint="default"/>
          <w:lang w:val="ru-RU"/>
        </w:rPr>
      </w:pPr>
      <w:r>
        <w:rPr>
          <w:rFonts w:hint="default"/>
          <w:lang w:val="ru-RU"/>
        </w:rPr>
        <w:drawing>
          <wp:inline distT="0" distB="0" distL="114300" distR="114300">
            <wp:extent cx="4923155" cy="4220210"/>
            <wp:effectExtent l="0" t="0" r="10795" b="8890"/>
            <wp:docPr id="12" name="Изображение 12" descr="actual_vs_predicted_mode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actual_vs_predicted_model2"/>
                    <pic:cNvPicPr>
                      <a:picLocks noChangeAspect="1"/>
                    </pic:cNvPicPr>
                  </pic:nvPicPr>
                  <pic:blipFill>
                    <a:blip r:embed="rId14"/>
                    <a:stretch>
                      <a:fillRect/>
                    </a:stretch>
                  </pic:blipFill>
                  <pic:spPr>
                    <a:xfrm>
                      <a:off x="0" y="0"/>
                      <a:ext cx="4923155" cy="4220210"/>
                    </a:xfrm>
                    <a:prstGeom prst="rect">
                      <a:avLst/>
                    </a:prstGeom>
                  </pic:spPr>
                </pic:pic>
              </a:graphicData>
            </a:graphic>
          </wp:inline>
        </w:drawing>
      </w:r>
      <w:r>
        <w:rPr>
          <w:rFonts w:hint="default"/>
          <w:lang w:val="ru-RU"/>
        </w:rPr>
        <w:drawing>
          <wp:inline distT="0" distB="0" distL="114300" distR="114300">
            <wp:extent cx="4933950" cy="4229100"/>
            <wp:effectExtent l="0" t="0" r="0" b="0"/>
            <wp:docPr id="13" name="Изображение 13" descr="residuals_hist_mode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descr="residuals_hist_model2"/>
                    <pic:cNvPicPr>
                      <a:picLocks noChangeAspect="1"/>
                    </pic:cNvPicPr>
                  </pic:nvPicPr>
                  <pic:blipFill>
                    <a:blip r:embed="rId15"/>
                    <a:stretch>
                      <a:fillRect/>
                    </a:stretch>
                  </pic:blipFill>
                  <pic:spPr>
                    <a:xfrm>
                      <a:off x="0" y="0"/>
                      <a:ext cx="4933950" cy="4229100"/>
                    </a:xfrm>
                    <a:prstGeom prst="rect">
                      <a:avLst/>
                    </a:prstGeom>
                  </pic:spPr>
                </pic:pic>
              </a:graphicData>
            </a:graphic>
          </wp:inline>
        </w:drawing>
      </w:r>
      <w:r>
        <w:rPr>
          <w:rFonts w:hint="default"/>
          <w:lang w:val="ru-RU"/>
        </w:rPr>
        <w:drawing>
          <wp:inline distT="0" distB="0" distL="114300" distR="114300">
            <wp:extent cx="4953000" cy="4244975"/>
            <wp:effectExtent l="0" t="0" r="0" b="3175"/>
            <wp:docPr id="14" name="Изображение 14" descr="actual_vs_predicted_model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actual_vs_predicted_model3"/>
                    <pic:cNvPicPr>
                      <a:picLocks noChangeAspect="1"/>
                    </pic:cNvPicPr>
                  </pic:nvPicPr>
                  <pic:blipFill>
                    <a:blip r:embed="rId16"/>
                    <a:stretch>
                      <a:fillRect/>
                    </a:stretch>
                  </pic:blipFill>
                  <pic:spPr>
                    <a:xfrm>
                      <a:off x="0" y="0"/>
                      <a:ext cx="4953000" cy="4244975"/>
                    </a:xfrm>
                    <a:prstGeom prst="rect">
                      <a:avLst/>
                    </a:prstGeom>
                  </pic:spPr>
                </pic:pic>
              </a:graphicData>
            </a:graphic>
          </wp:inline>
        </w:drawing>
      </w:r>
    </w:p>
    <w:p w14:paraId="2F89B073">
      <w:pPr>
        <w:rPr>
          <w:rFonts w:hint="default"/>
          <w:lang w:val="ru-RU"/>
        </w:rPr>
      </w:pPr>
      <w:r>
        <w:rPr>
          <w:rFonts w:hint="default"/>
          <w:lang w:val="ru-RU"/>
        </w:rPr>
        <w:drawing>
          <wp:inline distT="0" distB="0" distL="114300" distR="114300">
            <wp:extent cx="4943475" cy="4237990"/>
            <wp:effectExtent l="0" t="0" r="9525" b="10160"/>
            <wp:docPr id="15" name="Изображение 15" descr="residuals_hist_model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residuals_hist_model3"/>
                    <pic:cNvPicPr>
                      <a:picLocks noChangeAspect="1"/>
                    </pic:cNvPicPr>
                  </pic:nvPicPr>
                  <pic:blipFill>
                    <a:blip r:embed="rId17"/>
                    <a:stretch>
                      <a:fillRect/>
                    </a:stretch>
                  </pic:blipFill>
                  <pic:spPr>
                    <a:xfrm>
                      <a:off x="0" y="0"/>
                      <a:ext cx="4943475" cy="4237990"/>
                    </a:xfrm>
                    <a:prstGeom prst="rect">
                      <a:avLst/>
                    </a:prstGeom>
                  </pic:spPr>
                </pic:pic>
              </a:graphicData>
            </a:graphic>
          </wp:inline>
        </w:drawing>
      </w:r>
    </w:p>
    <w:p w14:paraId="4A15AC0F">
      <w:pPr>
        <w:rPr>
          <w:rFonts w:hint="default"/>
          <w:lang w:val="ru-RU"/>
        </w:rPr>
      </w:pPr>
      <w:r>
        <w:rPr>
          <w:rFonts w:hint="default"/>
          <w:lang w:val="ru-RU"/>
        </w:rPr>
        <w:drawing>
          <wp:inline distT="0" distB="0" distL="114300" distR="114300">
            <wp:extent cx="4890135" cy="4192270"/>
            <wp:effectExtent l="0" t="0" r="5715" b="17780"/>
            <wp:docPr id="16" name="Изображение 16" descr="actual_vs_predicted_model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actual_vs_predicted_model4"/>
                    <pic:cNvPicPr>
                      <a:picLocks noChangeAspect="1"/>
                    </pic:cNvPicPr>
                  </pic:nvPicPr>
                  <pic:blipFill>
                    <a:blip r:embed="rId18"/>
                    <a:stretch>
                      <a:fillRect/>
                    </a:stretch>
                  </pic:blipFill>
                  <pic:spPr>
                    <a:xfrm>
                      <a:off x="0" y="0"/>
                      <a:ext cx="4890135" cy="4192270"/>
                    </a:xfrm>
                    <a:prstGeom prst="rect">
                      <a:avLst/>
                    </a:prstGeom>
                  </pic:spPr>
                </pic:pic>
              </a:graphicData>
            </a:graphic>
          </wp:inline>
        </w:drawing>
      </w:r>
    </w:p>
    <w:p w14:paraId="35D22CFD">
      <w:pPr>
        <w:rPr>
          <w:rFonts w:hint="default"/>
          <w:lang w:val="ru-RU"/>
        </w:rPr>
      </w:pPr>
      <w:r>
        <w:rPr>
          <w:rFonts w:hint="default"/>
          <w:lang w:val="ru-RU"/>
        </w:rPr>
        <w:drawing>
          <wp:inline distT="0" distB="0" distL="114300" distR="114300">
            <wp:extent cx="4915535" cy="4213225"/>
            <wp:effectExtent l="0" t="0" r="18415" b="15875"/>
            <wp:docPr id="17" name="Изображение 17" descr="residuals_hist_model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7" descr="residuals_hist_model4"/>
                    <pic:cNvPicPr>
                      <a:picLocks noChangeAspect="1"/>
                    </pic:cNvPicPr>
                  </pic:nvPicPr>
                  <pic:blipFill>
                    <a:blip r:embed="rId19"/>
                    <a:stretch>
                      <a:fillRect/>
                    </a:stretch>
                  </pic:blipFill>
                  <pic:spPr>
                    <a:xfrm>
                      <a:off x="0" y="0"/>
                      <a:ext cx="4915535" cy="4213225"/>
                    </a:xfrm>
                    <a:prstGeom prst="rect">
                      <a:avLst/>
                    </a:prstGeom>
                  </pic:spPr>
                </pic:pic>
              </a:graphicData>
            </a:graphic>
          </wp:inline>
        </w:drawing>
      </w:r>
    </w:p>
    <w:p w14:paraId="295D7AE6">
      <w:pPr>
        <w:rPr>
          <w:rFonts w:hint="default"/>
          <w:lang w:val="ru-RU"/>
        </w:rPr>
      </w:pPr>
      <w:r>
        <w:rPr>
          <w:rFonts w:hint="default"/>
          <w:lang w:val="ru-RU"/>
        </w:rPr>
        <w:drawing>
          <wp:inline distT="0" distB="0" distL="114300" distR="114300">
            <wp:extent cx="5067935" cy="4344035"/>
            <wp:effectExtent l="0" t="0" r="18415" b="18415"/>
            <wp:docPr id="18" name="Изображение 18" descr="actual_vs_predicted_mode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8" descr="actual_vs_predicted_model5"/>
                    <pic:cNvPicPr>
                      <a:picLocks noChangeAspect="1"/>
                    </pic:cNvPicPr>
                  </pic:nvPicPr>
                  <pic:blipFill>
                    <a:blip r:embed="rId20"/>
                    <a:stretch>
                      <a:fillRect/>
                    </a:stretch>
                  </pic:blipFill>
                  <pic:spPr>
                    <a:xfrm>
                      <a:off x="0" y="0"/>
                      <a:ext cx="5067935" cy="4344035"/>
                    </a:xfrm>
                    <a:prstGeom prst="rect">
                      <a:avLst/>
                    </a:prstGeom>
                  </pic:spPr>
                </pic:pic>
              </a:graphicData>
            </a:graphic>
          </wp:inline>
        </w:drawing>
      </w:r>
    </w:p>
    <w:p w14:paraId="34297B77">
      <w:pPr>
        <w:rPr>
          <w:rFonts w:hint="default"/>
          <w:lang w:val="ru-RU"/>
        </w:rPr>
      </w:pPr>
      <w:r>
        <w:rPr>
          <w:rFonts w:hint="default"/>
          <w:lang w:val="ru-RU"/>
        </w:rPr>
        <w:drawing>
          <wp:inline distT="0" distB="0" distL="114300" distR="114300">
            <wp:extent cx="5073015" cy="4348480"/>
            <wp:effectExtent l="0" t="0" r="13335" b="13970"/>
            <wp:docPr id="19" name="Изображение 19" descr="residuals_hist_mode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descr="residuals_hist_model5"/>
                    <pic:cNvPicPr>
                      <a:picLocks noChangeAspect="1"/>
                    </pic:cNvPicPr>
                  </pic:nvPicPr>
                  <pic:blipFill>
                    <a:blip r:embed="rId21"/>
                    <a:stretch>
                      <a:fillRect/>
                    </a:stretch>
                  </pic:blipFill>
                  <pic:spPr>
                    <a:xfrm>
                      <a:off x="0" y="0"/>
                      <a:ext cx="5073015" cy="4348480"/>
                    </a:xfrm>
                    <a:prstGeom prst="rect">
                      <a:avLst/>
                    </a:prstGeom>
                  </pic:spPr>
                </pic:pic>
              </a:graphicData>
            </a:graphic>
          </wp:inline>
        </w:drawing>
      </w:r>
    </w:p>
    <w:sectPr>
      <w:pgSz w:w="11906" w:h="16838"/>
      <w:pgMar w:top="1160" w:right="1146"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CC"/>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FD0A03"/>
    <w:rsid w:val="056F56B4"/>
    <w:rsid w:val="0919027A"/>
    <w:rsid w:val="091B1928"/>
    <w:rsid w:val="0EF12AE6"/>
    <w:rsid w:val="13266C57"/>
    <w:rsid w:val="13403EA3"/>
    <w:rsid w:val="143D2CE1"/>
    <w:rsid w:val="148641BA"/>
    <w:rsid w:val="1988489F"/>
    <w:rsid w:val="1A6D3156"/>
    <w:rsid w:val="1DE822EC"/>
    <w:rsid w:val="1E803A9B"/>
    <w:rsid w:val="20033689"/>
    <w:rsid w:val="200C1D97"/>
    <w:rsid w:val="27CA3CD2"/>
    <w:rsid w:val="2CA60C64"/>
    <w:rsid w:val="33A23FDF"/>
    <w:rsid w:val="34BC2208"/>
    <w:rsid w:val="38F73D85"/>
    <w:rsid w:val="3C0D1561"/>
    <w:rsid w:val="3DF616AB"/>
    <w:rsid w:val="45516648"/>
    <w:rsid w:val="45B32E6A"/>
    <w:rsid w:val="4B731323"/>
    <w:rsid w:val="4D52686A"/>
    <w:rsid w:val="4E4847EB"/>
    <w:rsid w:val="52BA47A5"/>
    <w:rsid w:val="539F4F90"/>
    <w:rsid w:val="54BF0519"/>
    <w:rsid w:val="54E75E5A"/>
    <w:rsid w:val="5BC81C3B"/>
    <w:rsid w:val="5C6A0F21"/>
    <w:rsid w:val="609B5483"/>
    <w:rsid w:val="63504F18"/>
    <w:rsid w:val="64A717A6"/>
    <w:rsid w:val="65652E5D"/>
    <w:rsid w:val="66495BDD"/>
    <w:rsid w:val="67B63BB5"/>
    <w:rsid w:val="6BE001FE"/>
    <w:rsid w:val="6F796576"/>
    <w:rsid w:val="6FCE5C0F"/>
    <w:rsid w:val="70956F38"/>
    <w:rsid w:val="70B05CE6"/>
    <w:rsid w:val="72C47396"/>
    <w:rsid w:val="75D15DEA"/>
    <w:rsid w:val="76AA3BBE"/>
    <w:rsid w:val="76B349DE"/>
    <w:rsid w:val="77BE5C84"/>
    <w:rsid w:val="7DB86C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atentStyles>
  <w:style w:type="paragraph" w:default="1" w:styleId="1">
    <w:name w:val="Normal"/>
    <w:qFormat/>
    <w:uiPriority w:val="0"/>
    <w:pPr>
      <w:spacing w:after="0" w:line="240" w:lineRule="auto"/>
      <w:jc w:val="both"/>
    </w:pPr>
    <w:rPr>
      <w:rFonts w:ascii="Times New Roman" w:hAnsi="Times New Roman" w:eastAsia="Times New Roman" w:cs="Times New Roman"/>
      <w:kern w:val="0"/>
      <w:sz w:val="28"/>
      <w:szCs w:val="20"/>
      <w:lang w:val="ru-RU" w:eastAsia="ru-RU" w:bidi="ar-SA"/>
      <w14:ligatures w14:val="standardContextual"/>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uiPriority w:val="0"/>
    <w:rPr>
      <w:color w:val="800080"/>
      <w:u w:val="single"/>
    </w:rPr>
  </w:style>
  <w:style w:type="character" w:styleId="6">
    <w:name w:val="Hyperlink"/>
    <w:basedOn w:val="3"/>
    <w:unhideWhenUsed/>
    <w:qFormat/>
    <w:uiPriority w:val="99"/>
    <w:rPr>
      <w:color w:val="0563C1"/>
      <w:u w:val="single"/>
    </w:rPr>
  </w:style>
  <w:style w:type="character" w:styleId="7">
    <w:name w:val="Strong"/>
    <w:basedOn w:val="3"/>
    <w:qFormat/>
    <w:uiPriority w:val="22"/>
    <w:rPr>
      <w:b/>
      <w:bCs/>
    </w:rPr>
  </w:style>
  <w:style w:type="paragraph" w:styleId="8">
    <w:name w:val="caption"/>
    <w:basedOn w:val="1"/>
    <w:next w:val="1"/>
    <w:unhideWhenUsed/>
    <w:qFormat/>
    <w:uiPriority w:val="35"/>
    <w:pPr>
      <w:spacing w:after="200"/>
      <w:jc w:val="left"/>
    </w:pPr>
    <w:rPr>
      <w:rFonts w:asciiTheme="minorHAnsi" w:hAnsiTheme="minorHAnsi" w:eastAsiaTheme="minorHAnsi" w:cstheme="minorBidi"/>
      <w:b/>
      <w:bCs/>
      <w:color w:val="4874CB" w:themeColor="accent1"/>
      <w:sz w:val="18"/>
      <w:szCs w:val="18"/>
      <w:lang w:eastAsia="en-US"/>
      <w14:textFill>
        <w14:solidFill>
          <w14:schemeClr w14:val="accent1"/>
        </w14:solidFill>
      </w14:textFill>
      <w14:ligatures w14:val="none"/>
    </w:rPr>
  </w:style>
  <w:style w:type="paragraph" w:styleId="9">
    <w:name w:val="toc 1"/>
    <w:basedOn w:val="1"/>
    <w:next w:val="1"/>
    <w:uiPriority w:val="0"/>
  </w:style>
  <w:style w:type="paragraph" w:styleId="10">
    <w:name w:val="Title"/>
    <w:basedOn w:val="2"/>
    <w:next w:val="1"/>
    <w:qFormat/>
    <w:uiPriority w:val="10"/>
    <w:pPr>
      <w:spacing w:before="240" w:line="480" w:lineRule="auto"/>
      <w:contextualSpacing/>
      <w:jc w:val="both"/>
    </w:pPr>
    <w:rPr>
      <w:rFonts w:cstheme="majorBidi"/>
      <w:bCs w:val="0"/>
      <w:spacing w:val="-10"/>
      <w:kern w:val="28"/>
      <w:sz w:val="32"/>
      <w:szCs w:val="56"/>
      <w:lang w:eastAsia="en-US"/>
      <w14:ligatures w14:val="none"/>
    </w:rPr>
  </w:style>
  <w:style w:type="table" w:styleId="11">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СтильГлавный"/>
    <w:basedOn w:val="1"/>
    <w:link w:val="13"/>
    <w:qFormat/>
    <w:uiPriority w:val="0"/>
    <w:pPr>
      <w:spacing w:line="360" w:lineRule="auto"/>
      <w:ind w:firstLine="709"/>
    </w:pPr>
    <w:rPr>
      <w:color w:val="0F1115"/>
      <w:szCs w:val="28"/>
    </w:rPr>
  </w:style>
  <w:style w:type="character" w:customStyle="1" w:styleId="13">
    <w:name w:val="СтильГлавный Знак"/>
    <w:basedOn w:val="3"/>
    <w:link w:val="12"/>
    <w:qFormat/>
    <w:uiPriority w:val="0"/>
    <w:rPr>
      <w:color w:val="0F1115"/>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0</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2026-07-03T21:33:34Z</dcterms:created>
  <dc:creator>t</dc:creator>
  <cp:lastModifiedBy>ишматов тимофей</cp:lastModifiedBy>
  <dcterms:modified xsi:type="dcterms:W3CDTF">2026-07-04T05:28:30Z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KSOTemplateDocerSaveRecord">
    <vt:lpwstr>eyJoZGlkIjoiMDYzZWQwMzg2OTBmMjhkMGI5YWUwNzBlYTZmNDk5OGEiLCJ1c2VySWQiOiI4NDI1MDMyOTM0NDIifQ==</vt:lpwstr>
  </property>
  <property fmtid="{D5CDD505-2E9C-101B-9397-08002B2CF9AE}" pid="4" name="ICV">
    <vt:lpwstr>48F2B02C146C4360AC238AF669FE12EB_12</vt:lpwstr>
  </property>
</Properties>
</file>