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496" w:type="dxa"/>
        <w:tblCellSpacing w:w="7" w:type="dxa"/>
        <w:tblInd w:w="-15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</w:tblBorders>
        <w:tblLayout w:type="fixed"/>
        <w:tblCellMar>
          <w:left w:w="30" w:type="dxa"/>
          <w:top w:w="30" w:type="dxa"/>
          <w:right w:w="30" w:type="dxa"/>
          <w:bottom w:w="30" w:type="dxa"/>
        </w:tblCellMar>
        <w:tblLook w:val="0000" w:firstRow="0" w:lastRow="0" w:firstColumn="0" w:lastColumn="0" w:noHBand="0" w:noVBand="0"/>
      </w:tblPr>
      <w:tblGrid>
        <w:gridCol w:w="3932"/>
        <w:gridCol w:w="4535"/>
        <w:gridCol w:w="3029"/>
      </w:tblGrid>
      <w:tr>
        <w:trPr>
          <w:tblCellSpacing w:w="7" w:type="dxa"/>
          <w:trHeight w:val="72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911" w:type="dxa"/>
            <w:vAlign w:val="center"/>
            <w:textDirection w:val="lrTb"/>
            <w:noWrap w:val="false"/>
          </w:tcPr>
          <w:p>
            <w:pPr>
              <w:pStyle w:val="1_3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Компоненты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проекта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521" w:type="dxa"/>
            <w:vAlign w:val="center"/>
            <w:textDirection w:val="lrTb"/>
            <w:noWrap w:val="false"/>
          </w:tcPr>
          <w:p>
            <w:pPr>
              <w:pStyle w:val="1_3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Объективные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свидетельства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показатели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обоснования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008" w:type="dxa"/>
            <w:vAlign w:val="center"/>
            <w:textDirection w:val="lrTb"/>
            <w:noWrap w:val="false"/>
          </w:tcPr>
          <w:p>
            <w:pPr>
              <w:pStyle w:val="1_3"/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/>
              </w:rPr>
              <w:t xml:space="preserve">Внешние условия (факторы, предпосылки, допущения)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</w:tc>
      </w:tr>
      <w:tr>
        <w:trPr>
          <w:tblCellSpacing w:w="7" w:type="dxa"/>
          <w:trHeight w:val="177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9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/>
              </w:rPr>
              <w:t xml:space="preserve">Постановка проблемы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1_3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Необходимость в проекте возникла из-за растущей цифровизации образования и проблем с подделкой академических документов, что требует надежных систем хранения и верификации, обеспечивающих безопасность и прозрачность данных.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1_3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Решение данной проблемы является приоритетной задачей, так как оно повышает безопасность и доверие к академическим данным, упрощает процессы трудоустройства и академической мобильности, а также соответствует современным требованиям к управлению данными.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5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Проблема подделки академических документов и сложностей с их верификацией подтверждается научными исследованиями, такими как статья "The Impact of Fake Degrees on the Labor Market" (International Journal of Educational Management, 2020), где обсуждаются пос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ледствия подделки дипломов. Также отчеты, например, "Diploma Mills: A Global Problem" от Council for Higher Education Accreditation (CHEA), подчеркивают важность создания надежных систем хранения и верификации данных. Дополнительно, статистика от The Federa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l Trade Commission (FTC) указывает на рост случаев мошенничества с образовательными документами, что свидетельствует о необходимости решения этой проблемы.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00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—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</w:tc>
      </w:tr>
      <w:tr>
        <w:trPr>
          <w:tblCellSpacing w:w="7" w:type="dxa"/>
          <w:trHeight w:val="345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9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/>
              </w:rPr>
              <w:t xml:space="preserve">Цель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1_3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Цель проекта заключается в разработке децентрализованного сервиса для хранения и верификации академических сертификатов с использованием блокчейн-технологий, что позволит повысить безопасность и прозрачность данных, а также устранить проблемы с подделкой до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кументов.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1_3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В результате реализации проекта выиграют студенты, образовательные учреждения и работодатели, так как они получат надежный инструмент для проверки подлинности академических данных, что упростит процессы трудоустройства и повысит доверие к образовательным се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ртификатам. Действия проекта изменят существующую ситуацию, обеспечивая доступ к защищенной и легко верифицируемой информации, что уменьшит случаи мошенничества с документами.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/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5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ru-RU"/>
              </w:rPr>
              <w:t xml:space="preserve">Показания достижения цели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ru-RU"/>
              </w:rPr>
            </w:r>
          </w:p>
          <w:p>
            <w:pPr>
              <w:pBdr/>
              <w:spacing/>
              <w:ind/>
              <w:rPr>
                <w:rFonts w:ascii="Times New Roman" w:hAnsi="Times New Roman" w:eastAsia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Средствами проверки движения к цели являются увеличение количества академических сертификатов, успешно верифицированных через децентрализованный сервис, снижение случаев подделки дипломов и сертификатов, а также повышение уровня удовлетворенности пользовате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лей сервисом в оценках и отзывах.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1_3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Проверяющие организации смогут убедиться в вкладе проекта, анализируя статистику успешных верификаций академических данных через сервис, сравнивая число случаев подделки документов до и после внедрения системы, и оценивая отзывы от образовательных учреждени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й и работодателей о повышении доверия к сертификатам.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1_3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3.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Проектом предусмотрен сбор данных о количестве загруженных академических сертификатов в систему, информация о времени обработки запросов на верификацию данных и опросы пользователей о степени удовлетворенности работой сервиса и его функциональностью.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00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—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</w:tc>
      </w:tr>
      <w:tr>
        <w:trPr>
          <w:tblCellSpacing w:w="7" w:type="dxa"/>
          <w:trHeight w:val="456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9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/>
              </w:rPr>
              <w:t xml:space="preserve">Задачи. Ожидаемые результаты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1_3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Завершение проекта по разработке децентрализованного сервиса для хранения академических сертификатов и научных работ обеспечит высокую безопасность и прозрачность данных, что повысит доверие между образовательными учреждениями и работодателями. Упрощение пр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оцесса верификации и доступность информации снизят затраты на проверку квалификаций, что, в свою очередь, стимулирует инновации в образовании и научных исследованиях.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1_3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2. Как выполнение поставленных задач приближает ситуацию к достижению заявленных целей?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1_3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3. Какие результаты (их характер и количественное измерение) необходимо получить для выполнения поставленных задач?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5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1. Какие свидетельства, данные и показатели подтверждают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то проект выполнил поставленную задачу?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1_3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Каковы конкретные количественные методы измерения результатов, позволяющие проверяющему судить о степени выполнения работ по проекту?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1_3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3. Предусматривается ли проектом сбор данных, позволяющих контролировать и корректировать ход выполнения работ?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00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1. Какие события, условия или решения, находящиеся вне контроля проекта, необходимы для того, чтобы: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1_3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- выполнение поставленных задач способствовало продвижению к поставленной цели;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1_3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- достижение запланированных результатов приводило бы к выполнению задач;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</w:tc>
      </w:tr>
      <w:tr>
        <w:trPr>
          <w:tblCellSpacing w:w="7" w:type="dxa"/>
          <w:trHeight w:val="1725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9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/>
              </w:rPr>
              <w:t xml:space="preserve">Методы (мероприятия, проводимые в ходе проекта)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1_3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Какие мероприятия необходимо осуществить исполнителям проекта для получения указанных в проекте результатов?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5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Почему выбраны именно эти методы?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00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- применение указанных в проекте методов (проведение мероприятий) гарантировало бы получение ожидаемых результатов;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</w:tc>
      </w:tr>
      <w:tr>
        <w:trPr>
          <w:tblCellSpacing w:w="7" w:type="dxa"/>
          <w:trHeight w:val="2730"/>
        </w:trPr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91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ru-RU"/>
              </w:rPr>
              <w:t xml:space="preserve">Ресурсы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1_3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1. Какие ресурсы - кадры, товары, услуги - должны быть использованы для проведения мероприятий, намеченных в проекте?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1_3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2. Из каких источников поступят эти ресурсы (исполнитель, сотрудничающие и поддерживающие организации, правительство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ф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онды и т.д.)?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5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1. На основании чего планируются уровень зарплаты, стоимость оборудования, уровень расходов на транспорт и другие услуги?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1_3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2. Какие показатели позволяют оценить эффективность использования средств?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</w:tc>
        <w:tc>
          <w:tcPr>
            <w:shd w:val="clear" w:color="ffffff" w:fill="ffffff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00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- выделение необходимых ресурсов приводило бы к проведению мероприятий (применению указанных методов).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  <w:p>
            <w:pPr>
              <w:pStyle w:val="1_3"/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  <w:t xml:space="preserve">2. Каковы возможные препятствия в каждом из этих "переходов"?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paragraph" w:styleId="1_3" w:customStyle="1">
    <w:name w:val="Normal (Web)"/>
    <w:basedOn w:val="660"/>
    <w:pPr>
      <w:keepNext w:val="false"/>
      <w:keepLines w:val="false"/>
      <w:pageBreakBefore w:val="false"/>
      <w:widowControl w:val="true"/>
      <w:suppressLineNumbers w:val="false"/>
      <w:pBdr>
        <w:top w:val="vine" w:color="000000" w:sz="4" w:space="0"/>
        <w:left w:val="vine" w:color="000000" w:sz="4" w:space="0"/>
        <w:bottom w:val="vine" w:color="000000" w:sz="4" w:space="0"/>
        <w:right w:val="vine" w:color="000000" w:sz="4" w:space="0"/>
        <w:between w:val="vine" w:color="000000" w:sz="4" w:space="0"/>
      </w:pBdr>
      <w:shd w:val="nil" w:color="000000"/>
      <w:bidi w:val="false"/>
      <w:spacing w:after="100" w:afterAutospacing="1" w:before="100" w:beforeAutospacing="1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en-US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2024-10-30T12:56:44Z</dcterms:modified>
</cp:coreProperties>
</file>