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rFonts w:ascii="Lexend" w:cs="Lexend" w:eastAsia="Lexend" w:hAnsi="Lexend"/>
          <w:sz w:val="2"/>
          <w:szCs w:val="2"/>
        </w:rPr>
      </w:pPr>
      <w:bookmarkStart w:colFirst="0" w:colLast="0" w:name="_5a2pbfyfuyz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44"/>
          <w:szCs w:val="44"/>
          <w:rtl w:val="0"/>
        </w:rPr>
        <w:t xml:space="preserve">Unit 4 Final: The Oral Defense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Name: ___________________  Period: ____________</w:t>
      </w:r>
      <w:r w:rsidDel="00000000" w:rsidR="00000000" w:rsidRPr="00000000">
        <w:rPr>
          <w:rtl w:val="0"/>
        </w:rPr>
      </w:r>
    </w:p>
    <w:tbl>
      <w:tblPr>
        <w:tblStyle w:val="Table1"/>
        <w:tblW w:w="14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2940"/>
        <w:gridCol w:w="2820"/>
        <w:gridCol w:w="2625"/>
        <w:gridCol w:w="2760"/>
        <w:tblGridChange w:id="0">
          <w:tblGrid>
            <w:gridCol w:w="3180"/>
            <w:gridCol w:w="2940"/>
            <w:gridCol w:w="2820"/>
            <w:gridCol w:w="2625"/>
            <w:gridCol w:w="2760"/>
          </w:tblGrid>
        </w:tblGridChange>
      </w:tblGrid>
      <w:tr>
        <w:trPr>
          <w:cantSplit w:val="0"/>
          <w:trHeight w:val="821.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jc w:val="center"/>
              <w:rPr>
                <w:rFonts w:ascii="Lexend" w:cs="Lexend" w:eastAsia="Lexend" w:hAnsi="Lexend"/>
                <w:sz w:val="30"/>
                <w:szCs w:val="3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30"/>
                <w:szCs w:val="3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jc w:val="center"/>
              <w:rPr>
                <w:rFonts w:ascii="Lexend" w:cs="Lexend" w:eastAsia="Lexend" w:hAnsi="Lexend"/>
                <w:sz w:val="30"/>
                <w:szCs w:val="3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30"/>
                <w:szCs w:val="30"/>
                <w:rtl w:val="0"/>
              </w:rPr>
              <w:t xml:space="preserve">4 - 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jc w:val="center"/>
              <w:rPr>
                <w:rFonts w:ascii="Lexend" w:cs="Lexend" w:eastAsia="Lexend" w:hAnsi="Lexend"/>
                <w:sz w:val="30"/>
                <w:szCs w:val="3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30"/>
                <w:szCs w:val="30"/>
                <w:rtl w:val="0"/>
              </w:rPr>
              <w:t xml:space="preserve">3 -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jc w:val="center"/>
              <w:rPr>
                <w:rFonts w:ascii="Lexend" w:cs="Lexend" w:eastAsia="Lexend" w:hAnsi="Lexend"/>
                <w:sz w:val="30"/>
                <w:szCs w:val="3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30"/>
                <w:szCs w:val="30"/>
                <w:rtl w:val="0"/>
              </w:rPr>
              <w:t xml:space="preserve">2 - 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jc w:val="center"/>
              <w:rPr>
                <w:rFonts w:ascii="Lexend" w:cs="Lexend" w:eastAsia="Lexend" w:hAnsi="Lexend"/>
                <w:sz w:val="30"/>
                <w:szCs w:val="3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30"/>
                <w:szCs w:val="30"/>
                <w:rtl w:val="0"/>
              </w:rPr>
              <w:t xml:space="preserve">1 - Emerging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rFonts w:ascii="Lexend" w:cs="Lexend" w:eastAsia="Lexend" w:hAnsi="Lexend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I. Scope &amp; Impact (Facts)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Articulates a clear narrative; connects data to specific "downstream" human or environmental suffering.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Provides clear data and narrative; identifies who is affected by the issue.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Lists facts but struggles to explain the "ripple effect" or why the issue warrants study.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Facts are missing, un-cited, or fail to establish the scale of the problem.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Lexend" w:cs="Lexend" w:eastAsia="Lexend" w:hAnsi="Lexend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II. Causal Analysis (Cause)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Diagnoses the "systemic engine" (drivers); treats the "Reality Check" as a genuine complication.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Identifies a primary driver and acknowledges an alternative explanation.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Blames scapegoats rather than systems; treats the "Reality Check" as an afterthought.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Cannot identify a clear cause or ignores the complexity of the issue entirely.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Lexend" w:cs="Lexend" w:eastAsia="Lexend" w:hAnsi="Lexend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III. Rhetorical Diagnosis (Values)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"Steel-mans" the opposition; pinpoints the hidden conflict between two valid, competing values.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Identifies a value conflict and avoids "straw-manning" the opponent.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Identifies personal values but relies on a weak or "evil" version of the opposition.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Fails to see the value conflict; believes the disagreement is only about facts.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rFonts w:ascii="Lexend" w:cs="Lexend" w:eastAsia="Lexend" w:hAnsi="Lexend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IV. Judgment &amp; Trade-offs (Policy)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Proposes a logical path forward and owns the cost; explains why the trade-off is worth the sacrifice.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Proposes a specific policy and identifies a realistic unintended consequence.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Suggests a vague solution; struggles to identify a real downside or "cost."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Proposes a "perfect" solution with no trade-offs or fails to suggest a path forward.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rFonts w:ascii="Lexend" w:cs="Lexend" w:eastAsia="Lexend" w:hAnsi="Lexend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V. Poise &amp; Responsiveness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Handles challenges with intellectual honesty and poise,; uses the Blueprint to ground answers; thinks out loud.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Responds clearly to most questions; stays professional under pressure.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Gets defensive or "stuck" when challenged; relies too heavily on circumlocution to arrive at the point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Shuts down or cannot answer basic clarifying questions about the research.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0" w:lineRule="auto"/>
        <w:rPr>
          <w:rFonts w:ascii="Lexend" w:cs="Lexend" w:eastAsia="Lexend" w:hAnsi="Lexend"/>
          <w:b w:val="1"/>
          <w:bCs w:val="1"/>
          <w:sz w:val="20"/>
          <w:szCs w:val="20"/>
        </w:rPr>
      </w:pPr>
      <w:bookmarkStart w:colFirst="0" w:colLast="0" w:name="_o5ji2edwb4bc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44"/>
          <w:szCs w:val="44"/>
          <w:rtl w:val="0"/>
        </w:rPr>
        <w:t xml:space="preserve">Unit 4 Final Defense Readiness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vj81w1xa0ras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The "Day Of" Checklist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The Physical Hand-off: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You must arrive with a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printed copy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of the answers you developed using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4.08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that includes a clear hierarchy of information (headings, bullet points, horizontal lines inserted to break up the phases of stasis), and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Works Cited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The Opening (3–4 Minutes):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You will not have access to the document when you speak.  You will walk me through your Start with the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Facts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, move through the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Cause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, pass through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the Conflict of Values/Priorities, 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and finish with your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Policy Proposal.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The Interrogation (5–7 Minutes):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I will ask you questions designed to test your depth of knowledge on the issue. I am looking for your ability to think on your feet, to handle complexity, and above all, to consider the variety of perspectives, models, incentives and priorities of parties involved. 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x1x6xz7keqgt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Pro-Tips for an Exemplary Score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Don't Hide the Cost: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If I ask, "Won't your policy make things more expensive?" don't say "No." Say: "Yes, it will. That is the trade-off we must accept if we prioritize Sustainability over Affordability." (This is Phase IV at its best).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Empathize with the Opposition: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If you can explain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a person with an opposing view has a valid point, and how after considering their perspective, you’re still convinced otherwise, you’ve done well to address the counterarguments.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Strategic Pivots for Handling Questions: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If I throw a curveball, feel free to respond using some of these phrases: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 Medium" w:cs="Lexend Medium" w:eastAsia="Lexend Medium" w:hAnsi="Lexend Medium"/>
          <w:sz w:val="20"/>
          <w:szCs w:val="20"/>
          <w:rtl w:val="0"/>
        </w:rPr>
        <w:t xml:space="preserve">Clarify the Question: (Use this if the question is complex or wordy)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after="0" w:afterAutospacing="0" w:lineRule="auto"/>
        <w:ind w:left="2160" w:hanging="36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"To make sure I’m addressing your point correctly, are you asking more about the economic impact or the social impact of that policy?"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 Medium" w:cs="Lexend Medium" w:eastAsia="Lexend Medium" w:hAnsi="Lexend Medium"/>
          <w:sz w:val="20"/>
          <w:szCs w:val="20"/>
          <w:rtl w:val="0"/>
        </w:rPr>
        <w:t xml:space="preserve">The Research Bridge: (Use this when you don't have the specific data point requested)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spacing w:after="0" w:afterAutospacing="0" w:lineRule="auto"/>
        <w:ind w:left="2160" w:hanging="36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"I hadn’t thought about it from that specific angle; however, based on my research, here’s what I do know..."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spacing w:after="0" w:afterAutospacing="0" w:lineRule="auto"/>
        <w:ind w:left="2160" w:hanging="36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"I don't have the specific figure for [X] in front of me, but based on the trends I saw in [Source/Data Point Y], we can reasonably infer that..."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 Medium" w:cs="Lexend Medium" w:eastAsia="Lexend Medium" w:hAnsi="Lexend Medium"/>
          <w:sz w:val="20"/>
          <w:szCs w:val="20"/>
          <w:rtl w:val="0"/>
        </w:rPr>
        <w:t xml:space="preserve">Reset the Scope Pivot: (Use this if the question is outside your area of research)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spacing w:after="0" w:afterAutospacing="0" w:lineRule="auto"/>
        <w:ind w:left="2160" w:hanging="36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"That’s a great question. While my research focused primarily on [Your Area], looking at it through the lens of [Your Topic] suggests that..."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 Medium" w:cs="Lexend Medium" w:eastAsia="Lexend Medium" w:hAnsi="Lexend Medium"/>
          <w:sz w:val="20"/>
          <w:szCs w:val="20"/>
          <w:rtl w:val="0"/>
        </w:rPr>
        <w:t xml:space="preserve">Refocus onto the Rubric: (Use this to ground yourself back in the rubric phases)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spacing w:after="0" w:afterAutospacing="0" w:lineRule="auto"/>
        <w:ind w:left="2160" w:hanging="36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"I think that question gets to the heart of the Value Conflict I mentioned earlier—it’s the tension between [Value A] and [Value B] again."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 Medium" w:cs="Lexend Medium" w:eastAsia="Lexend Medium" w:hAnsi="Lexend Medium"/>
          <w:sz w:val="20"/>
          <w:szCs w:val="20"/>
          <w:rtl w:val="0"/>
        </w:rPr>
        <w:t xml:space="preserve">Think on your feet: (Use this to signal you are processing the complexity)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spacing w:after="0" w:afterAutospacing="0" w:lineRule="auto"/>
        <w:ind w:left="2160" w:hanging="36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"That’s a genuine complication. If I’m weighing that against the data I found, the trade-off would likely look like..."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spacing w:after="240" w:lineRule="auto"/>
        <w:ind w:left="2160" w:hanging="36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"That’s a fair challenge. Give me a second to give it some thought..."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Nunito Ligh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434343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10" Type="http://schemas.openxmlformats.org/officeDocument/2006/relationships/font" Target="fonts/NunitoLight-boldItalic.ttf"/><Relationship Id="rId9" Type="http://schemas.openxmlformats.org/officeDocument/2006/relationships/font" Target="fonts/NunitoLight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NunitoLight-regular.ttf"/><Relationship Id="rId8" Type="http://schemas.openxmlformats.org/officeDocument/2006/relationships/font" Target="fonts/Nunito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