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aps/>
          <w:color w:val="999999"/>
          <w:sz w:val="17"/>
          <w:szCs w:val="17"/>
        </w:rPr>
        <w:t xml:space="preserve">6.00  |  Interview Project Support</w:t>
      </w:r>
    </w:p>
    <w:p>
      <w:pPr>
        <w:pBdr>
          <w:bottom w:val="single" w:color="2a2a1e" w:sz="8"/>
        </w:pBdr>
        <w:spacing w:after="60" w:before="0"/>
      </w:pPr>
      <w:r>
        <w:rPr>
          <w:rFonts w:ascii="Arial" w:cs="Arial" w:eastAsia="Arial" w:hAnsi="Arial"/>
          <w:b/>
          <w:bCs/>
          <w:color w:val="2a2a1e"/>
          <w:sz w:val="32"/>
          <w:szCs w:val="32"/>
        </w:rPr>
        <w:t xml:space="preserve">Interview Project: Student Support Guide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9cc" w:sz="6"/>
              <w:left w:val="single" w:color="ddd9cc" w:sz="6"/>
              <w:bottom w:val="single" w:color="ddd9cc" w:sz="6"/>
              <w:right w:val="single" w:color="ddd9cc" w:sz="6"/>
            </w:tcBorders>
            <w:shd w:fill="f5f3ec" w:val="clear"/>
            <w:tcMar>
              <w:top w:type="dxa" w:w="100"/>
              <w:left w:type="dxa" w:w="160"/>
              <w:bottom w:type="dxa" w:w="100"/>
              <w:right w:type="dxa" w:w="160"/>
            </w:tcMar>
          </w:tcPr>
          <w:p>
            <w:pPr>
              <w:spacing w:after="0" w:before="0"/>
              <w:jc w:val="center"/>
            </w:pPr>
            <w:r>
              <w:rPr>
                <w:rFonts w:ascii="Arial" w:cs="Arial" w:eastAsia="Arial" w:hAnsi="Arial"/>
                <w:b/>
                <w:bCs/>
                <w:color w:val="2a2a1e"/>
                <w:sz w:val="19"/>
                <w:szCs w:val="19"/>
              </w:rPr>
              <w:t xml:space="preserve">Reference Only — </w:t>
            </w:r>
            <w:r>
              <w:rPr>
                <w:rFonts w:ascii="Arial" w:cs="Arial" w:eastAsia="Arial" w:hAnsi="Arial"/>
                <w:color w:val="555555"/>
                <w:sz w:val="19"/>
                <w:szCs w:val="19"/>
              </w:rPr>
              <w:t xml:space="preserve">Nothing to turn in here. Use this guide to prepare, understand what’s being scored, and get a cleaner transcript before your interview conversation is analyzed.</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The Final: What You’re Being Asked to Do</w:t>
      </w:r>
    </w:p>
    <w:p>
      <w:pPr>
        <w:spacing w:after="0" w:before="80"/>
      </w:pPr>
    </w:p>
    <w:p>
      <w:pPr>
        <w:spacing w:after="80" w:before="80"/>
      </w:pPr>
      <w:r>
        <w:rPr>
          <w:rFonts w:ascii="Arial" w:cs="Arial" w:eastAsia="Arial" w:hAnsi="Arial"/>
          <w:sz w:val="20"/>
          <w:szCs w:val="20"/>
        </w:rPr>
        <w:t xml:space="preserve">Your final project is a </w:t>
      </w:r>
      <w:r>
        <w:rPr>
          <w:rFonts w:ascii="Arial" w:cs="Arial" w:eastAsia="Arial" w:hAnsi="Arial"/>
          <w:b/>
          <w:bCs/>
          <w:sz w:val="20"/>
          <w:szCs w:val="20"/>
        </w:rPr>
        <w:t xml:space="preserve">15-minute recorded conversation with an elder</w:t>
      </w:r>
      <w:r>
        <w:rPr>
          <w:rFonts w:ascii="Arial" w:cs="Arial" w:eastAsia="Arial" w:hAnsi="Arial"/>
          <w:sz w:val="20"/>
          <w:szCs w:val="20"/>
        </w:rPr>
        <w:t xml:space="preserve"> — someone at least 20 years older than you. You’ll conduct the interview yourself, record it as audio, and submit a clean transcript alongside your written piece.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9cc" w:sz="4"/>
              <w:left w:val="single" w:color="ddd9cc" w:sz="4"/>
              <w:bottom w:val="single" w:color="ddd9cc" w:sz="4"/>
              <w:right w:val="single" w:color="ddd9cc" w:sz="4"/>
            </w:tcBorders>
            <w:shd w:fill="f5f3ec" w:val="clear"/>
            <w:tcMar>
              <w:top w:type="dxa" w:w="100"/>
              <w:left w:type="dxa" w:w="140"/>
              <w:bottom w:type="dxa" w:w="100"/>
              <w:right w:type="dxa" w:w="140"/>
            </w:tcMar>
          </w:tcPr>
          <w:p>
            <w:pPr>
              <w:spacing w:after="0" w:before="0"/>
            </w:pPr>
            <w:r>
              <w:rPr>
                <w:rFonts w:ascii="Arial" w:cs="Arial" w:eastAsia="Arial" w:hAnsi="Arial"/>
                <w:b/>
                <w:bCs/>
                <w:caps/>
                <w:color w:val="888888"/>
                <w:sz w:val="17"/>
                <w:szCs w:val="17"/>
              </w:rPr>
              <w:t xml:space="preserve">Length</w:t>
            </w:r>
          </w:p>
          <w:p>
            <w:pPr>
              <w:spacing w:after="0" w:before="40"/>
            </w:pPr>
            <w:r>
              <w:rPr>
                <w:rFonts w:ascii="Arial" w:cs="Arial" w:eastAsia="Arial" w:hAnsi="Arial"/>
                <w:b/>
                <w:bCs/>
                <w:color w:val="2a2a1e"/>
                <w:sz w:val="20"/>
                <w:szCs w:val="20"/>
              </w:rPr>
              <w:t xml:space="preserve">~15 minutes</w:t>
            </w:r>
          </w:p>
        </w:tc>
        <w:tc>
          <w:tcPr>
            <w:tcW w:type="dxa" w:w="3360"/>
            <w:tcBorders>
              <w:top w:val="single" w:color="ddd9cc" w:sz="4"/>
              <w:left w:val="single" w:color="ddd9cc" w:sz="4"/>
              <w:bottom w:val="single" w:color="ddd9cc" w:sz="4"/>
              <w:right w:val="single" w:color="ddd9cc" w:sz="4"/>
            </w:tcBorders>
            <w:shd w:fill="f5f3ec" w:val="clear"/>
            <w:tcMar>
              <w:top w:type="dxa" w:w="100"/>
              <w:left w:type="dxa" w:w="140"/>
              <w:bottom w:type="dxa" w:w="100"/>
              <w:right w:type="dxa" w:w="140"/>
            </w:tcMar>
          </w:tcPr>
          <w:p>
            <w:pPr>
              <w:spacing w:after="0" w:before="0"/>
            </w:pPr>
            <w:r>
              <w:rPr>
                <w:rFonts w:ascii="Arial" w:cs="Arial" w:eastAsia="Arial" w:hAnsi="Arial"/>
                <w:b/>
                <w:bCs/>
                <w:caps/>
                <w:color w:val="888888"/>
                <w:sz w:val="17"/>
                <w:szCs w:val="17"/>
              </w:rPr>
              <w:t xml:space="preserve">Format</w:t>
            </w:r>
          </w:p>
          <w:p>
            <w:pPr>
              <w:spacing w:after="0" w:before="40"/>
            </w:pPr>
            <w:r>
              <w:rPr>
                <w:rFonts w:ascii="Arial" w:cs="Arial" w:eastAsia="Arial" w:hAnsi="Arial"/>
                <w:b/>
                <w:bCs/>
                <w:color w:val="2a2a1e"/>
                <w:sz w:val="20"/>
                <w:szCs w:val="20"/>
              </w:rPr>
              <w:t xml:space="preserve">Recorded audio, speaker-labeled transcript</w:t>
            </w:r>
          </w:p>
        </w:tc>
        <w:tc>
          <w:tcPr>
            <w:tcW w:type="dxa" w:w="3360"/>
            <w:tcBorders>
              <w:top w:val="single" w:color="ddd9cc" w:sz="4"/>
              <w:left w:val="single" w:color="ddd9cc" w:sz="4"/>
              <w:bottom w:val="single" w:color="ddd9cc" w:sz="4"/>
              <w:right w:val="single" w:color="ddd9cc" w:sz="4"/>
            </w:tcBorders>
            <w:shd w:fill="f5f3ec" w:val="clear"/>
            <w:tcMar>
              <w:top w:type="dxa" w:w="100"/>
              <w:left w:type="dxa" w:w="140"/>
              <w:bottom w:type="dxa" w:w="100"/>
              <w:right w:type="dxa" w:w="140"/>
            </w:tcMar>
          </w:tcPr>
          <w:p>
            <w:pPr>
              <w:spacing w:after="0" w:before="0"/>
            </w:pPr>
            <w:r>
              <w:rPr>
                <w:rFonts w:ascii="Arial" w:cs="Arial" w:eastAsia="Arial" w:hAnsi="Arial"/>
                <w:b/>
                <w:bCs/>
                <w:caps/>
                <w:color w:val="888888"/>
                <w:sz w:val="17"/>
                <w:szCs w:val="17"/>
              </w:rPr>
              <w:t xml:space="preserve">Subject</w:t>
            </w:r>
          </w:p>
          <w:p>
            <w:pPr>
              <w:spacing w:after="0" w:before="40"/>
            </w:pPr>
            <w:r>
              <w:rPr>
                <w:rFonts w:ascii="Arial" w:cs="Arial" w:eastAsia="Arial" w:hAnsi="Arial"/>
                <w:b/>
                <w:bCs/>
                <w:color w:val="2a2a1e"/>
                <w:sz w:val="20"/>
                <w:szCs w:val="20"/>
              </w:rPr>
              <w:t xml:space="preserve">An elder (20+ years older than you)</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Get a Clean Transcript</w:t>
      </w:r>
    </w:p>
    <w:p>
      <w:pPr>
        <w:spacing w:after="0" w:before="80"/>
      </w:pPr>
    </w:p>
    <w:p>
      <w:pPr>
        <w:spacing w:after="80" w:before="80"/>
      </w:pPr>
      <w:r>
        <w:rPr>
          <w:rFonts w:ascii="Arial" w:cs="Arial" w:eastAsia="Arial" w:hAnsi="Arial"/>
          <w:sz w:val="20"/>
          <w:szCs w:val="20"/>
        </w:rPr>
        <w:t xml:space="preserve">The transcript analyzer tool only works if it knows </w:t>
      </w:r>
      <w:r>
        <w:rPr>
          <w:rFonts w:ascii="Arial" w:cs="Arial" w:eastAsia="Arial" w:hAnsi="Arial"/>
          <w:b/>
          <w:bCs/>
          <w:sz w:val="20"/>
          <w:szCs w:val="20"/>
        </w:rPr>
        <w:t xml:space="preserve">who said what</w:t>
      </w:r>
      <w:r>
        <w:rPr>
          <w:rFonts w:ascii="Arial" w:cs="Arial" w:eastAsia="Arial" w:hAnsi="Arial"/>
          <w:sz w:val="20"/>
          <w:szCs w:val="20"/>
        </w:rPr>
        <w:t xml:space="preserve">. That process is called </w:t>
      </w:r>
      <w:r>
        <w:rPr>
          <w:rFonts w:ascii="Arial" w:cs="Arial" w:eastAsia="Arial" w:hAnsi="Arial"/>
          <w:b/>
          <w:bCs/>
          <w:i/>
          <w:iCs/>
          <w:sz w:val="20"/>
          <w:szCs w:val="20"/>
        </w:rPr>
        <w:t xml:space="preserve">diarization</w:t>
      </w:r>
      <w:r>
        <w:rPr>
          <w:rFonts w:ascii="Arial" w:cs="Arial" w:eastAsia="Arial" w:hAnsi="Arial"/>
          <w:sz w:val="20"/>
          <w:szCs w:val="20"/>
        </w:rPr>
        <w:t xml:space="preserve"> — speaker tagging. If your transcript just reads as one long block of text, the tool has no way to separate your questions from your subject’s answers. Everything below is designed to help you get a diarized transcript without having to parse it yourself by hand.</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9cc" w:sz="4"/>
              <w:left w:val="single" w:color="ddd9cc" w:sz="4"/>
              <w:bottom w:val="single" w:color="ddd9cc" w:sz="4"/>
              <w:right w:val="single" w:color="ddd9cc" w:sz="4"/>
            </w:tcBorders>
            <w:shd w:fill="dceaf7" w:val="clear"/>
            <w:tcMar>
              <w:top w:type="dxa" w:w="100"/>
              <w:left w:type="dxa" w:w="140"/>
              <w:bottom w:type="dxa" w:w="100"/>
              <w:right w:type="dxa" w:w="140"/>
            </w:tcMar>
          </w:tcPr>
          <w:p>
            <w:pPr>
              <w:spacing w:after="0" w:before="0"/>
            </w:pPr>
            <w:r>
              <w:rPr>
                <w:rFonts w:ascii="Arial" w:cs="Arial" w:eastAsia="Arial" w:hAnsi="Arial"/>
                <w:b/>
                <w:bCs/>
                <w:color w:val="1a4a80"/>
                <w:sz w:val="20"/>
                <w:szCs w:val="20"/>
              </w:rPr>
              <w:t xml:space="preserve">iPhone Users: The Fastest Method</w:t>
            </w:r>
          </w:p>
        </w:tc>
      </w:tr>
      <w:tr>
        <w:tc>
          <w:tcPr>
            <w:tcW w:type="dxa" w:w="10080"/>
            <w:tcBorders>
              <w:top w:val="single" w:color="ddd9cc" w:sz="4"/>
              <w:left w:val="single" w:color="ddd9cc" w:sz="4"/>
              <w:bottom w:val="single" w:color="ddd9cc" w:sz="4"/>
              <w:right w:val="single" w:color="ddd9cc" w:sz="4"/>
            </w:tcBorders>
            <w:shd w:fill="FFFFFF" w:val="clear"/>
            <w:tcMar>
              <w:top w:type="dxa" w:w="100"/>
              <w:left w:type="dxa" w:w="140"/>
              <w:bottom w:type="dxa" w:w="100"/>
              <w:right w:type="dxa" w:w="140"/>
            </w:tcMar>
          </w:tcPr>
          <w:p>
            <w:pPr>
              <w:spacing w:after="60" w:before="0"/>
            </w:pPr>
            <w:r>
              <w:rPr>
                <w:rFonts w:ascii="Arial" w:cs="Arial" w:eastAsia="Arial" w:hAnsi="Arial"/>
                <w:color w:val="2a2a1e"/>
                <w:sz w:val="20"/>
                <w:szCs w:val="20"/>
              </w:rPr>
              <w:t xml:space="preserve">Use the built-in Phone app — it handles speaker separation automatically.</w:t>
            </w:r>
          </w:p>
          <w:p>
            <w:pPr>
              <w:pStyle w:val="ListParagraph"/>
              <w:numPr>
                <w:ilvl w:val="0"/>
                <w:numId w:val="2"/>
              </w:numPr>
              <w:spacing w:after="40" w:before="40"/>
            </w:pPr>
            <w:r>
              <w:rPr>
                <w:rFonts w:ascii="Arial" w:cs="Arial" w:eastAsia="Arial" w:hAnsi="Arial"/>
                <w:color w:val="2a2a1e"/>
                <w:sz w:val="20"/>
                <w:szCs w:val="20"/>
              </w:rPr>
              <w:t xml:space="preserve">Call your respondent at the start of your interview and tap Record Conversation.</w:t>
            </w:r>
          </w:p>
          <w:p>
            <w:pPr>
              <w:pStyle w:val="ListParagraph"/>
              <w:numPr>
                <w:ilvl w:val="0"/>
                <w:numId w:val="2"/>
              </w:numPr>
              <w:spacing w:after="40" w:before="40"/>
            </w:pPr>
            <w:r>
              <w:rPr>
                <w:rFonts w:ascii="Arial" w:cs="Arial" w:eastAsia="Arial" w:hAnsi="Arial"/>
                <w:color w:val="2a2a1e"/>
                <w:sz w:val="20"/>
                <w:szCs w:val="20"/>
              </w:rPr>
              <w:t xml:space="preserve">Turn speaker mode OFF. Audio should go through the earpiece, not the speaker.</w:t>
            </w:r>
          </w:p>
          <w:p>
            <w:pPr>
              <w:pStyle w:val="ListParagraph"/>
              <w:numPr>
                <w:ilvl w:val="0"/>
                <w:numId w:val="2"/>
              </w:numPr>
              <w:spacing w:after="40" w:before="40"/>
            </w:pPr>
            <w:r>
              <w:rPr>
                <w:rFonts w:ascii="Arial" w:cs="Arial" w:eastAsia="Arial" w:hAnsi="Arial"/>
                <w:color w:val="2a2a1e"/>
                <w:sz w:val="20"/>
                <w:szCs w:val="20"/>
              </w:rPr>
              <w:t xml:space="preserve">Sit a few feet apart so your voices don’t bleed into each other’s microphone.</w:t>
            </w:r>
          </w:p>
          <w:p>
            <w:pPr>
              <w:pStyle w:val="ListParagraph"/>
              <w:numPr>
                <w:ilvl w:val="0"/>
                <w:numId w:val="2"/>
              </w:numPr>
              <w:spacing w:after="40" w:before="40"/>
            </w:pPr>
            <w:r>
              <w:rPr>
                <w:rFonts w:ascii="Arial" w:cs="Arial" w:eastAsia="Arial" w:hAnsi="Arial"/>
                <w:color w:val="2a2a1e"/>
                <w:sz w:val="20"/>
                <w:szCs w:val="20"/>
              </w:rPr>
              <w:t xml:space="preserve">Hold your phones up to your mouths like microphones as you talk. It might feel a little awkward at first — you’ll get over it.</w:t>
            </w:r>
          </w:p>
          <w:p>
            <w:pPr>
              <w:pStyle w:val="ListParagraph"/>
              <w:numPr>
                <w:ilvl w:val="0"/>
                <w:numId w:val="2"/>
              </w:numPr>
              <w:spacing w:after="40" w:before="40"/>
            </w:pPr>
            <w:r>
              <w:rPr>
                <w:rFonts w:ascii="Arial" w:cs="Arial" w:eastAsia="Arial" w:hAnsi="Arial"/>
                <w:color w:val="2a2a1e"/>
                <w:sz w:val="20"/>
                <w:szCs w:val="20"/>
              </w:rPr>
              <w:t xml:space="preserve">When you’re done, Apple’s transcription will label each speaker automatically. Replace “Speaker 1 / Speaker 2” with your actual names before pasting into the analyzer.</w:t>
            </w:r>
          </w:p>
          <w:p>
            <w:pPr>
              <w:spacing w:after="0" w:before="60"/>
            </w:pPr>
          </w:p>
          <w:p>
            <w:pPr>
              <w:spacing w:after="0" w:before="0"/>
            </w:pPr>
            <w:r>
              <w:rPr>
                <w:rFonts w:ascii="Arial" w:cs="Arial" w:eastAsia="Arial" w:hAnsi="Arial"/>
                <w:b/>
                <w:bCs/>
                <w:color w:val="1a4a80"/>
                <w:sz w:val="19"/>
                <w:szCs w:val="19"/>
              </w:rPr>
              <w:t xml:space="preserve">Why it works: </w:t>
            </w:r>
            <w:r>
              <w:rPr>
                <w:rFonts w:ascii="Arial" w:cs="Arial" w:eastAsia="Arial" w:hAnsi="Arial"/>
                <w:i/>
                <w:iCs/>
                <w:color w:val="444444"/>
                <w:sz w:val="19"/>
                <w:szCs w:val="19"/>
              </w:rPr>
              <w:t xml:space="preserve">Two phones on a call treat each end as a separate audio channel — which is exactly what diarization needs.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9cc" w:sz="4"/>
              <w:left w:val="single" w:color="ddd9cc" w:sz="4"/>
              <w:bottom w:val="single" w:color="ddd9cc" w:sz="4"/>
              <w:right w:val="single" w:color="ddd9cc" w:sz="4"/>
            </w:tcBorders>
            <w:shd w:fill="f5f3ec" w:val="clear"/>
            <w:tcMar>
              <w:top w:type="dxa" w:w="100"/>
              <w:left w:type="dxa" w:w="140"/>
              <w:bottom w:type="dxa" w:w="100"/>
              <w:right w:type="dxa" w:w="140"/>
            </w:tcMar>
          </w:tcPr>
          <w:p>
            <w:pPr>
              <w:spacing w:after="0" w:before="0"/>
            </w:pPr>
            <w:r>
              <w:rPr>
                <w:rFonts w:ascii="Arial" w:cs="Arial" w:eastAsia="Arial" w:hAnsi="Arial"/>
                <w:b/>
                <w:bCs/>
                <w:color w:val="2a2a1e"/>
                <w:sz w:val="20"/>
                <w:szCs w:val="20"/>
              </w:rPr>
              <w:t xml:space="preserve">If You’re Not on iPhone — Use Otter.ai</w:t>
            </w:r>
          </w:p>
        </w:tc>
      </w:tr>
      <w:tr>
        <w:tc>
          <w:tcPr>
            <w:tcW w:type="dxa" w:w="10080"/>
            <w:tcBorders>
              <w:top w:val="single" w:color="ddd9cc" w:sz="4"/>
              <w:left w:val="single" w:color="ddd9cc" w:sz="4"/>
              <w:bottom w:val="single" w:color="ddd9cc" w:sz="4"/>
              <w:right w:val="single" w:color="ddd9cc" w:sz="4"/>
            </w:tcBorders>
            <w:shd w:fill="FFFFFF" w:val="clear"/>
            <w:tcMar>
              <w:top w:type="dxa" w:w="100"/>
              <w:left w:type="dxa" w:w="140"/>
              <w:bottom w:type="dxa" w:w="100"/>
              <w:right w:type="dxa" w:w="140"/>
            </w:tcMar>
          </w:tcPr>
          <w:p>
            <w:pPr>
              <w:spacing w:after="60" w:before="0"/>
            </w:pPr>
            <w:r>
              <w:rPr>
                <w:rFonts w:ascii="Arial" w:cs="Arial" w:eastAsia="Arial" w:hAnsi="Arial"/>
                <w:sz w:val="20"/>
                <w:szCs w:val="20"/>
              </w:rPr>
              <w:t xml:space="preserve">Otter.ai is a free transcription app that labels speakers automatically.</w:t>
            </w:r>
          </w:p>
          <w:p>
            <w:pPr>
              <w:pStyle w:val="ListParagraph"/>
              <w:numPr>
                <w:ilvl w:val="0"/>
                <w:numId w:val="2"/>
              </w:numPr>
              <w:spacing w:after="40" w:before="40"/>
            </w:pPr>
            <w:r>
              <w:rPr>
                <w:rFonts w:ascii="Arial" w:cs="Arial" w:eastAsia="Arial" w:hAnsi="Arial"/>
                <w:color w:val="2a2a1e"/>
                <w:sz w:val="20"/>
                <w:szCs w:val="20"/>
              </w:rPr>
              <w:t xml:space="preserve">Record your interview with the Otter app open, or upload your audio after.</w:t>
            </w:r>
          </w:p>
          <w:p>
            <w:pPr>
              <w:pStyle w:val="ListParagraph"/>
              <w:numPr>
                <w:ilvl w:val="0"/>
                <w:numId w:val="2"/>
              </w:numPr>
              <w:spacing w:after="40" w:before="40"/>
            </w:pPr>
            <w:r>
              <w:rPr>
                <w:rFonts w:ascii="Arial" w:cs="Arial" w:eastAsia="Arial" w:hAnsi="Arial"/>
                <w:color w:val="2a2a1e"/>
                <w:sz w:val="20"/>
                <w:szCs w:val="20"/>
              </w:rPr>
              <w:t xml:space="preserve">Go to Settings and assign speaker names to each labeled voice.</w:t>
            </w:r>
          </w:p>
          <w:p>
            <w:pPr>
              <w:pStyle w:val="ListParagraph"/>
              <w:numPr>
                <w:ilvl w:val="0"/>
                <w:numId w:val="2"/>
              </w:numPr>
              <w:spacing w:after="40" w:before="40"/>
            </w:pPr>
            <w:r>
              <w:rPr>
                <w:rFonts w:ascii="Arial" w:cs="Arial" w:eastAsia="Arial" w:hAnsi="Arial"/>
                <w:color w:val="2a2a1e"/>
                <w:sz w:val="20"/>
                <w:szCs w:val="20"/>
              </w:rPr>
              <w:t xml:space="preserve">Export the transcript and paste it directly into the analyzer — timestamps and brackets are stripped automatically.</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2a7a40" w:sz="4"/>
              <w:left w:val="single" w:color="2a7a40" w:sz="4"/>
              <w:bottom w:val="single" w:color="2a7a40" w:sz="4"/>
              <w:right w:val="single" w:color="2a7a40" w:sz="4"/>
            </w:tcBorders>
            <w:shd w:fill="dff5e1" w:val="clear"/>
            <w:tcMar>
              <w:top w:type="dxa" w:w="80"/>
              <w:left w:type="dxa" w:w="120"/>
              <w:bottom w:type="dxa" w:w="80"/>
              <w:right w:type="dxa" w:w="120"/>
            </w:tcMar>
          </w:tcPr>
          <w:p>
            <w:pPr>
              <w:spacing w:after="0" w:before="0"/>
            </w:pPr>
            <w:r>
              <w:rPr>
                <w:rFonts w:ascii="Arial" w:cs="Arial" w:eastAsia="Arial" w:hAnsi="Arial"/>
                <w:b/>
                <w:bCs/>
                <w:caps/>
                <w:color w:val="2a7a40"/>
                <w:sz w:val="19"/>
                <w:szCs w:val="19"/>
              </w:rPr>
              <w:t xml:space="preserve">Do This</w:t>
            </w:r>
          </w:p>
        </w:tc>
        <w:tc>
          <w:tcPr>
            <w:tcW w:type="dxa" w:w="5040"/>
            <w:tcBorders>
              <w:top w:val="single" w:color="b02020" w:sz="4"/>
              <w:left w:val="single" w:color="b02020" w:sz="4"/>
              <w:bottom w:val="single" w:color="b02020" w:sz="4"/>
              <w:right w:val="single" w:color="b02020" w:sz="4"/>
            </w:tcBorders>
            <w:shd w:fill="ffd6d6" w:val="clear"/>
            <w:tcMar>
              <w:top w:type="dxa" w:w="80"/>
              <w:left w:type="dxa" w:w="120"/>
              <w:bottom w:type="dxa" w:w="80"/>
              <w:right w:type="dxa" w:w="120"/>
            </w:tcMar>
          </w:tcPr>
          <w:p>
            <w:pPr>
              <w:spacing w:after="0" w:before="0"/>
            </w:pPr>
            <w:r>
              <w:rPr>
                <w:rFonts w:ascii="Arial" w:cs="Arial" w:eastAsia="Arial" w:hAnsi="Arial"/>
                <w:b/>
                <w:bCs/>
                <w:caps/>
                <w:color w:val="b02020"/>
                <w:sz w:val="19"/>
                <w:szCs w:val="19"/>
              </w:rPr>
              <w:t xml:space="preserve">Avoid This</w:t>
            </w:r>
          </w:p>
        </w:tc>
      </w:tr>
      <w:tr>
        <w:tc>
          <w:tcPr>
            <w:tcW w:type="dxa" w:w="5040"/>
            <w:tcBorders>
              <w:top w:val="single" w:color="2a7a40" w:sz="4"/>
              <w:left w:val="single" w:color="2a7a40" w:sz="4"/>
              <w:bottom w:val="single" w:color="2a7a40" w:sz="4"/>
              <w:right w:val="single" w:color="2a7a40"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color w:val="2a2a1e"/>
                <w:sz w:val="20"/>
                <w:szCs w:val="20"/>
              </w:rPr>
              <w:t xml:space="preserve">Find a quiet space with no background noise or echo</w:t>
            </w:r>
          </w:p>
          <w:p>
            <w:pPr>
              <w:pStyle w:val="ListParagraph"/>
              <w:numPr>
                <w:ilvl w:val="0"/>
                <w:numId w:val="2"/>
              </w:numPr>
              <w:spacing w:after="40" w:before="40"/>
            </w:pPr>
            <w:r>
              <w:rPr>
                <w:rFonts w:ascii="Arial" w:cs="Arial" w:eastAsia="Arial" w:hAnsi="Arial"/>
                <w:color w:val="2a2a1e"/>
                <w:sz w:val="20"/>
                <w:szCs w:val="20"/>
              </w:rPr>
              <w:t xml:space="preserve">Let your respondent finish before you speak</w:t>
            </w:r>
          </w:p>
          <w:p>
            <w:pPr>
              <w:pStyle w:val="ListParagraph"/>
              <w:numPr>
                <w:ilvl w:val="0"/>
                <w:numId w:val="2"/>
              </w:numPr>
              <w:spacing w:after="40" w:before="40"/>
            </w:pPr>
            <w:r>
              <w:rPr>
                <w:rFonts w:ascii="Arial" w:cs="Arial" w:eastAsia="Arial" w:hAnsi="Arial"/>
                <w:color w:val="2a2a1e"/>
                <w:sz w:val="20"/>
                <w:szCs w:val="20"/>
              </w:rPr>
              <w:t xml:space="preserve">Sit 2–3 feet apart so voices are captured clearly</w:t>
            </w:r>
          </w:p>
          <w:p>
            <w:pPr>
              <w:pStyle w:val="ListParagraph"/>
              <w:numPr>
                <w:ilvl w:val="0"/>
                <w:numId w:val="2"/>
              </w:numPr>
              <w:spacing w:after="40" w:before="40"/>
            </w:pPr>
            <w:r>
              <w:rPr>
                <w:rFonts w:ascii="Arial" w:cs="Arial" w:eastAsia="Arial" w:hAnsi="Arial"/>
                <w:color w:val="2a2a1e"/>
                <w:sz w:val="20"/>
                <w:szCs w:val="20"/>
              </w:rPr>
              <w:t xml:space="preserve">Do a 30-second test recording before you start</w:t>
            </w:r>
          </w:p>
        </w:tc>
        <w:tc>
          <w:tcPr>
            <w:tcW w:type="dxa" w:w="5040"/>
            <w:tcBorders>
              <w:top w:val="single" w:color="b02020" w:sz="4"/>
              <w:left w:val="single" w:color="b02020" w:sz="4"/>
              <w:bottom w:val="single" w:color="b02020" w:sz="4"/>
              <w:right w:val="single" w:color="b02020"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color w:val="2a2a1e"/>
                <w:sz w:val="20"/>
                <w:szCs w:val="20"/>
              </w:rPr>
              <w:t xml:space="preserve">Talking over each other — transcription breaks when voices overlap</w:t>
            </w:r>
          </w:p>
          <w:p>
            <w:pPr>
              <w:pStyle w:val="ListParagraph"/>
              <w:numPr>
                <w:ilvl w:val="0"/>
                <w:numId w:val="2"/>
              </w:numPr>
              <w:spacing w:after="40" w:before="40"/>
            </w:pPr>
            <w:r>
              <w:rPr>
                <w:rFonts w:ascii="Arial" w:cs="Arial" w:eastAsia="Arial" w:hAnsi="Arial"/>
                <w:color w:val="2a2a1e"/>
                <w:sz w:val="20"/>
                <w:szCs w:val="20"/>
              </w:rPr>
              <w:t xml:space="preserve">Recording in a car, coffee shop, or anywhere with ambient noise</w:t>
            </w:r>
          </w:p>
          <w:p>
            <w:pPr>
              <w:pStyle w:val="ListParagraph"/>
              <w:numPr>
                <w:ilvl w:val="0"/>
                <w:numId w:val="2"/>
              </w:numPr>
              <w:spacing w:after="40" w:before="40"/>
            </w:pPr>
            <w:r>
              <w:rPr>
                <w:rFonts w:ascii="Arial" w:cs="Arial" w:eastAsia="Arial" w:hAnsi="Arial"/>
                <w:color w:val="2a2a1e"/>
                <w:sz w:val="20"/>
                <w:szCs w:val="20"/>
              </w:rPr>
              <w:t xml:space="preserve">Holding the phone flat on a table between you (picks up both voices on one channel)</w:t>
            </w:r>
          </w:p>
          <w:p>
            <w:pPr>
              <w:pStyle w:val="ListParagraph"/>
              <w:numPr>
                <w:ilvl w:val="0"/>
                <w:numId w:val="2"/>
              </w:numPr>
              <w:spacing w:after="40" w:before="40"/>
            </w:pPr>
            <w:r>
              <w:rPr>
                <w:rFonts w:ascii="Arial" w:cs="Arial" w:eastAsia="Arial" w:hAnsi="Arial"/>
                <w:color w:val="2a2a1e"/>
                <w:sz w:val="20"/>
                <w:szCs w:val="20"/>
              </w:rPr>
              <w:t xml:space="preserve">Starting without confirming your respondent’s permission to record</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What’s Being Scored — The 25-Point Breakdown</w:t>
      </w:r>
    </w:p>
    <w:p>
      <w:pPr>
        <w:spacing w:after="0" w:before="80"/>
      </w:pPr>
    </w:p>
    <w:p>
      <w:pPr>
        <w:spacing w:after="80" w:before="80"/>
      </w:pPr>
      <w:r>
        <w:rPr>
          <w:rFonts w:ascii="Arial" w:cs="Arial" w:eastAsia="Arial" w:hAnsi="Arial"/>
          <w:sz w:val="20"/>
          <w:szCs w:val="20"/>
        </w:rPr>
        <w:t xml:space="preserve">Your interview is scored across five categories, each worth up to 5 points.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2176ae" w:sz="4"/>
              <w:left w:val="single" w:color="2176ae" w:sz="4"/>
              <w:bottom w:val="single" w:color="2176ae" w:sz="4"/>
              <w:right w:val="single" w:color="2176ae" w:sz="4"/>
            </w:tcBorders>
            <w:shd w:fill="d0ecf7" w:val="clear"/>
            <w:tcMar>
              <w:top w:type="dxa" w:w="80"/>
              <w:left w:type="dxa" w:w="100"/>
              <w:bottom w:type="dxa" w:w="80"/>
              <w:right w:type="dxa" w:w="100"/>
            </w:tcMar>
          </w:tcPr>
          <w:p>
            <w:pPr>
              <w:spacing w:after="0" w:before="0"/>
              <w:jc w:val="center"/>
            </w:pPr>
            <w:r>
              <w:rPr>
                <w:rFonts w:ascii="Arial" w:cs="Arial" w:eastAsia="Arial" w:hAnsi="Arial"/>
                <w:b/>
                <w:bCs/>
                <w:color w:val="0d4a72"/>
                <w:sz w:val="17"/>
                <w:szCs w:val="17"/>
              </w:rPr>
              <w:t xml:space="preserve">Listening Moves</w:t>
            </w:r>
          </w:p>
          <w:p>
            <w:pPr>
              <w:spacing w:after="0" w:before="0"/>
              <w:jc w:val="center"/>
            </w:pPr>
            <w:r>
              <w:rPr>
                <w:rFonts w:ascii="Arial" w:cs="Arial" w:eastAsia="Arial" w:hAnsi="Arial"/>
                <w:color w:val="0d4a72"/>
                <w:sz w:val="15"/>
                <w:szCs w:val="15"/>
              </w:rPr>
              <w:t xml:space="preserve">5 pts</w:t>
            </w:r>
          </w:p>
        </w:tc>
        <w:tc>
          <w:tcPr>
            <w:tcW w:type="dxa" w:w="2016"/>
            <w:tcBorders>
              <w:top w:val="single" w:color="2a7a40" w:sz="4"/>
              <w:left w:val="single" w:color="2a7a40" w:sz="4"/>
              <w:bottom w:val="single" w:color="2a7a40" w:sz="4"/>
              <w:right w:val="single" w:color="2a7a40" w:sz="4"/>
            </w:tcBorders>
            <w:shd w:fill="dff5e1" w:val="clear"/>
            <w:tcMar>
              <w:top w:type="dxa" w:w="80"/>
              <w:left w:type="dxa" w:w="100"/>
              <w:bottom w:type="dxa" w:w="80"/>
              <w:right w:type="dxa" w:w="100"/>
            </w:tcMar>
          </w:tcPr>
          <w:p>
            <w:pPr>
              <w:spacing w:after="0" w:before="0"/>
              <w:jc w:val="center"/>
            </w:pPr>
            <w:r>
              <w:rPr>
                <w:rFonts w:ascii="Arial" w:cs="Arial" w:eastAsia="Arial" w:hAnsi="Arial"/>
                <w:b/>
                <w:bCs/>
                <w:color w:val="0f4020"/>
                <w:sz w:val="17"/>
                <w:szCs w:val="17"/>
              </w:rPr>
              <w:t xml:space="preserve">Question Quality</w:t>
            </w:r>
          </w:p>
          <w:p>
            <w:pPr>
              <w:spacing w:after="0" w:before="0"/>
              <w:jc w:val="center"/>
            </w:pPr>
            <w:r>
              <w:rPr>
                <w:rFonts w:ascii="Arial" w:cs="Arial" w:eastAsia="Arial" w:hAnsi="Arial"/>
                <w:color w:val="0f4020"/>
                <w:sz w:val="15"/>
                <w:szCs w:val="15"/>
              </w:rPr>
              <w:t xml:space="preserve">5 pts</w:t>
            </w:r>
          </w:p>
        </w:tc>
        <w:tc>
          <w:tcPr>
            <w:tcW w:type="dxa" w:w="2016"/>
            <w:tcBorders>
              <w:top w:val="single" w:color="7b3fa0" w:sz="4"/>
              <w:left w:val="single" w:color="7b3fa0" w:sz="4"/>
              <w:bottom w:val="single" w:color="7b3fa0" w:sz="4"/>
              <w:right w:val="single" w:color="7b3fa0" w:sz="4"/>
            </w:tcBorders>
            <w:shd w:fill="e8d5f5" w:val="clear"/>
            <w:tcMar>
              <w:top w:type="dxa" w:w="80"/>
              <w:left w:type="dxa" w:w="100"/>
              <w:bottom w:type="dxa" w:w="80"/>
              <w:right w:type="dxa" w:w="100"/>
            </w:tcMar>
          </w:tcPr>
          <w:p>
            <w:pPr>
              <w:spacing w:after="0" w:before="0"/>
              <w:jc w:val="center"/>
            </w:pPr>
            <w:r>
              <w:rPr>
                <w:rFonts w:ascii="Arial" w:cs="Arial" w:eastAsia="Arial" w:hAnsi="Arial"/>
                <w:b/>
                <w:bCs/>
                <w:color w:val="4a1a70"/>
                <w:sz w:val="17"/>
                <w:szCs w:val="17"/>
              </w:rPr>
              <w:t xml:space="preserve">Arc / Structure</w:t>
            </w:r>
          </w:p>
          <w:p>
            <w:pPr>
              <w:spacing w:after="0" w:before="0"/>
              <w:jc w:val="center"/>
            </w:pPr>
            <w:r>
              <w:rPr>
                <w:rFonts w:ascii="Arial" w:cs="Arial" w:eastAsia="Arial" w:hAnsi="Arial"/>
                <w:color w:val="4a1a70"/>
                <w:sz w:val="15"/>
                <w:szCs w:val="15"/>
              </w:rPr>
              <w:t xml:space="preserve">5 pts</w:t>
            </w:r>
          </w:p>
        </w:tc>
        <w:tc>
          <w:tcPr>
            <w:tcW w:type="dxa" w:w="2016"/>
            <w:tcBorders>
              <w:top w:val="single" w:color="ddd9cc" w:sz="4"/>
              <w:left w:val="single" w:color="ddd9cc" w:sz="4"/>
              <w:bottom w:val="single" w:color="ddd9cc" w:sz="4"/>
              <w:right w:val="single" w:color="ddd9cc" w:sz="4"/>
            </w:tcBorders>
            <w:shd w:fill="f5f3ec" w:val="clear"/>
            <w:tcMar>
              <w:top w:type="dxa" w:w="80"/>
              <w:left w:type="dxa" w:w="100"/>
              <w:bottom w:type="dxa" w:w="80"/>
              <w:right w:type="dxa" w:w="100"/>
            </w:tcMar>
          </w:tcPr>
          <w:p>
            <w:pPr>
              <w:spacing w:after="0" w:before="0"/>
              <w:jc w:val="center"/>
            </w:pPr>
            <w:r>
              <w:rPr>
                <w:rFonts w:ascii="Arial" w:cs="Arial" w:eastAsia="Arial" w:hAnsi="Arial"/>
                <w:b/>
                <w:bCs/>
                <w:color w:val="2a2a1e"/>
                <w:sz w:val="17"/>
                <w:szCs w:val="17"/>
              </w:rPr>
              <w:t xml:space="preserve">Talk Balance</w:t>
            </w:r>
          </w:p>
          <w:p>
            <w:pPr>
              <w:spacing w:after="0" w:before="0"/>
              <w:jc w:val="center"/>
            </w:pPr>
            <w:r>
              <w:rPr>
                <w:rFonts w:ascii="Arial" w:cs="Arial" w:eastAsia="Arial" w:hAnsi="Arial"/>
                <w:color w:val="2a2a1e"/>
                <w:sz w:val="15"/>
                <w:szCs w:val="15"/>
              </w:rPr>
              <w:t xml:space="preserve">5 pts</w:t>
            </w:r>
          </w:p>
        </w:tc>
        <w:tc>
          <w:tcPr>
            <w:tcW w:type="dxa" w:w="2016"/>
            <w:tcBorders>
              <w:top w:val="single" w:color="b02020" w:sz="4"/>
              <w:left w:val="single" w:color="b02020" w:sz="4"/>
              <w:bottom w:val="single" w:color="b02020" w:sz="4"/>
              <w:right w:val="single" w:color="b02020" w:sz="4"/>
            </w:tcBorders>
            <w:shd w:fill="ffd6d6" w:val="clear"/>
            <w:tcMar>
              <w:top w:type="dxa" w:w="80"/>
              <w:left w:type="dxa" w:w="100"/>
              <w:bottom w:type="dxa" w:w="80"/>
              <w:right w:type="dxa" w:w="100"/>
            </w:tcMar>
          </w:tcPr>
          <w:p>
            <w:pPr>
              <w:spacing w:after="0" w:before="0"/>
              <w:jc w:val="center"/>
            </w:pPr>
            <w:r>
              <w:rPr>
                <w:rFonts w:ascii="Arial" w:cs="Arial" w:eastAsia="Arial" w:hAnsi="Arial"/>
                <w:b/>
                <w:bCs/>
                <w:color w:val="6a0000"/>
                <w:sz w:val="17"/>
                <w:szCs w:val="17"/>
              </w:rPr>
              <w:t xml:space="preserve">Filler Control</w:t>
            </w:r>
          </w:p>
          <w:p>
            <w:pPr>
              <w:spacing w:after="0" w:before="0"/>
              <w:jc w:val="center"/>
            </w:pPr>
            <w:r>
              <w:rPr>
                <w:rFonts w:ascii="Arial" w:cs="Arial" w:eastAsia="Arial" w:hAnsi="Arial"/>
                <w:color w:val="6a0000"/>
                <w:sz w:val="15"/>
                <w:szCs w:val="15"/>
              </w:rPr>
              <w:t xml:space="preserve">5 pts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7080"/>
      </w:tblGrid>
      <w:tr>
        <w:tc>
          <w:tcPr>
            <w:tcW w:type="dxa" w:w="2800"/>
            <w:tcBorders>
              <w:top w:val="none" w:color="FFFFFF" w:sz="0"/>
              <w:left w:val="none" w:color="FFFFFF" w:sz="0"/>
              <w:bottom w:val="none" w:color="FFFFFF" w:sz="0"/>
              <w:right w:val="none" w:color="FFFFFF" w:sz="0"/>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20"/>
                <w:szCs w:val="20"/>
              </w:rPr>
              <w:t xml:space="preserve">Listening Moves</w:t>
            </w:r>
          </w:p>
          <w:p>
            <w:pPr>
              <w:spacing w:after="0" w:before="0"/>
            </w:pPr>
            <w:r>
              <w:rPr>
                <w:rFonts w:ascii="Arial" w:cs="Arial" w:eastAsia="Arial" w:hAnsi="Arial"/>
                <w:color w:val="888888"/>
                <w:sz w:val="18"/>
                <w:szCs w:val="18"/>
              </w:rPr>
              <w:t xml:space="preserve">5 pts</w:t>
            </w:r>
          </w:p>
        </w:tc>
        <w:tc>
          <w:tcPr>
            <w:tcW w:type="dxa" w:w="200"/>
            <w:tcBorders>
              <w:top w:val="none" w:color="FFFFFF" w:sz="0"/>
              <w:left w:val="none" w:color="FFFFFF" w:sz="0"/>
              <w:bottom w:val="none" w:color="FFFFFF" w:sz="0"/>
              <w:right w:val="none" w:color="FFFFFF" w:sz="0"/>
            </w:tcBorders>
          </w:tcPr>
          <w:p/>
        </w:tc>
        <w:tc>
          <w:tcPr>
            <w:tcW w:type="dxa" w:w="70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color w:val="2a2a1e"/>
                <w:sz w:val="19"/>
                <w:szCs w:val="19"/>
              </w:rPr>
              <w:t xml:space="preserve">How many distinct move types you used across the conversation. The analyzer tracks 11 moves total. More variety = higher score. Using 6+ different types maxes this category.</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7080"/>
      </w:tblGrid>
      <w:tr>
        <w:tc>
          <w:tcPr>
            <w:tcW w:type="dxa" w:w="2800"/>
            <w:tcBorders>
              <w:top w:val="none" w:color="FFFFFF" w:sz="0"/>
              <w:left w:val="none" w:color="FFFFFF" w:sz="0"/>
              <w:bottom w:val="none" w:color="FFFFFF" w:sz="0"/>
              <w:right w:val="none" w:color="FFFFFF" w:sz="0"/>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20"/>
                <w:szCs w:val="20"/>
              </w:rPr>
              <w:t xml:space="preserve">Question Quality</w:t>
            </w:r>
          </w:p>
          <w:p>
            <w:pPr>
              <w:spacing w:after="0" w:before="0"/>
            </w:pPr>
            <w:r>
              <w:rPr>
                <w:rFonts w:ascii="Arial" w:cs="Arial" w:eastAsia="Arial" w:hAnsi="Arial"/>
                <w:color w:val="888888"/>
                <w:sz w:val="18"/>
                <w:szCs w:val="18"/>
              </w:rPr>
              <w:t xml:space="preserve">5 pts</w:t>
            </w:r>
          </w:p>
        </w:tc>
        <w:tc>
          <w:tcPr>
            <w:tcW w:type="dxa" w:w="200"/>
            <w:tcBorders>
              <w:top w:val="none" w:color="FFFFFF" w:sz="0"/>
              <w:left w:val="none" w:color="FFFFFF" w:sz="0"/>
              <w:bottom w:val="none" w:color="FFFFFF" w:sz="0"/>
              <w:right w:val="none" w:color="FFFFFF" w:sz="0"/>
            </w:tcBorders>
          </w:tcPr>
          <w:p/>
        </w:tc>
        <w:tc>
          <w:tcPr>
            <w:tcW w:type="dxa" w:w="70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color w:val="2a2a1e"/>
                <w:sz w:val="19"/>
                <w:szCs w:val="19"/>
              </w:rPr>
              <w:t xml:space="preserve">Weighted by depth. L2 questions count once. L3 questions count 1.5×. A high score means you pushed past the surface and asked questions that required your subject to reflect.</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7080"/>
      </w:tblGrid>
      <w:tr>
        <w:tc>
          <w:tcPr>
            <w:tcW w:type="dxa" w:w="2800"/>
            <w:tcBorders>
              <w:top w:val="none" w:color="FFFFFF" w:sz="0"/>
              <w:left w:val="none" w:color="FFFFFF" w:sz="0"/>
              <w:bottom w:val="none" w:color="FFFFFF" w:sz="0"/>
              <w:right w:val="none" w:color="FFFFFF" w:sz="0"/>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20"/>
                <w:szCs w:val="20"/>
              </w:rPr>
              <w:t xml:space="preserve">Arc / Structure</w:t>
            </w:r>
          </w:p>
          <w:p>
            <w:pPr>
              <w:spacing w:after="0" w:before="0"/>
            </w:pPr>
            <w:r>
              <w:rPr>
                <w:rFonts w:ascii="Arial" w:cs="Arial" w:eastAsia="Arial" w:hAnsi="Arial"/>
                <w:color w:val="888888"/>
                <w:sz w:val="18"/>
                <w:szCs w:val="18"/>
              </w:rPr>
              <w:t xml:space="preserve">5 pts</w:t>
            </w:r>
          </w:p>
        </w:tc>
        <w:tc>
          <w:tcPr>
            <w:tcW w:type="dxa" w:w="200"/>
            <w:tcBorders>
              <w:top w:val="none" w:color="FFFFFF" w:sz="0"/>
              <w:left w:val="none" w:color="FFFFFF" w:sz="0"/>
              <w:bottom w:val="none" w:color="FFFFFF" w:sz="0"/>
              <w:right w:val="none" w:color="FFFFFF" w:sz="0"/>
            </w:tcBorders>
          </w:tcPr>
          <w:p/>
        </w:tc>
        <w:tc>
          <w:tcPr>
            <w:tcW w:type="dxa" w:w="70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color w:val="2a2a1e"/>
                <w:sz w:val="19"/>
                <w:szCs w:val="19"/>
              </w:rPr>
              <w:t xml:space="preserve">Did your questions build over time? The tool compares your question levels in the first third of the conversation vs. the last third. A strong arc moves L1 → L2 → L3.</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7080"/>
      </w:tblGrid>
      <w:tr>
        <w:tc>
          <w:tcPr>
            <w:tcW w:type="dxa" w:w="2800"/>
            <w:tcBorders>
              <w:top w:val="none" w:color="FFFFFF" w:sz="0"/>
              <w:left w:val="none" w:color="FFFFFF" w:sz="0"/>
              <w:bottom w:val="none" w:color="FFFFFF" w:sz="0"/>
              <w:right w:val="none" w:color="FFFFFF" w:sz="0"/>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20"/>
                <w:szCs w:val="20"/>
              </w:rPr>
              <w:t xml:space="preserve">Talk Balance</w:t>
            </w:r>
          </w:p>
          <w:p>
            <w:pPr>
              <w:spacing w:after="0" w:before="0"/>
            </w:pPr>
            <w:r>
              <w:rPr>
                <w:rFonts w:ascii="Arial" w:cs="Arial" w:eastAsia="Arial" w:hAnsi="Arial"/>
                <w:color w:val="888888"/>
                <w:sz w:val="18"/>
                <w:szCs w:val="18"/>
              </w:rPr>
              <w:t xml:space="preserve">5 pts</w:t>
            </w:r>
          </w:p>
        </w:tc>
        <w:tc>
          <w:tcPr>
            <w:tcW w:type="dxa" w:w="200"/>
            <w:tcBorders>
              <w:top w:val="none" w:color="FFFFFF" w:sz="0"/>
              <w:left w:val="none" w:color="FFFFFF" w:sz="0"/>
              <w:bottom w:val="none" w:color="FFFFFF" w:sz="0"/>
              <w:right w:val="none" w:color="FFFFFF" w:sz="0"/>
            </w:tcBorders>
          </w:tcPr>
          <w:p/>
        </w:tc>
        <w:tc>
          <w:tcPr>
            <w:tcW w:type="dxa" w:w="70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color w:val="2a2a1e"/>
                <w:sz w:val="19"/>
                <w:szCs w:val="19"/>
              </w:rPr>
              <w:t xml:space="preserve">Your subject should be doing most of the talking. The ideal range is 55–80% of words spoken by the respondent. If you’re talking more than you’re listening, this score drops.</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7080"/>
      </w:tblGrid>
      <w:tr>
        <w:tc>
          <w:tcPr>
            <w:tcW w:type="dxa" w:w="2800"/>
            <w:tcBorders>
              <w:top w:val="none" w:color="FFFFFF" w:sz="0"/>
              <w:left w:val="none" w:color="FFFFFF" w:sz="0"/>
              <w:bottom w:val="none" w:color="FFFFFF" w:sz="0"/>
              <w:right w:val="none" w:color="FFFFFF" w:sz="0"/>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20"/>
                <w:szCs w:val="20"/>
              </w:rPr>
              <w:t xml:space="preserve">Filler Control</w:t>
            </w:r>
          </w:p>
          <w:p>
            <w:pPr>
              <w:spacing w:after="0" w:before="0"/>
            </w:pPr>
            <w:r>
              <w:rPr>
                <w:rFonts w:ascii="Arial" w:cs="Arial" w:eastAsia="Arial" w:hAnsi="Arial"/>
                <w:color w:val="888888"/>
                <w:sz w:val="18"/>
                <w:szCs w:val="18"/>
              </w:rPr>
              <w:t xml:space="preserve">5 pts</w:t>
            </w:r>
          </w:p>
        </w:tc>
        <w:tc>
          <w:tcPr>
            <w:tcW w:type="dxa" w:w="200"/>
            <w:tcBorders>
              <w:top w:val="none" w:color="FFFFFF" w:sz="0"/>
              <w:left w:val="none" w:color="FFFFFF" w:sz="0"/>
              <w:bottom w:val="none" w:color="FFFFFF" w:sz="0"/>
              <w:right w:val="none" w:color="FFFFFF" w:sz="0"/>
            </w:tcBorders>
          </w:tcPr>
          <w:p/>
        </w:tc>
        <w:tc>
          <w:tcPr>
            <w:tcW w:type="dxa" w:w="70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color w:val="2a2a1e"/>
                <w:sz w:val="19"/>
                <w:szCs w:val="19"/>
              </w:rPr>
              <w:t xml:space="preserve">Your filler word rate as a percentage of your total words spoken. Under 1% = 5/5. Each additional 1% drops a point. At 4%+, you score a 1/5. Slow down before you ask.</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Verbal Moves — What the Analyzer Looks For</w:t>
      </w:r>
    </w:p>
    <w:p>
      <w:pPr>
        <w:spacing w:after="0" w:before="80"/>
      </w:pPr>
    </w:p>
    <w:p>
      <w:pPr>
        <w:spacing w:after="80" w:before="80"/>
      </w:pPr>
      <w:r>
        <w:rPr>
          <w:rFonts w:ascii="Arial" w:cs="Arial" w:eastAsia="Arial" w:hAnsi="Arial"/>
          <w:sz w:val="20"/>
          <w:szCs w:val="20"/>
        </w:rPr>
        <w:t xml:space="preserve">These are the seven verbal moves the tool tracks. The more types you use, the higher your Listening Moves score. A good interview uses several of these, not just one on repeat.</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c>
          <w:tcPr>
            <w:tcW w:type="dxa" w:w="24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Move</w:t>
            </w:r>
          </w:p>
        </w:tc>
        <w:tc>
          <w:tcPr>
            <w:tcW w:type="dxa" w:w="34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What It Means</w:t>
            </w:r>
          </w:p>
        </w:tc>
        <w:tc>
          <w:tcPr>
            <w:tcW w:type="dxa" w:w="428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Example</w:t>
            </w:r>
          </w:p>
        </w:tc>
      </w:tr>
      <w:tr>
        <w:tc>
          <w:tcPr>
            <w:tcW w:type="dxa" w:w="2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Paraphrasis</w:t>
            </w:r>
          </w:p>
        </w:tc>
        <w:tc>
          <w:tcPr>
            <w:tcW w:type="dxa" w:w="3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Reflect back what you heard in your own words — confirms you understood and invites correction.</w:t>
            </w:r>
          </w:p>
        </w:tc>
        <w:tc>
          <w:tcPr>
            <w:tcW w:type="dxa" w:w="428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“So what you’re saying is…” / “If I’m hearing you right…”</w:t>
            </w:r>
          </w:p>
        </w:tc>
      </w:tr>
      <w:tr>
        <w:tc>
          <w:tcPr>
            <w:tcW w:type="dxa" w:w="2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Follow-up Question</w:t>
            </w:r>
          </w:p>
        </w:tc>
        <w:tc>
          <w:tcPr>
            <w:tcW w:type="dxa" w:w="3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A question that directly builds on something they just said. The most important move in the toolkit.</w:t>
            </w:r>
          </w:p>
        </w:tc>
        <w:tc>
          <w:tcPr>
            <w:tcW w:type="dxa" w:w="42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“You mentioned X — what was that like?”</w:t>
            </w:r>
          </w:p>
        </w:tc>
      </w:tr>
      <w:tr>
        <w:tc>
          <w:tcPr>
            <w:tcW w:type="dxa" w:w="2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Personal Connection</w:t>
            </w:r>
          </w:p>
        </w:tc>
        <w:tc>
          <w:tcPr>
            <w:tcW w:type="dxa" w:w="3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Briefly connecting their experience to your own to build rapport. Keep it short — don’t make it about you.</w:t>
            </w:r>
          </w:p>
        </w:tc>
        <w:tc>
          <w:tcPr>
            <w:tcW w:type="dxa" w:w="428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“I’ve felt that too. When you say…”</w:t>
            </w:r>
          </w:p>
        </w:tc>
      </w:tr>
      <w:tr>
        <w:tc>
          <w:tcPr>
            <w:tcW w:type="dxa" w:w="2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Reflection / Naming</w:t>
            </w:r>
          </w:p>
        </w:tc>
        <w:tc>
          <w:tcPr>
            <w:tcW w:type="dxa" w:w="3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Naming the emotion or significance of what they’ve described. Shows you’re really listening.</w:t>
            </w:r>
          </w:p>
        </w:tc>
        <w:tc>
          <w:tcPr>
            <w:tcW w:type="dxa" w:w="42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“That sounds like it was really hard.” / “What was that like?”</w:t>
            </w:r>
          </w:p>
        </w:tc>
      </w:tr>
      <w:tr>
        <w:tc>
          <w:tcPr>
            <w:tcW w:type="dxa" w:w="2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Nudge of Encouragement</w:t>
            </w:r>
          </w:p>
        </w:tc>
        <w:tc>
          <w:tcPr>
            <w:tcW w:type="dxa" w:w="3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A minimal signal that you’re present and they should keep going. One at a time — two in a row without a question is flagged.</w:t>
            </w:r>
          </w:p>
        </w:tc>
        <w:tc>
          <w:tcPr>
            <w:tcW w:type="dxa" w:w="428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“Mm-hmm.” / “Yeah.” / “Say more about that.”</w:t>
            </w:r>
          </w:p>
        </w:tc>
      </w:tr>
      <w:tr>
        <w:tc>
          <w:tcPr>
            <w:tcW w:type="dxa" w:w="2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Summarizing / Closing</w:t>
            </w:r>
          </w:p>
        </w:tc>
        <w:tc>
          <w:tcPr>
            <w:tcW w:type="dxa" w:w="3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Wrapping up the interview by recapping themes or giving the subject a final chance to add anything.</w:t>
            </w:r>
          </w:p>
        </w:tc>
        <w:tc>
          <w:tcPr>
            <w:tcW w:type="dxa" w:w="42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“Those are all my questions — is there anything I haven’t asked?”</w:t>
            </w:r>
          </w:p>
        </w:tc>
      </w:tr>
      <w:tr>
        <w:tc>
          <w:tcPr>
            <w:tcW w:type="dxa" w:w="2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Asking for Specific Memory</w:t>
            </w:r>
          </w:p>
        </w:tc>
        <w:tc>
          <w:tcPr>
            <w:tcW w:type="dxa" w:w="3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Asking them to retrieve a particular moment or scene rather than a generalization.</w:t>
            </w:r>
          </w:p>
        </w:tc>
        <w:tc>
          <w:tcPr>
            <w:tcW w:type="dxa" w:w="428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“Is there a specific time you can remember when…?”</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Structural Moves — How You Navigate</w:t>
      </w:r>
    </w:p>
    <w:p>
      <w:pPr>
        <w:spacing w:after="0" w:before="80"/>
      </w:pPr>
    </w:p>
    <w:p>
      <w:pPr>
        <w:spacing w:after="80" w:before="80"/>
      </w:pPr>
      <w:r>
        <w:rPr>
          <w:rFonts w:ascii="Arial" w:cs="Arial" w:eastAsia="Arial" w:hAnsi="Arial"/>
          <w:sz w:val="20"/>
          <w:szCs w:val="20"/>
        </w:rPr>
        <w:t xml:space="preserve">Structural moves are about how you manage the shape of the conversation — how you enter a topic, transition between them, and recover when things drift.</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c>
          <w:tcPr>
            <w:tcW w:type="dxa" w:w="24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Move</w:t>
            </w:r>
          </w:p>
        </w:tc>
        <w:tc>
          <w:tcPr>
            <w:tcW w:type="dxa" w:w="34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What It Means</w:t>
            </w:r>
          </w:p>
        </w:tc>
        <w:tc>
          <w:tcPr>
            <w:tcW w:type="dxa" w:w="428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Example</w:t>
            </w:r>
          </w:p>
        </w:tc>
      </w:tr>
      <w:tr>
        <w:tc>
          <w:tcPr>
            <w:tcW w:type="dxa" w:w="2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On-Ramp</w:t>
            </w:r>
          </w:p>
        </w:tc>
        <w:tc>
          <w:tcPr>
            <w:tcW w:type="dxa" w:w="3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A gentle entry into a topic — usually referencing something they said to open a new line of questioning.</w:t>
            </w:r>
          </w:p>
        </w:tc>
        <w:tc>
          <w:tcPr>
            <w:tcW w:type="dxa" w:w="428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“You mentioned earlier that… I wanted to ask about that.”</w:t>
            </w:r>
          </w:p>
        </w:tc>
      </w:tr>
      <w:tr>
        <w:tc>
          <w:tcPr>
            <w:tcW w:type="dxa" w:w="2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Circling Back</w:t>
            </w:r>
          </w:p>
        </w:tc>
        <w:tc>
          <w:tcPr>
            <w:tcW w:type="dxa" w:w="3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Returning to something said earlier that deserved more attention.</w:t>
            </w:r>
          </w:p>
        </w:tc>
        <w:tc>
          <w:tcPr>
            <w:tcW w:type="dxa" w:w="42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“Going back to something you said before…”</w:t>
            </w:r>
          </w:p>
        </w:tc>
      </w:tr>
      <w:tr>
        <w:tc>
          <w:tcPr>
            <w:tcW w:type="dxa" w:w="2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Smooth Bridge</w:t>
            </w:r>
          </w:p>
        </w:tc>
        <w:tc>
          <w:tcPr>
            <w:tcW w:type="dxa" w:w="340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Connecting one topic to the next without it feeling like a hard stop.</w:t>
            </w:r>
          </w:p>
        </w:tc>
        <w:tc>
          <w:tcPr>
            <w:tcW w:type="dxa" w:w="4280"/>
            <w:tcBorders>
              <w:top w:val="single" w:color="ddd9cc" w:sz="4"/>
              <w:left w:val="single" w:color="ddd9cc" w:sz="4"/>
              <w:bottom w:val="single" w:color="ddd9cc" w:sz="4"/>
              <w:right w:val="single" w:color="ddd9cc" w:sz="4"/>
            </w:tcBorders>
            <w:shd w:fill="f5f3ec"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“Speaking of…” / “That actually connects to something I wanted to ask.”</w:t>
            </w:r>
          </w:p>
        </w:tc>
      </w:tr>
      <w:tr>
        <w:tc>
          <w:tcPr>
            <w:tcW w:type="dxa" w:w="2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b/>
                <w:bCs/>
                <w:color w:val="2a2a1e"/>
                <w:sz w:val="19"/>
                <w:szCs w:val="19"/>
              </w:rPr>
              <w:t xml:space="preserve">Skilled Pivot</w:t>
            </w:r>
          </w:p>
        </w:tc>
        <w:tc>
          <w:tcPr>
            <w:tcW w:type="dxa" w:w="34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A deliberate shift to a new topic when the current one has run its course.</w:t>
            </w:r>
          </w:p>
        </w:tc>
        <w:tc>
          <w:tcPr>
            <w:tcW w:type="dxa" w:w="42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“Let’s shift to…” / “On a different note…”</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Question Levels — L1, L2, L3</w:t>
      </w:r>
    </w:p>
    <w:p>
      <w:pPr>
        <w:spacing w:after="0" w:before="80"/>
      </w:pPr>
    </w:p>
    <w:p>
      <w:pPr>
        <w:spacing w:after="80" w:before="80"/>
      </w:pPr>
      <w:r>
        <w:rPr>
          <w:rFonts w:ascii="Arial" w:cs="Arial" w:eastAsia="Arial" w:hAnsi="Arial"/>
          <w:sz w:val="20"/>
          <w:szCs w:val="20"/>
        </w:rPr>
        <w:t xml:space="preserve">Every question you ask gets classified by depth. A strong interview shows progression: you start broad, gather detail, then push toward meaning. Don’t stay on the surface the whole time.</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3480"/>
      </w:tblGrid>
      <w:tr>
        <w:tc>
          <w:tcPr>
            <w:tcW w:type="dxa" w:w="12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Level</w:t>
            </w:r>
          </w:p>
        </w:tc>
        <w:tc>
          <w:tcPr>
            <w:tcW w:type="dxa" w:w="22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Name</w:t>
            </w:r>
          </w:p>
        </w:tc>
        <w:tc>
          <w:tcPr>
            <w:tcW w:type="dxa" w:w="320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What You’re After</w:t>
            </w:r>
          </w:p>
        </w:tc>
        <w:tc>
          <w:tcPr>
            <w:tcW w:type="dxa" w:w="3480"/>
            <w:tcBorders>
              <w:top w:val="single" w:color="2a2a1e" w:sz="4"/>
              <w:left w:val="single" w:color="2a2a1e" w:sz="4"/>
              <w:bottom w:val="single" w:color="2a2a1e" w:sz="4"/>
              <w:right w:val="single" w:color="2a2a1e" w:sz="4"/>
            </w:tcBorders>
            <w:shd w:fill="2a2a1e" w:val="clear"/>
            <w:tcMar>
              <w:top w:type="dxa" w:w="80"/>
              <w:left w:type="dxa" w:w="120"/>
              <w:bottom w:type="dxa" w:w="80"/>
              <w:right w:type="dxa" w:w="120"/>
            </w:tcMar>
          </w:tcPr>
          <w:p>
            <w:pPr>
              <w:spacing w:after="0" w:before="0"/>
            </w:pPr>
            <w:r>
              <w:rPr>
                <w:rFonts w:ascii="Arial" w:cs="Arial" w:eastAsia="Arial" w:hAnsi="Arial"/>
                <w:b/>
                <w:bCs/>
                <w:caps/>
                <w:color w:val="FFFFFF"/>
                <w:sz w:val="18"/>
                <w:szCs w:val="18"/>
              </w:rPr>
              <w:t xml:space="preserve">Example</w:t>
            </w:r>
          </w:p>
        </w:tc>
      </w:tr>
      <w:tr>
        <w:tc>
          <w:tcPr>
            <w:tcW w:type="dxa" w:w="1200"/>
            <w:tcBorders>
              <w:top w:val="single" w:color="ddd9cc" w:sz="4"/>
              <w:left w:val="single" w:color="ddd9cc" w:sz="4"/>
              <w:bottom w:val="single" w:color="ddd9cc" w:sz="4"/>
              <w:right w:val="single" w:color="ddd9cc" w:sz="4"/>
            </w:tcBorders>
            <w:shd w:fill="d0ecf7" w:val="clear"/>
            <w:tcMar>
              <w:top w:type="dxa" w:w="80"/>
              <w:left w:type="dxa" w:w="120"/>
              <w:bottom w:type="dxa" w:w="80"/>
              <w:right w:type="dxa" w:w="120"/>
            </w:tcMar>
          </w:tcPr>
          <w:p>
            <w:pPr>
              <w:spacing w:after="0" w:before="0"/>
            </w:pPr>
            <w:r>
              <w:rPr>
                <w:rFonts w:ascii="Arial" w:cs="Arial" w:eastAsia="Arial" w:hAnsi="Arial"/>
                <w:b/>
                <w:bCs/>
                <w:color w:val="0d4a72"/>
                <w:sz w:val="19"/>
                <w:szCs w:val="19"/>
              </w:rPr>
              <w:t xml:space="preserve">L1</w:t>
            </w:r>
          </w:p>
        </w:tc>
        <w:tc>
          <w:tcPr>
            <w:tcW w:type="dxa" w:w="2200"/>
            <w:tcBorders>
              <w:top w:val="single" w:color="ddd9cc" w:sz="4"/>
              <w:left w:val="single" w:color="ddd9cc" w:sz="4"/>
              <w:bottom w:val="single" w:color="ddd9cc" w:sz="4"/>
              <w:right w:val="single" w:color="ddd9cc" w:sz="4"/>
            </w:tcBorders>
            <w:shd w:fill="d0ecf7" w:val="clear"/>
            <w:tcMar>
              <w:top w:type="dxa" w:w="80"/>
              <w:left w:type="dxa" w:w="120"/>
              <w:bottom w:type="dxa" w:w="80"/>
              <w:right w:type="dxa" w:w="120"/>
            </w:tcMar>
          </w:tcPr>
          <w:p>
            <w:pPr>
              <w:spacing w:after="0" w:before="0"/>
            </w:pPr>
            <w:r>
              <w:rPr>
                <w:rFonts w:ascii="Arial" w:cs="Arial" w:eastAsia="Arial" w:hAnsi="Arial"/>
                <w:b/>
                <w:bCs/>
                <w:color w:val="0d4a72"/>
                <w:sz w:val="19"/>
                <w:szCs w:val="19"/>
              </w:rPr>
              <w:t xml:space="preserve">Open the Door</w:t>
            </w:r>
          </w:p>
        </w:tc>
        <w:tc>
          <w:tcPr>
            <w:tcW w:type="dxa" w:w="32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Safe, broad, tone-setting. You’re warming the room and giving your subject an easy entry point. Use these at the start.</w:t>
            </w:r>
          </w:p>
        </w:tc>
        <w:tc>
          <w:tcPr>
            <w:tcW w:type="dxa" w:w="34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“Tell me about yourself.” / “What did your neighborhood look like when you were young?”</w:t>
            </w:r>
          </w:p>
        </w:tc>
      </w:tr>
      <w:tr>
        <w:tc>
          <w:tcPr>
            <w:tcW w:type="dxa" w:w="1200"/>
            <w:tcBorders>
              <w:top w:val="single" w:color="ddd9cc" w:sz="4"/>
              <w:left w:val="single" w:color="ddd9cc" w:sz="4"/>
              <w:bottom w:val="single" w:color="ddd9cc" w:sz="4"/>
              <w:right w:val="single" w:color="ddd9cc" w:sz="4"/>
            </w:tcBorders>
            <w:shd w:fill="dff5e1" w:val="clear"/>
            <w:tcMar>
              <w:top w:type="dxa" w:w="80"/>
              <w:left w:type="dxa" w:w="120"/>
              <w:bottom w:type="dxa" w:w="80"/>
              <w:right w:type="dxa" w:w="120"/>
            </w:tcMar>
          </w:tcPr>
          <w:p>
            <w:pPr>
              <w:spacing w:after="0" w:before="0"/>
            </w:pPr>
            <w:r>
              <w:rPr>
                <w:rFonts w:ascii="Arial" w:cs="Arial" w:eastAsia="Arial" w:hAnsi="Arial"/>
                <w:b/>
                <w:bCs/>
                <w:color w:val="0f4020"/>
                <w:sz w:val="19"/>
                <w:szCs w:val="19"/>
              </w:rPr>
              <w:t xml:space="preserve">L2</w:t>
            </w:r>
          </w:p>
        </w:tc>
        <w:tc>
          <w:tcPr>
            <w:tcW w:type="dxa" w:w="2200"/>
            <w:tcBorders>
              <w:top w:val="single" w:color="ddd9cc" w:sz="4"/>
              <w:left w:val="single" w:color="ddd9cc" w:sz="4"/>
              <w:bottom w:val="single" w:color="ddd9cc" w:sz="4"/>
              <w:right w:val="single" w:color="ddd9cc" w:sz="4"/>
            </w:tcBorders>
            <w:shd w:fill="dff5e1" w:val="clear"/>
            <w:tcMar>
              <w:top w:type="dxa" w:w="80"/>
              <w:left w:type="dxa" w:w="120"/>
              <w:bottom w:type="dxa" w:w="80"/>
              <w:right w:type="dxa" w:w="120"/>
            </w:tcMar>
          </w:tcPr>
          <w:p>
            <w:pPr>
              <w:spacing w:after="0" w:before="0"/>
            </w:pPr>
            <w:r>
              <w:rPr>
                <w:rFonts w:ascii="Arial" w:cs="Arial" w:eastAsia="Arial" w:hAnsi="Arial"/>
                <w:b/>
                <w:bCs/>
                <w:color w:val="0f4020"/>
                <w:sz w:val="19"/>
                <w:szCs w:val="19"/>
              </w:rPr>
              <w:t xml:space="preserve">Gather Details</w:t>
            </w:r>
          </w:p>
        </w:tc>
        <w:tc>
          <w:tcPr>
            <w:tcW w:type="dxa" w:w="32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Specific: sequence, names, process, timeline. You’re building the factual architecture of the story.</w:t>
            </w:r>
          </w:p>
        </w:tc>
        <w:tc>
          <w:tcPr>
            <w:tcW w:type="dxa" w:w="34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“Walk me through what happened.” / “Who else was there?” / “How did that actually work?”</w:t>
            </w:r>
          </w:p>
        </w:tc>
      </w:tr>
      <w:tr>
        <w:tc>
          <w:tcPr>
            <w:tcW w:type="dxa" w:w="1200"/>
            <w:tcBorders>
              <w:top w:val="single" w:color="ddd9cc" w:sz="4"/>
              <w:left w:val="single" w:color="ddd9cc" w:sz="4"/>
              <w:bottom w:val="single" w:color="ddd9cc" w:sz="4"/>
              <w:right w:val="single" w:color="ddd9cc" w:sz="4"/>
            </w:tcBorders>
            <w:shd w:fill="e8d5f5" w:val="clear"/>
            <w:tcMar>
              <w:top w:type="dxa" w:w="80"/>
              <w:left w:type="dxa" w:w="120"/>
              <w:bottom w:type="dxa" w:w="80"/>
              <w:right w:type="dxa" w:w="120"/>
            </w:tcMar>
          </w:tcPr>
          <w:p>
            <w:pPr>
              <w:spacing w:after="0" w:before="0"/>
            </w:pPr>
            <w:r>
              <w:rPr>
                <w:rFonts w:ascii="Arial" w:cs="Arial" w:eastAsia="Arial" w:hAnsi="Arial"/>
                <w:b/>
                <w:bCs/>
                <w:color w:val="4a1a70"/>
                <w:sz w:val="19"/>
                <w:szCs w:val="19"/>
              </w:rPr>
              <w:t xml:space="preserve">L3</w:t>
            </w:r>
          </w:p>
        </w:tc>
        <w:tc>
          <w:tcPr>
            <w:tcW w:type="dxa" w:w="2200"/>
            <w:tcBorders>
              <w:top w:val="single" w:color="ddd9cc" w:sz="4"/>
              <w:left w:val="single" w:color="ddd9cc" w:sz="4"/>
              <w:bottom w:val="single" w:color="ddd9cc" w:sz="4"/>
              <w:right w:val="single" w:color="ddd9cc" w:sz="4"/>
            </w:tcBorders>
            <w:shd w:fill="e8d5f5" w:val="clear"/>
            <w:tcMar>
              <w:top w:type="dxa" w:w="80"/>
              <w:left w:type="dxa" w:w="120"/>
              <w:bottom w:type="dxa" w:w="80"/>
              <w:right w:type="dxa" w:w="120"/>
            </w:tcMar>
          </w:tcPr>
          <w:p>
            <w:pPr>
              <w:spacing w:after="0" w:before="0"/>
            </w:pPr>
            <w:r>
              <w:rPr>
                <w:rFonts w:ascii="Arial" w:cs="Arial" w:eastAsia="Arial" w:hAnsi="Arial"/>
                <w:b/>
                <w:bCs/>
                <w:color w:val="4a1a70"/>
                <w:sz w:val="19"/>
                <w:szCs w:val="19"/>
              </w:rPr>
              <w:t xml:space="preserve">Unlock the Meaning</w:t>
            </w:r>
          </w:p>
        </w:tc>
        <w:tc>
          <w:tcPr>
            <w:tcW w:type="dxa" w:w="320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color w:val="2a2a1e"/>
                <w:sz w:val="19"/>
                <w:szCs w:val="19"/>
              </w:rPr>
              <w:t xml:space="preserve">Reflection, significance, change. You’re asking what it meant — not just what happened. These are the hardest to ask and the most important.</w:t>
            </w:r>
          </w:p>
        </w:tc>
        <w:tc>
          <w:tcPr>
            <w:tcW w:type="dxa" w:w="3480"/>
            <w:tcBorders>
              <w:top w:val="single" w:color="ddd9cc" w:sz="4"/>
              <w:left w:val="single" w:color="ddd9cc" w:sz="4"/>
              <w:bottom w:val="single" w:color="ddd9cc" w:sz="4"/>
              <w:right w:val="single" w:color="ddd9cc" w:sz="4"/>
            </w:tcBorders>
            <w:shd w:fill="FFFFFF" w:val="clear"/>
            <w:tcMar>
              <w:top w:type="dxa" w:w="80"/>
              <w:left w:type="dxa" w:w="120"/>
              <w:bottom w:type="dxa" w:w="80"/>
              <w:right w:type="dxa" w:w="120"/>
            </w:tcMar>
          </w:tcPr>
          <w:p>
            <w:pPr>
              <w:spacing w:after="0" w:before="0"/>
            </w:pPr>
            <w:r>
              <w:rPr>
                <w:rFonts w:ascii="Arial" w:cs="Arial" w:eastAsia="Arial" w:hAnsi="Arial"/>
                <w:i/>
                <w:iCs/>
                <w:color w:val="444444"/>
                <w:sz w:val="19"/>
                <w:szCs w:val="19"/>
              </w:rPr>
              <w:t xml:space="preserve">“What did that teach you?” / “How has that shaped how you see things now?” / “Looking back, what do you wish you’d known?”</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Filler Words — What the Tool Flags</w:t>
      </w:r>
    </w:p>
    <w:p>
      <w:pPr>
        <w:spacing w:after="0" w:before="80"/>
      </w:pPr>
    </w:p>
    <w:p>
      <w:pPr>
        <w:spacing w:after="80" w:before="80"/>
      </w:pPr>
      <w:r>
        <w:rPr>
          <w:rFonts w:ascii="Arial" w:cs="Arial" w:eastAsia="Arial" w:hAnsi="Arial"/>
          <w:sz w:val="20"/>
          <w:szCs w:val="20"/>
        </w:rPr>
        <w:t xml:space="preserve">The analyzer tracks your filler word rate as a percentage of total words you spoke. The standard is tight: </w:t>
      </w:r>
      <w:r>
        <w:rPr>
          <w:rFonts w:ascii="Arial" w:cs="Arial" w:eastAsia="Arial" w:hAnsi="Arial"/>
          <w:b/>
          <w:bCs/>
          <w:sz w:val="20"/>
          <w:szCs w:val="20"/>
        </w:rPr>
        <w:t xml:space="preserve">under 1% = full marks. Every 1% above that costs a point.</w:t>
      </w:r>
      <w:r>
        <w:rPr>
          <w:rFonts w:ascii="Arial" w:cs="Arial" w:eastAsia="Arial" w:hAnsi="Arial"/>
          <w:sz w:val="20"/>
          <w:szCs w:val="20"/>
        </w:rPr>
        <w:t xml:space="preserve"> The fix is simple: pause instead of filling. A beat of silence is not awkward — it signals that you’re thinking.</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2020" w:sz="4"/>
              <w:left w:val="single" w:color="b02020" w:sz="4"/>
              <w:bottom w:val="single" w:color="b02020" w:sz="4"/>
              <w:right w:val="single" w:color="b02020" w:sz="4"/>
            </w:tcBorders>
            <w:shd w:fill="ffd6d6" w:val="clear"/>
            <w:tcMar>
              <w:top w:type="dxa" w:w="100"/>
              <w:left w:type="dxa" w:w="140"/>
              <w:bottom w:type="dxa" w:w="100"/>
              <w:right w:type="dxa" w:w="140"/>
            </w:tcMar>
          </w:tcPr>
          <w:p>
            <w:pPr>
              <w:spacing w:after="60" w:before="0"/>
            </w:pPr>
            <w:r>
              <w:rPr>
                <w:rFonts w:ascii="Arial" w:cs="Arial" w:eastAsia="Arial" w:hAnsi="Arial"/>
                <w:b/>
                <w:bCs/>
                <w:caps/>
                <w:color w:val="b02020"/>
                <w:sz w:val="18"/>
                <w:szCs w:val="18"/>
              </w:rPr>
              <w:t xml:space="preserve">Flagged Words</w:t>
            </w:r>
          </w:p>
          <w:p>
            <w:pPr>
              <w:spacing w:after="0" w:before="0"/>
            </w:pPr>
            <w:r>
              <w:rPr>
                <w:rFonts w:ascii="Courier New" w:cs="Courier New" w:eastAsia="Courier New" w:hAnsi="Courier New"/>
                <w:color w:val="6a0000"/>
                <w:sz w:val="19"/>
                <w:szCs w:val="19"/>
              </w:rPr>
              <w:t xml:space="preserve">um · uh · like · you know · you know what I mean · I mean · sort of · kind of · basically · literally · right · okay · so · well · anyway</w:t>
            </w:r>
          </w:p>
          <w:p>
            <w:pPr>
              <w:spacing w:after="0" w:before="60"/>
            </w:pPr>
          </w:p>
          <w:p>
            <w:pPr>
              <w:spacing w:after="0" w:before="0"/>
            </w:pPr>
            <w:r>
              <w:rPr>
                <w:rFonts w:ascii="Arial" w:cs="Arial" w:eastAsia="Arial" w:hAnsi="Arial"/>
                <w:b/>
                <w:bCs/>
                <w:color w:val="b02020"/>
                <w:sz w:val="19"/>
                <w:szCs w:val="19"/>
              </w:rPr>
              <w:t xml:space="preserve">Note: </w:t>
            </w:r>
            <w:r>
              <w:rPr>
                <w:rFonts w:ascii="Arial" w:cs="Arial" w:eastAsia="Arial" w:hAnsi="Arial"/>
                <w:i/>
                <w:iCs/>
                <w:color w:val="6a0000"/>
                <w:sz w:val="19"/>
                <w:szCs w:val="19"/>
              </w:rPr>
              <w:t xml:space="preserve">“so”, “right”, and “okay” are only flagged when used as filler, not when they’re part of a genuine sentence.</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ddd9cc" w:sz="4"/>
              <w:left w:val="single" w:color="ddd9cc" w:sz="4"/>
              <w:bottom w:val="single" w:color="ddd9cc" w:sz="4"/>
              <w:right w:val="single" w:color="ddd9cc" w:sz="4"/>
            </w:tcBorders>
            <w:shd w:fill="dff5e1" w:val="clear"/>
            <w:tcMar>
              <w:top w:type="dxa" w:w="80"/>
              <w:left w:type="dxa" w:w="80"/>
              <w:bottom w:type="dxa" w:w="80"/>
              <w:right w:type="dxa" w:w="80"/>
            </w:tcMar>
          </w:tcPr>
          <w:p>
            <w:pPr>
              <w:spacing w:after="0" w:before="0"/>
              <w:jc w:val="center"/>
            </w:pPr>
            <w:r>
              <w:rPr>
                <w:rFonts w:ascii="Arial" w:cs="Arial" w:eastAsia="Arial" w:hAnsi="Arial"/>
                <w:b/>
                <w:bCs/>
                <w:color w:val="2a7a40"/>
                <w:sz w:val="19"/>
                <w:szCs w:val="19"/>
              </w:rPr>
              <w:t xml:space="preserve">Under 1%</w:t>
            </w:r>
          </w:p>
          <w:p>
            <w:pPr>
              <w:spacing w:after="0" w:before="0"/>
              <w:jc w:val="center"/>
            </w:pPr>
            <w:r>
              <w:rPr>
                <w:rFonts w:ascii="Arial" w:cs="Arial" w:eastAsia="Arial" w:hAnsi="Arial"/>
                <w:color w:val="2a7a40"/>
                <w:sz w:val="19"/>
                <w:szCs w:val="19"/>
              </w:rPr>
              <w:t xml:space="preserve">5/5</w:t>
            </w:r>
          </w:p>
        </w:tc>
        <w:tc>
          <w:tcPr>
            <w:tcW w:type="dxa" w:w="2016"/>
            <w:tcBorders>
              <w:top w:val="single" w:color="ddd9cc" w:sz="4"/>
              <w:left w:val="single" w:color="ddd9cc" w:sz="4"/>
              <w:bottom w:val="single" w:color="ddd9cc" w:sz="4"/>
              <w:right w:val="single" w:color="ddd9cc" w:sz="4"/>
            </w:tcBorders>
            <w:shd w:fill="f5f3ec" w:val="clear"/>
            <w:tcMar>
              <w:top w:type="dxa" w:w="80"/>
              <w:left w:type="dxa" w:w="80"/>
              <w:bottom w:type="dxa" w:w="80"/>
              <w:right w:type="dxa" w:w="80"/>
            </w:tcMar>
          </w:tcPr>
          <w:p>
            <w:pPr>
              <w:spacing w:after="0" w:before="0"/>
              <w:jc w:val="center"/>
            </w:pPr>
            <w:r>
              <w:rPr>
                <w:rFonts w:ascii="Arial" w:cs="Arial" w:eastAsia="Arial" w:hAnsi="Arial"/>
                <w:b/>
                <w:bCs/>
                <w:color w:val="2a2a1e"/>
                <w:sz w:val="19"/>
                <w:szCs w:val="19"/>
              </w:rPr>
              <w:t xml:space="preserve">1–2%</w:t>
            </w:r>
          </w:p>
          <w:p>
            <w:pPr>
              <w:spacing w:after="0" w:before="0"/>
              <w:jc w:val="center"/>
            </w:pPr>
            <w:r>
              <w:rPr>
                <w:rFonts w:ascii="Arial" w:cs="Arial" w:eastAsia="Arial" w:hAnsi="Arial"/>
                <w:color w:val="2a2a1e"/>
                <w:sz w:val="19"/>
                <w:szCs w:val="19"/>
              </w:rPr>
              <w:t xml:space="preserve">4/5</w:t>
            </w:r>
          </w:p>
        </w:tc>
        <w:tc>
          <w:tcPr>
            <w:tcW w:type="dxa" w:w="2016"/>
            <w:tcBorders>
              <w:top w:val="single" w:color="ddd9cc" w:sz="4"/>
              <w:left w:val="single" w:color="ddd9cc" w:sz="4"/>
              <w:bottom w:val="single" w:color="ddd9cc" w:sz="4"/>
              <w:right w:val="single" w:color="ddd9cc" w:sz="4"/>
            </w:tcBorders>
            <w:shd w:fill="fff0d4" w:val="clear"/>
            <w:tcMar>
              <w:top w:type="dxa" w:w="80"/>
              <w:left w:type="dxa" w:w="80"/>
              <w:bottom w:type="dxa" w:w="80"/>
              <w:right w:type="dxa" w:w="80"/>
            </w:tcMar>
          </w:tcPr>
          <w:p>
            <w:pPr>
              <w:spacing w:after="0" w:before="0"/>
              <w:jc w:val="center"/>
            </w:pPr>
            <w:r>
              <w:rPr>
                <w:rFonts w:ascii="Arial" w:cs="Arial" w:eastAsia="Arial" w:hAnsi="Arial"/>
                <w:b/>
                <w:bCs/>
                <w:color w:val="b07a00"/>
                <w:sz w:val="19"/>
                <w:szCs w:val="19"/>
              </w:rPr>
              <w:t xml:space="preserve">2–3%</w:t>
            </w:r>
          </w:p>
          <w:p>
            <w:pPr>
              <w:spacing w:after="0" w:before="0"/>
              <w:jc w:val="center"/>
            </w:pPr>
            <w:r>
              <w:rPr>
                <w:rFonts w:ascii="Arial" w:cs="Arial" w:eastAsia="Arial" w:hAnsi="Arial"/>
                <w:color w:val="b07a00"/>
                <w:sz w:val="19"/>
                <w:szCs w:val="19"/>
              </w:rPr>
              <w:t xml:space="preserve">3/5</w:t>
            </w:r>
          </w:p>
        </w:tc>
        <w:tc>
          <w:tcPr>
            <w:tcW w:type="dxa" w:w="2016"/>
            <w:tcBorders>
              <w:top w:val="single" w:color="ddd9cc" w:sz="4"/>
              <w:left w:val="single" w:color="ddd9cc" w:sz="4"/>
              <w:bottom w:val="single" w:color="ddd9cc" w:sz="4"/>
              <w:right w:val="single" w:color="ddd9cc" w:sz="4"/>
            </w:tcBorders>
            <w:shd w:fill="fde8d8" w:val="clear"/>
            <w:tcMar>
              <w:top w:type="dxa" w:w="80"/>
              <w:left w:type="dxa" w:w="80"/>
              <w:bottom w:type="dxa" w:w="80"/>
              <w:right w:type="dxa" w:w="80"/>
            </w:tcMar>
          </w:tcPr>
          <w:p>
            <w:pPr>
              <w:spacing w:after="0" w:before="0"/>
              <w:jc w:val="center"/>
            </w:pPr>
            <w:r>
              <w:rPr>
                <w:rFonts w:ascii="Arial" w:cs="Arial" w:eastAsia="Arial" w:hAnsi="Arial"/>
                <w:b/>
                <w:bCs/>
                <w:color w:val="c0622a"/>
                <w:sz w:val="19"/>
                <w:szCs w:val="19"/>
              </w:rPr>
              <w:t xml:space="preserve">3–4%</w:t>
            </w:r>
          </w:p>
          <w:p>
            <w:pPr>
              <w:spacing w:after="0" w:before="0"/>
              <w:jc w:val="center"/>
            </w:pPr>
            <w:r>
              <w:rPr>
                <w:rFonts w:ascii="Arial" w:cs="Arial" w:eastAsia="Arial" w:hAnsi="Arial"/>
                <w:color w:val="c0622a"/>
                <w:sz w:val="19"/>
                <w:szCs w:val="19"/>
              </w:rPr>
              <w:t xml:space="preserve">2/5</w:t>
            </w:r>
          </w:p>
        </w:tc>
        <w:tc>
          <w:tcPr>
            <w:tcW w:type="dxa" w:w="2016"/>
            <w:tcBorders>
              <w:top w:val="single" w:color="ddd9cc" w:sz="4"/>
              <w:left w:val="single" w:color="ddd9cc" w:sz="4"/>
              <w:bottom w:val="single" w:color="ddd9cc" w:sz="4"/>
              <w:right w:val="single" w:color="ddd9cc" w:sz="4"/>
            </w:tcBorders>
            <w:shd w:fill="ffd6d6" w:val="clear"/>
            <w:tcMar>
              <w:top w:type="dxa" w:w="80"/>
              <w:left w:type="dxa" w:w="80"/>
              <w:bottom w:type="dxa" w:w="80"/>
              <w:right w:type="dxa" w:w="80"/>
            </w:tcMar>
          </w:tcPr>
          <w:p>
            <w:pPr>
              <w:spacing w:after="0" w:before="0"/>
              <w:jc w:val="center"/>
            </w:pPr>
            <w:r>
              <w:rPr>
                <w:rFonts w:ascii="Arial" w:cs="Arial" w:eastAsia="Arial" w:hAnsi="Arial"/>
                <w:b/>
                <w:bCs/>
                <w:color w:val="b02020"/>
                <w:sz w:val="19"/>
                <w:szCs w:val="19"/>
              </w:rPr>
              <w:t xml:space="preserve">4%+</w:t>
            </w:r>
          </w:p>
          <w:p>
            <w:pPr>
              <w:spacing w:after="0" w:before="0"/>
              <w:jc w:val="center"/>
            </w:pPr>
            <w:r>
              <w:rPr>
                <w:rFonts w:ascii="Arial" w:cs="Arial" w:eastAsia="Arial" w:hAnsi="Arial"/>
                <w:color w:val="b02020"/>
                <w:sz w:val="19"/>
                <w:szCs w:val="19"/>
              </w:rPr>
              <w:t xml:space="preserve">1/5</w:t>
            </w:r>
          </w:p>
        </w:tc>
      </w:tr>
    </w:tbl>
    <w:p>
      <w:pPr>
        <w:spacing w:after="0" w:before="160"/>
      </w:pPr>
    </w:p>
    <w:p>
      <w:pPr>
        <w:pBdr>
          <w:bottom w:val="single" w:color="ddd9cc" w:sz="6"/>
        </w:pBdr>
        <w:spacing w:after="80" w:before="200"/>
      </w:pPr>
      <w:r>
        <w:rPr>
          <w:rFonts w:ascii="Arial" w:cs="Arial" w:eastAsia="Arial" w:hAnsi="Arial"/>
          <w:b/>
          <w:bCs/>
          <w:color w:val="2a2a1e"/>
          <w:sz w:val="18"/>
          <w:szCs w:val="18"/>
        </w:rPr>
        <w:t xml:space="preserve">During the Interview — Quick Reference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2a7a40" w:sz="4"/>
              <w:left w:val="single" w:color="2a7a40" w:sz="4"/>
              <w:bottom w:val="single" w:color="2a7a40" w:sz="4"/>
              <w:right w:val="single" w:color="2a7a40" w:sz="4"/>
            </w:tcBorders>
            <w:shd w:fill="dff5e1" w:val="clear"/>
            <w:tcMar>
              <w:top w:type="dxa" w:w="80"/>
              <w:left w:type="dxa" w:w="120"/>
              <w:bottom w:type="dxa" w:w="80"/>
              <w:right w:type="dxa" w:w="120"/>
            </w:tcMar>
          </w:tcPr>
          <w:p>
            <w:pPr>
              <w:spacing w:after="0" w:before="0"/>
            </w:pPr>
            <w:r>
              <w:rPr>
                <w:rFonts w:ascii="Arial" w:cs="Arial" w:eastAsia="Arial" w:hAnsi="Arial"/>
                <w:b/>
                <w:bCs/>
                <w:caps/>
                <w:color w:val="2a7a40"/>
                <w:sz w:val="19"/>
                <w:szCs w:val="19"/>
              </w:rPr>
              <w:t xml:space="preserve">Do This</w:t>
            </w:r>
          </w:p>
        </w:tc>
        <w:tc>
          <w:tcPr>
            <w:tcW w:type="dxa" w:w="5040"/>
            <w:tcBorders>
              <w:top w:val="single" w:color="b02020" w:sz="4"/>
              <w:left w:val="single" w:color="b02020" w:sz="4"/>
              <w:bottom w:val="single" w:color="b02020" w:sz="4"/>
              <w:right w:val="single" w:color="b02020" w:sz="4"/>
            </w:tcBorders>
            <w:shd w:fill="ffd6d6" w:val="clear"/>
            <w:tcMar>
              <w:top w:type="dxa" w:w="80"/>
              <w:left w:type="dxa" w:w="120"/>
              <w:bottom w:type="dxa" w:w="80"/>
              <w:right w:type="dxa" w:w="120"/>
            </w:tcMar>
          </w:tcPr>
          <w:p>
            <w:pPr>
              <w:spacing w:after="0" w:before="0"/>
            </w:pPr>
            <w:r>
              <w:rPr>
                <w:rFonts w:ascii="Arial" w:cs="Arial" w:eastAsia="Arial" w:hAnsi="Arial"/>
                <w:b/>
                <w:bCs/>
                <w:caps/>
                <w:color w:val="b02020"/>
                <w:sz w:val="19"/>
                <w:szCs w:val="19"/>
              </w:rPr>
              <w:t xml:space="preserve">Avoid This</w:t>
            </w:r>
          </w:p>
        </w:tc>
      </w:tr>
      <w:tr>
        <w:tc>
          <w:tcPr>
            <w:tcW w:type="dxa" w:w="5040"/>
            <w:tcBorders>
              <w:top w:val="single" w:color="2a7a40" w:sz="4"/>
              <w:left w:val="single" w:color="2a7a40" w:sz="4"/>
              <w:bottom w:val="single" w:color="2a7a40" w:sz="4"/>
              <w:right w:val="single" w:color="2a7a40"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color w:val="2a2a1e"/>
                <w:sz w:val="20"/>
                <w:szCs w:val="20"/>
              </w:rPr>
              <w:t xml:space="preserve">Build from L1 → L2 → L3 as the interview progresses</w:t>
            </w:r>
          </w:p>
          <w:p>
            <w:pPr>
              <w:pStyle w:val="ListParagraph"/>
              <w:numPr>
                <w:ilvl w:val="0"/>
                <w:numId w:val="2"/>
              </w:numPr>
              <w:spacing w:after="40" w:before="40"/>
            </w:pPr>
            <w:r>
              <w:rPr>
                <w:rFonts w:ascii="Arial" w:cs="Arial" w:eastAsia="Arial" w:hAnsi="Arial"/>
                <w:color w:val="2a2a1e"/>
                <w:sz w:val="20"/>
                <w:szCs w:val="20"/>
              </w:rPr>
              <w:t xml:space="preserve">Follow up on what they actually said, not your next prepared question</w:t>
            </w:r>
          </w:p>
          <w:p>
            <w:pPr>
              <w:pStyle w:val="ListParagraph"/>
              <w:numPr>
                <w:ilvl w:val="0"/>
                <w:numId w:val="2"/>
              </w:numPr>
              <w:spacing w:after="40" w:before="40"/>
            </w:pPr>
            <w:r>
              <w:rPr>
                <w:rFonts w:ascii="Arial" w:cs="Arial" w:eastAsia="Arial" w:hAnsi="Arial"/>
                <w:color w:val="2a2a1e"/>
                <w:sz w:val="20"/>
                <w:szCs w:val="20"/>
              </w:rPr>
              <w:t xml:space="preserve">Use at least 5–6 different move types across the conversation</w:t>
            </w:r>
          </w:p>
          <w:p>
            <w:pPr>
              <w:pStyle w:val="ListParagraph"/>
              <w:numPr>
                <w:ilvl w:val="0"/>
                <w:numId w:val="2"/>
              </w:numPr>
              <w:spacing w:after="40" w:before="40"/>
            </w:pPr>
            <w:r>
              <w:rPr>
                <w:rFonts w:ascii="Arial" w:cs="Arial" w:eastAsia="Arial" w:hAnsi="Arial"/>
                <w:color w:val="2a2a1e"/>
                <w:sz w:val="20"/>
                <w:szCs w:val="20"/>
              </w:rPr>
              <w:t xml:space="preserve">Let your subject do 55–80% of the talking</w:t>
            </w:r>
          </w:p>
          <w:p>
            <w:pPr>
              <w:pStyle w:val="ListParagraph"/>
              <w:numPr>
                <w:ilvl w:val="0"/>
                <w:numId w:val="2"/>
              </w:numPr>
              <w:spacing w:after="40" w:before="40"/>
            </w:pPr>
            <w:r>
              <w:rPr>
                <w:rFonts w:ascii="Arial" w:cs="Arial" w:eastAsia="Arial" w:hAnsi="Arial"/>
                <w:color w:val="2a2a1e"/>
                <w:sz w:val="20"/>
                <w:szCs w:val="20"/>
              </w:rPr>
              <w:t xml:space="preserve">Pause before speaking — silence is not the enemy</w:t>
            </w:r>
          </w:p>
          <w:p>
            <w:pPr>
              <w:pStyle w:val="ListParagraph"/>
              <w:numPr>
                <w:ilvl w:val="0"/>
                <w:numId w:val="2"/>
              </w:numPr>
              <w:spacing w:after="40" w:before="40"/>
            </w:pPr>
            <w:r>
              <w:rPr>
                <w:rFonts w:ascii="Arial" w:cs="Arial" w:eastAsia="Arial" w:hAnsi="Arial"/>
                <w:color w:val="2a2a1e"/>
                <w:sz w:val="20"/>
                <w:szCs w:val="20"/>
              </w:rPr>
              <w:t xml:space="preserve">Ask for a specific memory when they’re speaking in generalities</w:t>
            </w:r>
          </w:p>
          <w:p>
            <w:pPr>
              <w:pStyle w:val="ListParagraph"/>
              <w:numPr>
                <w:ilvl w:val="0"/>
                <w:numId w:val="2"/>
              </w:numPr>
              <w:spacing w:after="40" w:before="40"/>
            </w:pPr>
            <w:r>
              <w:rPr>
                <w:rFonts w:ascii="Arial" w:cs="Arial" w:eastAsia="Arial" w:hAnsi="Arial"/>
                <w:color w:val="2a2a1e"/>
                <w:sz w:val="20"/>
                <w:szCs w:val="20"/>
              </w:rPr>
              <w:t xml:space="preserve">Circle back to anything that felt unfinished</w:t>
            </w:r>
          </w:p>
        </w:tc>
        <w:tc>
          <w:tcPr>
            <w:tcW w:type="dxa" w:w="5040"/>
            <w:tcBorders>
              <w:top w:val="single" w:color="b02020" w:sz="4"/>
              <w:left w:val="single" w:color="b02020" w:sz="4"/>
              <w:bottom w:val="single" w:color="b02020" w:sz="4"/>
              <w:right w:val="single" w:color="b02020" w:sz="4"/>
            </w:tcBorders>
            <w:tcMar>
              <w:top w:type="dxa" w:w="100"/>
              <w:left w:type="dxa" w:w="120"/>
              <w:bottom w:type="dxa" w:w="100"/>
              <w:right w:type="dxa" w:w="120"/>
            </w:tcMar>
          </w:tcPr>
          <w:p>
            <w:pPr>
              <w:pStyle w:val="ListParagraph"/>
              <w:numPr>
                <w:ilvl w:val="0"/>
                <w:numId w:val="2"/>
              </w:numPr>
              <w:spacing w:after="40" w:before="40"/>
            </w:pPr>
            <w:r>
              <w:rPr>
                <w:rFonts w:ascii="Arial" w:cs="Arial" w:eastAsia="Arial" w:hAnsi="Arial"/>
                <w:color w:val="2a2a1e"/>
                <w:sz w:val="20"/>
                <w:szCs w:val="20"/>
              </w:rPr>
              <w:t xml:space="preserve">Stay at L1 the whole conversation — push deeper</w:t>
            </w:r>
          </w:p>
          <w:p>
            <w:pPr>
              <w:pStyle w:val="ListParagraph"/>
              <w:numPr>
                <w:ilvl w:val="0"/>
                <w:numId w:val="2"/>
              </w:numPr>
              <w:spacing w:after="40" w:before="40"/>
            </w:pPr>
            <w:r>
              <w:rPr>
                <w:rFonts w:ascii="Arial" w:cs="Arial" w:eastAsia="Arial" w:hAnsi="Arial"/>
                <w:color w:val="2a2a1e"/>
                <w:sz w:val="20"/>
                <w:szCs w:val="20"/>
              </w:rPr>
              <w:t xml:space="preserve">Use two encouragers in a row without asking a question</w:t>
            </w:r>
          </w:p>
          <w:p>
            <w:pPr>
              <w:pStyle w:val="ListParagraph"/>
              <w:numPr>
                <w:ilvl w:val="0"/>
                <w:numId w:val="2"/>
              </w:numPr>
              <w:spacing w:after="40" w:before="40"/>
            </w:pPr>
            <w:r>
              <w:rPr>
                <w:rFonts w:ascii="Arial" w:cs="Arial" w:eastAsia="Arial" w:hAnsi="Arial"/>
                <w:color w:val="2a2a1e"/>
                <w:sz w:val="20"/>
                <w:szCs w:val="20"/>
              </w:rPr>
              <w:t xml:space="preserve">Talk more than your subject</w:t>
            </w:r>
          </w:p>
          <w:p>
            <w:pPr>
              <w:pStyle w:val="ListParagraph"/>
              <w:numPr>
                <w:ilvl w:val="0"/>
                <w:numId w:val="2"/>
              </w:numPr>
              <w:spacing w:after="40" w:before="40"/>
            </w:pPr>
            <w:r>
              <w:rPr>
                <w:rFonts w:ascii="Arial" w:cs="Arial" w:eastAsia="Arial" w:hAnsi="Arial"/>
                <w:color w:val="2a2a1e"/>
                <w:sz w:val="20"/>
                <w:szCs w:val="20"/>
              </w:rPr>
              <w:t xml:space="preserve">Ask multiple questions at once (pick one and commit)</w:t>
            </w:r>
          </w:p>
          <w:p>
            <w:pPr>
              <w:pStyle w:val="ListParagraph"/>
              <w:numPr>
                <w:ilvl w:val="0"/>
                <w:numId w:val="2"/>
              </w:numPr>
              <w:spacing w:after="40" w:before="40"/>
            </w:pPr>
            <w:r>
              <w:rPr>
                <w:rFonts w:ascii="Arial" w:cs="Arial" w:eastAsia="Arial" w:hAnsi="Arial"/>
                <w:color w:val="2a2a1e"/>
                <w:sz w:val="20"/>
                <w:szCs w:val="20"/>
              </w:rPr>
              <w:t xml:space="preserve">Fill silence with “um”, “like”, or “you know”</w:t>
            </w:r>
          </w:p>
          <w:p>
            <w:pPr>
              <w:pStyle w:val="ListParagraph"/>
              <w:numPr>
                <w:ilvl w:val="0"/>
                <w:numId w:val="2"/>
              </w:numPr>
              <w:spacing w:after="40" w:before="40"/>
            </w:pPr>
            <w:r>
              <w:rPr>
                <w:rFonts w:ascii="Arial" w:cs="Arial" w:eastAsia="Arial" w:hAnsi="Arial"/>
                <w:color w:val="2a2a1e"/>
                <w:sz w:val="20"/>
                <w:szCs w:val="20"/>
              </w:rPr>
              <w:t xml:space="preserve">Read questions from a script — the best follow-ups come from real listening</w:t>
            </w:r>
          </w:p>
          <w:p>
            <w:pPr>
              <w:pStyle w:val="ListParagraph"/>
              <w:numPr>
                <w:ilvl w:val="0"/>
                <w:numId w:val="2"/>
              </w:numPr>
              <w:spacing w:after="40" w:before="40"/>
            </w:pPr>
            <w:r>
              <w:rPr>
                <w:rFonts w:ascii="Arial" w:cs="Arial" w:eastAsia="Arial" w:hAnsi="Arial"/>
                <w:color w:val="2a2a1e"/>
                <w:sz w:val="20"/>
                <w:szCs w:val="20"/>
              </w:rPr>
              <w:t xml:space="preserve">Interrupt before they’ve finished a thought</w:t>
            </w:r>
          </w:p>
        </w:tc>
      </w:tr>
    </w:tbl>
    <w:p>
      <w:pPr>
        <w:spacing w:after="0" w:before="200"/>
      </w:pPr>
    </w:p>
    <w:p>
      <w:pPr>
        <w:pBdr>
          <w:top w:val="single" w:color="ddd9cc" w:sz="4"/>
        </w:pBdr>
        <w:spacing w:after="0" w:before="0"/>
      </w:pPr>
      <w:r>
        <w:rPr>
          <w:rFonts w:ascii="Arial" w:cs="Arial" w:eastAsia="Arial" w:hAnsi="Arial"/>
          <w:color w:val="aaaaaa"/>
          <w:sz w:val="16"/>
          <w:szCs w:val="16"/>
        </w:rPr>
        <w:t xml:space="preserve">Narrative Medicine, Unit 6  —  Interview Project Support Guide  —  Analysis performed by the Transcript Feedback Engine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2026-04-24T17:33:15.858Z</dcterms:created>
  <dcterms:modified xsi:type="dcterms:W3CDTF">2026-04-24T17:33:15.859Z</dcterms:modified>
</cp:coreProperties>
</file>

<file path=docProps/custom.xml><?xml version="1.0" encoding="utf-8"?>
<Properties xmlns="http://schemas.openxmlformats.org/officeDocument/2006/custom-properties" xmlns:vt="http://schemas.openxmlformats.org/officeDocument/2006/docPropsVTypes"/>
</file>