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left"/>
      </w:pPr>
      <w:r>
        <w:rPr>
          <w:rFonts w:ascii="Calibri" w:cs="Calibri" w:eastAsia="Calibri" w:hAnsi="Calibri"/>
          <w:b/>
          <w:bCs/>
          <w:i w:val="false"/>
          <w:iCs w:val="false"/>
          <w:color w:val="2E6DA4"/>
          <w:sz w:val="66"/>
          <w:szCs w:val="66"/>
        </w:rPr>
        <w:t xml:space="preserve">6.02  |  Reference</w:t>
      </w:r>
    </w:p>
    <w:p>
      <w:pPr>
        <w:spacing w:after="80" w:before="0"/>
        <w:jc w:val="left"/>
      </w:pPr>
      <w:r>
        <w:rPr>
          <w:rFonts w:ascii="Calibri" w:cs="Calibri" w:eastAsia="Calibri" w:hAnsi="Calibri"/>
          <w:b/>
          <w:bCs/>
          <w:i w:val="false"/>
          <w:iCs w:val="false"/>
          <w:color w:val="4A86C8"/>
          <w:sz w:val="40"/>
          <w:szCs w:val="40"/>
        </w:rPr>
        <w:t xml:space="preserve">Nonverbal Cue Bank — Reading the Room</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C0392B" w:sz="4"/>
              <w:left w:val="single" w:color="C0392B" w:sz="4"/>
              <w:bottom w:val="single" w:color="C0392B" w:sz="4"/>
              <w:right w:val="single" w:color="C0392B" w:sz="4"/>
            </w:tcBorders>
            <w:shd w:fill="FDECEA" w:val="clear"/>
            <w:tcMar>
              <w:top w:type="dxa" w:w="90"/>
              <w:left w:type="dxa" w:w="130"/>
              <w:bottom w:type="dxa" w:w="90"/>
              <w:right w:type="dxa" w:w="120"/>
            </w:tcMar>
          </w:tcPr>
          <w:p>
            <w:pPr>
              <w:spacing w:after="0" w:before="0"/>
            </w:pPr>
            <w:r>
              <w:rPr>
                <w:rFonts w:ascii="Calibri" w:cs="Calibri" w:eastAsia="Calibri" w:hAnsi="Calibri"/>
                <w:b/>
                <w:bCs/>
                <w:color w:val="C0392B"/>
                <w:sz w:val="18"/>
                <w:szCs w:val="18"/>
              </w:rPr>
              <w:t xml:space="preserve">Reference Only — </w:t>
            </w:r>
            <w:r>
              <w:rPr>
                <w:rFonts w:ascii="Calibri" w:cs="Calibri" w:eastAsia="Calibri" w:hAnsi="Calibri"/>
                <w:color w:val="555555"/>
                <w:sz w:val="18"/>
                <w:szCs w:val="18"/>
              </w:rPr>
              <w:t xml:space="preserve">Nothing to turn in here. Read it, use it, and leave the sheet for the classes that come behind you.</w:t>
            </w:r>
          </w:p>
        </w:tc>
      </w:tr>
    </w:tbl>
    <w:p>
      <w:pPr>
        <w:spacing w:after="200" w:before="0"/>
      </w:pPr>
      <w: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B8CCE0" w:sz="4"/>
              <w:left w:val="single" w:color="B8CCE0" w:sz="4"/>
              <w:bottom w:val="single" w:color="B8CCE0" w:sz="4"/>
              <w:right w:val="single" w:color="B8CCE0" w:sz="4"/>
            </w:tcBorders>
            <w:shd w:fill="FCE8D8" w:val="clear"/>
            <w:tcMar>
              <w:top w:type="dxa" w:w="90"/>
              <w:left w:type="dxa" w:w="130"/>
              <w:bottom w:type="dxa" w:w="90"/>
              <w:right w:type="dxa" w:w="120"/>
            </w:tcMar>
          </w:tcPr>
          <w:p>
            <w:pPr>
              <w:spacing w:after="80" w:before="0"/>
              <w:jc w:val="left"/>
            </w:pPr>
            <w:r>
              <w:rPr>
                <w:rFonts w:ascii="Calibri" w:cs="Calibri" w:eastAsia="Calibri" w:hAnsi="Calibri"/>
                <w:b/>
                <w:bCs/>
                <w:i w:val="false"/>
                <w:iCs w:val="false"/>
                <w:color w:val="2E6DA4"/>
                <w:sz w:val="28"/>
                <w:szCs w:val="28"/>
              </w:rPr>
              <w:t xml:space="preserve">What You're Looking At</w:t>
            </w:r>
          </w:p>
          <w:p>
            <w:pPr>
              <w:pStyle w:val="ListParagraph"/>
              <w:numPr>
                <w:ilvl w:val="0"/>
                <w:numId w:val="2"/>
              </w:numPr>
              <w:spacing w:after="50" w:before="0"/>
            </w:pPr>
            <w:r>
              <w:rPr>
                <w:rFonts w:ascii="Calibri" w:cs="Calibri" w:eastAsia="Calibri" w:hAnsi="Calibri"/>
                <w:b w:val="false"/>
                <w:bCs w:val="false"/>
                <w:i w:val="false"/>
                <w:iCs w:val="false"/>
                <w:color w:val="1A1A1A"/>
                <w:sz w:val="18"/>
                <w:szCs w:val="18"/>
              </w:rPr>
              <w:t xml:space="preserve">This is your cue bank for the 6.02 activity. Pick 4 cues from anywhere on the chart — don't show your partner.</w:t>
            </w:r>
          </w:p>
          <w:p>
            <w:pPr>
              <w:pStyle w:val="ListParagraph"/>
              <w:numPr>
                <w:ilvl w:val="0"/>
                <w:numId w:val="2"/>
              </w:numPr>
              <w:spacing w:after="50" w:before="0"/>
            </w:pPr>
            <w:r>
              <w:rPr>
                <w:rFonts w:ascii="Calibri" w:cs="Calibri" w:eastAsia="Calibri" w:hAnsi="Calibri"/>
                <w:b w:val="false"/>
                <w:bCs w:val="false"/>
                <w:i w:val="false"/>
                <w:iCs w:val="false"/>
                <w:color w:val="1A1A1A"/>
                <w:sz w:val="18"/>
                <w:szCs w:val="18"/>
              </w:rPr>
              <w:t xml:space="preserve">During Round 1, perform your cues subtly while your partner is talking. Keep it natural — the goal is to make them feel something without them knowing exactly what you're doing.</w:t>
            </w:r>
          </w:p>
          <w:p>
            <w:pPr>
              <w:pStyle w:val="ListParagraph"/>
              <w:numPr>
                <w:ilvl w:val="0"/>
                <w:numId w:val="2"/>
              </w:numPr>
              <w:spacing w:after="50" w:before="0"/>
            </w:pPr>
            <w:r>
              <w:rPr>
                <w:rFonts w:ascii="Calibri" w:cs="Calibri" w:eastAsia="Calibri" w:hAnsi="Calibri"/>
                <w:b w:val="false"/>
                <w:bCs w:val="false"/>
                <w:i w:val="false"/>
                <w:iCs w:val="false"/>
                <w:color w:val="1A1A1A"/>
                <w:sz w:val="18"/>
                <w:szCs w:val="18"/>
              </w:rPr>
              <w:t xml:space="preserve">During Round 2, flip it: now you're the speaker. Pay attention to what you feel as your partner performs their cues. In the debrief, you'll try to name what they did and what it did to you.</w:t>
            </w:r>
          </w:p>
        </w:tc>
      </w:tr>
    </w:tbl>
    <w:p>
      <w:pPr>
        <w:spacing w:after="200" w:before="0"/>
      </w:pPr>
      <w: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B8CCE0" w:sz="4"/>
              <w:left w:val="single" w:color="B8CCE0" w:sz="4"/>
              <w:bottom w:val="single" w:color="B8CCE0" w:sz="4"/>
              <w:right w:val="single" w:color="B8CCE0" w:sz="4"/>
            </w:tcBorders>
            <w:shd w:fill="D6E8F5" w:val="clear"/>
            <w:tcMar>
              <w:top w:type="dxa" w:w="90"/>
              <w:left w:type="dxa" w:w="130"/>
              <w:bottom w:type="dxa" w:w="90"/>
              <w:right w:type="dxa" w:w="120"/>
            </w:tcMar>
          </w:tcPr>
          <w:p>
            <w:pPr>
              <w:spacing w:after="80" w:before="0"/>
              <w:jc w:val="left"/>
            </w:pPr>
            <w:r>
              <w:rPr>
                <w:rFonts w:ascii="Calibri" w:cs="Calibri" w:eastAsia="Calibri" w:hAnsi="Calibri"/>
                <w:b/>
                <w:bCs/>
                <w:i w:val="false"/>
                <w:iCs w:val="false"/>
                <w:color w:val="2E6DA4"/>
                <w:sz w:val="28"/>
                <w:szCs w:val="28"/>
              </w:rPr>
              <w:t xml:space="preserve">Why This Matters for Interviewing</w:t>
            </w:r>
          </w:p>
          <w:p>
            <w:pPr>
              <w:spacing w:after="60" w:before="0"/>
              <w:jc w:val="left"/>
            </w:pPr>
            <w:r>
              <w:rPr>
                <w:rFonts w:ascii="Calibri" w:cs="Calibri" w:eastAsia="Calibri" w:hAnsi="Calibri"/>
                <w:b w:val="false"/>
                <w:bCs w:val="false"/>
                <w:i w:val="false"/>
                <w:iCs w:val="false"/>
                <w:color w:val="1A1A1A"/>
                <w:sz w:val="18"/>
                <w:szCs w:val="18"/>
              </w:rPr>
              <w:t xml:space="preserve">Every cue on this chart communicates something — even when you don't mean it to. </w:t>
            </w:r>
            <w:r>
              <w:rPr>
                <w:rFonts w:ascii="Calibri" w:cs="Calibri" w:eastAsia="Calibri" w:hAnsi="Calibri"/>
                <w:b w:val="false"/>
                <w:bCs w:val="false"/>
                <w:i w:val="false"/>
                <w:iCs w:val="false"/>
                <w:color w:val="1A1A1A"/>
                <w:sz w:val="18"/>
                <w:szCs w:val="18"/>
              </w:rPr>
              <w:t xml:space="preserve">As an interviewer, you're sending signals constantly: </w:t>
            </w:r>
            <w:r>
              <w:rPr>
                <w:rFonts w:ascii="Calibri" w:cs="Calibri" w:eastAsia="Calibri" w:hAnsi="Calibri"/>
                <w:b w:val="false"/>
                <w:bCs w:val="false"/>
                <w:i/>
                <w:iCs/>
                <w:color w:val="1A1A1A"/>
                <w:sz w:val="18"/>
                <w:szCs w:val="18"/>
              </w:rPr>
              <w:t xml:space="preserve">am I interested, distracted, uncomfortable, or fully present? </w:t>
            </w:r>
            <w:r>
              <w:rPr>
                <w:rFonts w:ascii="Calibri" w:cs="Calibri" w:eastAsia="Calibri" w:hAnsi="Calibri"/>
                <w:b w:val="false"/>
                <w:bCs w:val="false"/>
                <w:i w:val="false"/>
                <w:iCs w:val="false"/>
                <w:color w:val="1A1A1A"/>
                <w:sz w:val="18"/>
                <w:szCs w:val="18"/>
              </w:rPr>
              <w:t xml:space="preserve">Your subject reads those signals and adjusts accordingly. If they sense disengagement, they pull back. If they feel heard, they open up.</w:t>
            </w:r>
          </w:p>
          <w:p>
            <w:pPr>
              <w:spacing w:after="60" w:before="0"/>
              <w:jc w:val="left"/>
            </w:pPr>
            <w:r>
              <w:rPr>
                <w:rFonts w:ascii="Calibri" w:cs="Calibri" w:eastAsia="Calibri" w:hAnsi="Calibri"/>
                <w:b w:val="false"/>
                <w:bCs w:val="false"/>
                <w:i w:val="false"/>
                <w:iCs w:val="false"/>
                <w:color w:val="1A1A1A"/>
                <w:sz w:val="18"/>
                <w:szCs w:val="18"/>
              </w:rPr>
              <w:t xml:space="preserve">The four categories below describe the kind of signal each cue sends to the person speaking:</w:t>
            </w:r>
          </w:p>
          <w:tbl>
            <w:tblPr>
              <w:tblW w:type="dxa" w:w="10252"/>
              <w:tblBorders>
                <w:top w:val="single" w:color="auto" w:sz="4"/>
                <w:left w:val="single" w:color="auto" w:sz="4"/>
                <w:bottom w:val="single" w:color="auto" w:sz="4"/>
                <w:right w:val="single" w:color="auto" w:sz="4"/>
                <w:insideH w:val="single" w:color="auto" w:sz="4"/>
                <w:insideV w:val="single" w:color="auto" w:sz="4"/>
              </w:tblBorders>
            </w:tblPr>
            <w:tblGrid>
              <w:gridCol w:w="5126"/>
              <w:gridCol w:w="5126"/>
            </w:tblGrid>
            <w:tr>
              <w:tc>
                <w:tcPr>
                  <w:tcW w:type="dxa" w:w="5126"/>
                  <w:tcBorders>
                    <w:top w:val="single" w:color="B8CCE0" w:sz="4"/>
                    <w:left w:val="single" w:color="B8CCE0" w:sz="4"/>
                    <w:bottom w:val="single" w:color="B8CCE0" w:sz="4"/>
                    <w:right w:val="single" w:color="B8CCE0" w:sz="4"/>
                  </w:tcBorders>
                  <w:shd w:fill="FCE8E8" w:val="clear"/>
                  <w:tcMar>
                    <w:top w:type="dxa" w:w="70"/>
                    <w:left w:type="dxa" w:w="120"/>
                    <w:bottom w:type="dxa" w:w="70"/>
                    <w:right w:type="dxa" w:w="100"/>
                  </w:tcMar>
                </w:tcPr>
                <w:p>
                  <w:pPr>
                    <w:spacing w:after="30" w:before="0"/>
                    <w:jc w:val="left"/>
                  </w:pPr>
                  <w:r>
                    <w:rPr>
                      <w:rFonts w:ascii="Calibri" w:cs="Calibri" w:eastAsia="Calibri" w:hAnsi="Calibri"/>
                      <w:b/>
                      <w:bCs/>
                      <w:i w:val="false"/>
                      <w:iCs w:val="false"/>
                      <w:color w:val="C0392B"/>
                      <w:sz w:val="18"/>
                      <w:szCs w:val="18"/>
                    </w:rPr>
                    <w:t xml:space="preserve">Disengagement</w:t>
                  </w:r>
                </w:p>
                <w:p>
                  <w:pPr>
                    <w:spacing w:after="60" w:before="0"/>
                    <w:jc w:val="left"/>
                  </w:pPr>
                  <w:r>
                    <w:rPr>
                      <w:rFonts w:ascii="Calibri" w:cs="Calibri" w:eastAsia="Calibri" w:hAnsi="Calibri"/>
                      <w:b w:val="false"/>
                      <w:bCs w:val="false"/>
                      <w:i w:val="false"/>
                      <w:iCs w:val="false"/>
                      <w:color w:val="1A1A1A"/>
                      <w:sz w:val="15"/>
                      <w:szCs w:val="15"/>
                    </w:rPr>
                    <w:t xml:space="preserve">Signals boredom, distraction, or withdrawal. Speakers notice this and often shorten or flatten their story.</w:t>
                  </w:r>
                </w:p>
              </w:tc>
              <w:tc>
                <w:tcPr>
                  <w:tcW w:type="dxa" w:w="5126"/>
                  <w:tcBorders>
                    <w:top w:val="single" w:color="B8CCE0" w:sz="4"/>
                    <w:left w:val="single" w:color="B8CCE0" w:sz="4"/>
                    <w:bottom w:val="single" w:color="B8CCE0" w:sz="4"/>
                    <w:right w:val="single" w:color="B8CCE0" w:sz="4"/>
                  </w:tcBorders>
                  <w:shd w:fill="FDF5D0" w:val="clear"/>
                  <w:tcMar>
                    <w:top w:type="dxa" w:w="70"/>
                    <w:left w:type="dxa" w:w="120"/>
                    <w:bottom w:type="dxa" w:w="70"/>
                    <w:right w:type="dxa" w:w="100"/>
                  </w:tcMar>
                </w:tcPr>
                <w:p>
                  <w:pPr>
                    <w:spacing w:after="30" w:before="0"/>
                    <w:jc w:val="left"/>
                  </w:pPr>
                  <w:r>
                    <w:rPr>
                      <w:rFonts w:ascii="Calibri" w:cs="Calibri" w:eastAsia="Calibri" w:hAnsi="Calibri"/>
                      <w:b/>
                      <w:bCs/>
                      <w:i w:val="false"/>
                      <w:iCs w:val="false"/>
                      <w:color w:val="7A5C00"/>
                      <w:sz w:val="18"/>
                      <w:szCs w:val="18"/>
                    </w:rPr>
                    <w:t xml:space="preserve">Neutral / Ambiguous</w:t>
                  </w:r>
                </w:p>
                <w:p>
                  <w:pPr>
                    <w:spacing w:after="60" w:before="0"/>
                    <w:jc w:val="left"/>
                  </w:pPr>
                  <w:r>
                    <w:rPr>
                      <w:rFonts w:ascii="Calibri" w:cs="Calibri" w:eastAsia="Calibri" w:hAnsi="Calibri"/>
                      <w:b w:val="false"/>
                      <w:bCs w:val="false"/>
                      <w:i w:val="false"/>
                      <w:iCs w:val="false"/>
                      <w:color w:val="1A1A1A"/>
                      <w:sz w:val="15"/>
                      <w:szCs w:val="15"/>
                    </w:rPr>
                    <w:t xml:space="preserve">Unclear signal — could mean thinking, distraction, or discomfort. Speakers often second-guess themselves.</w:t>
                  </w:r>
                </w:p>
              </w:tc>
            </w:tr>
            <w:tr>
              <w:tc>
                <w:tcPr>
                  <w:tcW w:type="dxa" w:w="5126"/>
                  <w:tcBorders>
                    <w:top w:val="single" w:color="B8CCE0" w:sz="4"/>
                    <w:left w:val="single" w:color="B8CCE0" w:sz="4"/>
                    <w:bottom w:val="single" w:color="B8CCE0" w:sz="4"/>
                    <w:right w:val="single" w:color="B8CCE0" w:sz="4"/>
                  </w:tcBorders>
                  <w:shd w:fill="E8E0F0" w:val="clear"/>
                  <w:tcMar>
                    <w:top w:type="dxa" w:w="70"/>
                    <w:left w:type="dxa" w:w="120"/>
                    <w:bottom w:type="dxa" w:w="70"/>
                    <w:right w:type="dxa" w:w="100"/>
                  </w:tcMar>
                </w:tcPr>
                <w:p>
                  <w:pPr>
                    <w:spacing w:after="30" w:before="0"/>
                    <w:jc w:val="left"/>
                  </w:pPr>
                  <w:r>
                    <w:rPr>
                      <w:rFonts w:ascii="Calibri" w:cs="Calibri" w:eastAsia="Calibri" w:hAnsi="Calibri"/>
                      <w:b/>
                      <w:bCs/>
                      <w:i w:val="false"/>
                      <w:iCs w:val="false"/>
                      <w:color w:val="4A2E72"/>
                      <w:sz w:val="18"/>
                      <w:szCs w:val="18"/>
                    </w:rPr>
                    <w:t xml:space="preserve">Strange / Unexpected</w:t>
                  </w:r>
                </w:p>
                <w:p>
                  <w:pPr>
                    <w:spacing w:after="60" w:before="0"/>
                    <w:jc w:val="left"/>
                  </w:pPr>
                  <w:r>
                    <w:rPr>
                      <w:rFonts w:ascii="Calibri" w:cs="Calibri" w:eastAsia="Calibri" w:hAnsi="Calibri"/>
                      <w:b w:val="false"/>
                      <w:bCs w:val="false"/>
                      <w:i w:val="false"/>
                      <w:iCs w:val="false"/>
                      <w:color w:val="1A1A1A"/>
                      <w:sz w:val="15"/>
                      <w:szCs w:val="15"/>
                    </w:rPr>
                    <w:t xml:space="preserve">Breaks social norms in ways that create confusion or self-consciousness. Throws speakers off their rhythm.</w:t>
                  </w:r>
                </w:p>
              </w:tc>
              <w:tc>
                <w:tcPr>
                  <w:tcW w:type="dxa" w:w="5126"/>
                  <w:tcBorders>
                    <w:top w:val="single" w:color="B8CCE0" w:sz="4"/>
                    <w:left w:val="single" w:color="B8CCE0" w:sz="4"/>
                    <w:bottom w:val="single" w:color="B8CCE0" w:sz="4"/>
                    <w:right w:val="single" w:color="B8CCE0" w:sz="4"/>
                  </w:tcBorders>
                  <w:shd w:fill="D6EFE4" w:val="clear"/>
                  <w:tcMar>
                    <w:top w:type="dxa" w:w="70"/>
                    <w:left w:type="dxa" w:w="120"/>
                    <w:bottom w:type="dxa" w:w="70"/>
                    <w:right w:type="dxa" w:w="100"/>
                  </w:tcMar>
                </w:tcPr>
                <w:p>
                  <w:pPr>
                    <w:spacing w:after="30" w:before="0"/>
                    <w:jc w:val="left"/>
                  </w:pPr>
                  <w:r>
                    <w:rPr>
                      <w:rFonts w:ascii="Calibri" w:cs="Calibri" w:eastAsia="Calibri" w:hAnsi="Calibri"/>
                      <w:b/>
                      <w:bCs/>
                      <w:i w:val="false"/>
                      <w:iCs w:val="false"/>
                      <w:color w:val="2E6B3E"/>
                      <w:sz w:val="18"/>
                      <w:szCs w:val="18"/>
                    </w:rPr>
                    <w:t xml:space="preserve">Engagement</w:t>
                  </w:r>
                </w:p>
                <w:p>
                  <w:pPr>
                    <w:spacing w:after="60" w:before="0"/>
                    <w:jc w:val="left"/>
                  </w:pPr>
                  <w:r>
                    <w:rPr>
                      <w:rFonts w:ascii="Calibri" w:cs="Calibri" w:eastAsia="Calibri" w:hAnsi="Calibri"/>
                      <w:b w:val="false"/>
                      <w:bCs w:val="false"/>
                      <w:i w:val="false"/>
                      <w:iCs w:val="false"/>
                      <w:color w:val="1A1A1A"/>
                      <w:sz w:val="15"/>
                      <w:szCs w:val="15"/>
                    </w:rPr>
                    <w:t xml:space="preserve">Signals active attention and interest. Speakers open up, elaborate, and feel safe going deeper.</w:t>
                  </w:r>
                </w:p>
              </w:tc>
            </w:tr>
          </w:tbl>
          <w:p/>
        </w:tc>
      </w:tr>
    </w:tbl>
    <w:p>
      <w:pPr>
        <w:spacing w:after="200" w:before="0"/>
      </w:pPr>
      <w: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2628"/>
      </w:tblGrid>
      <w:tr>
        <w:tc>
          <w:tcPr>
            <w:tcW w:type="dxa" w:w="2628"/>
            <w:tcBorders>
              <w:top w:val="single" w:color="B8CCE0" w:sz="4"/>
              <w:left w:val="single" w:color="B8CCE0" w:sz="4"/>
              <w:bottom w:val="single" w:color="B8CCE0" w:sz="4"/>
              <w:right w:val="single" w:color="B8CCE0" w:sz="4"/>
            </w:tcBorders>
            <w:shd w:fill="FCE8E8" w:val="clear"/>
            <w:tcMar>
              <w:top w:type="dxa" w:w="80"/>
              <w:left w:type="dxa" w:w="120"/>
              <w:bottom w:type="dxa" w:w="80"/>
              <w:right w:type="dxa" w:w="100"/>
            </w:tcMar>
          </w:tcPr>
          <w:p>
            <w:pPr>
              <w:spacing w:after="60" w:before="0"/>
              <w:jc w:val="left"/>
            </w:pPr>
            <w:r>
              <w:rPr>
                <w:rFonts w:ascii="Calibri" w:cs="Calibri" w:eastAsia="Calibri" w:hAnsi="Calibri"/>
                <w:b/>
                <w:bCs/>
                <w:i w:val="false"/>
                <w:iCs w:val="false"/>
                <w:color w:val="C0392B"/>
                <w:sz w:val="24"/>
                <w:szCs w:val="24"/>
              </w:rPr>
              <w:t xml:space="preserve">Disengagement</w:t>
            </w:r>
          </w:p>
        </w:tc>
        <w:tc>
          <w:tcPr>
            <w:tcW w:type="dxa" w:w="2628"/>
            <w:tcBorders>
              <w:top w:val="single" w:color="B8CCE0" w:sz="4"/>
              <w:left w:val="single" w:color="B8CCE0" w:sz="4"/>
              <w:bottom w:val="single" w:color="B8CCE0" w:sz="4"/>
              <w:right w:val="single" w:color="B8CCE0" w:sz="4"/>
            </w:tcBorders>
            <w:shd w:fill="FDF5D0" w:val="clear"/>
            <w:tcMar>
              <w:top w:type="dxa" w:w="80"/>
              <w:left w:type="dxa" w:w="120"/>
              <w:bottom w:type="dxa" w:w="80"/>
              <w:right w:type="dxa" w:w="100"/>
            </w:tcMar>
          </w:tcPr>
          <w:p>
            <w:pPr>
              <w:spacing w:after="60" w:before="0"/>
              <w:jc w:val="left"/>
            </w:pPr>
            <w:r>
              <w:rPr>
                <w:rFonts w:ascii="Calibri" w:cs="Calibri" w:eastAsia="Calibri" w:hAnsi="Calibri"/>
                <w:b/>
                <w:bCs/>
                <w:i w:val="false"/>
                <w:iCs w:val="false"/>
                <w:color w:val="7A5C00"/>
                <w:sz w:val="24"/>
                <w:szCs w:val="24"/>
              </w:rPr>
              <w:t xml:space="preserve">Neutral / Ambiguous</w:t>
            </w:r>
          </w:p>
        </w:tc>
        <w:tc>
          <w:tcPr>
            <w:tcW w:type="dxa" w:w="2628"/>
            <w:tcBorders>
              <w:top w:val="single" w:color="B8CCE0" w:sz="4"/>
              <w:left w:val="single" w:color="B8CCE0" w:sz="4"/>
              <w:bottom w:val="single" w:color="B8CCE0" w:sz="4"/>
              <w:right w:val="single" w:color="B8CCE0" w:sz="4"/>
            </w:tcBorders>
            <w:shd w:fill="E8E0F0" w:val="clear"/>
            <w:tcMar>
              <w:top w:type="dxa" w:w="80"/>
              <w:left w:type="dxa" w:w="120"/>
              <w:bottom w:type="dxa" w:w="80"/>
              <w:right w:type="dxa" w:w="100"/>
            </w:tcMar>
          </w:tcPr>
          <w:p>
            <w:pPr>
              <w:spacing w:after="60" w:before="0"/>
              <w:jc w:val="left"/>
            </w:pPr>
            <w:r>
              <w:rPr>
                <w:rFonts w:ascii="Calibri" w:cs="Calibri" w:eastAsia="Calibri" w:hAnsi="Calibri"/>
                <w:b/>
                <w:bCs/>
                <w:i w:val="false"/>
                <w:iCs w:val="false"/>
                <w:color w:val="4A2E72"/>
                <w:sz w:val="24"/>
                <w:szCs w:val="24"/>
              </w:rPr>
              <w:t xml:space="preserve">Strange / Unexpected</w:t>
            </w:r>
          </w:p>
        </w:tc>
        <w:tc>
          <w:tcPr>
            <w:tcW w:type="dxa" w:w="2628"/>
            <w:tcBorders>
              <w:top w:val="single" w:color="B8CCE0" w:sz="4"/>
              <w:left w:val="single" w:color="B8CCE0" w:sz="4"/>
              <w:bottom w:val="single" w:color="B8CCE0" w:sz="4"/>
              <w:right w:val="single" w:color="B8CCE0" w:sz="4"/>
            </w:tcBorders>
            <w:shd w:fill="D6EFE4" w:val="clear"/>
            <w:tcMar>
              <w:top w:type="dxa" w:w="80"/>
              <w:left w:type="dxa" w:w="120"/>
              <w:bottom w:type="dxa" w:w="80"/>
              <w:right w:type="dxa" w:w="100"/>
            </w:tcMar>
          </w:tcPr>
          <w:p>
            <w:pPr>
              <w:spacing w:after="60" w:before="0"/>
              <w:jc w:val="left"/>
            </w:pPr>
            <w:r>
              <w:rPr>
                <w:rFonts w:ascii="Calibri" w:cs="Calibri" w:eastAsia="Calibri" w:hAnsi="Calibri"/>
                <w:b/>
                <w:bCs/>
                <w:i w:val="false"/>
                <w:iCs w:val="false"/>
                <w:color w:val="2E6B3E"/>
                <w:sz w:val="24"/>
                <w:szCs w:val="24"/>
              </w:rPr>
              <w:t xml:space="preserve">Engagement</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Stop making eye contact for 10 seconds</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Bounce your knee for 10 seconds</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Wink at them</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Lean forward with both elbows for 10 seconds</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Look around at other people talking</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Fidget with something for 10 seconds</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Nod quickly 5 times mid-sentence and say "yea, uh huh"</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Stroke your chin softly and say "hmmm"</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Cross arms and sigh loudly</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Scratch the back of your head</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Rub hands together and lick lips</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Strong eye contact with occasional nodding</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Turn your torso toward the door like you're anxious to leave</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Rub the side of your nose while looking at them</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Play a little footsie</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Mirror their facial expressions</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Examine your fingernails for 30 seconds</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Blink verrrrry slowly</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Mouth along some of their words silently</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Sit up straight, fully oriented toward them</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Place an object between you</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Tilt your head like a confused dog</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Slowly inch your chair closer without stopping</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Raise your eyebrows and gasp at a high point in the story</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Check the time on your phone</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Slowly cross and uncross your legs once</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Stare straight at their nose for 15 seconds</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Chin in hand — "ahhhh, I see"</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Yawn without covering your mouth</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Glance at your nails briefly, then back up</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Glance behind them like you heard something</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Mirror their body language exactly for 30 seconds</w:t>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Freeze mid-reaction like you glitched</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
            </w:r>
          </w:p>
        </w:tc>
      </w:tr>
      <w:tr>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Raise your eyebrows three times in a row</w:t>
            </w:r>
          </w:p>
        </w:tc>
        <w:tc>
          <w:tcPr>
            <w:tcW w:type="dxa" w:w="2628"/>
            <w:tcBorders>
              <w:top w:val="single" w:color="B8CCE0" w:sz="4"/>
              <w:left w:val="single" w:color="B8CCE0" w:sz="4"/>
              <w:bottom w:val="single" w:color="B8CCE0" w:sz="4"/>
              <w:right w:val="single" w:color="B8CCE0" w:sz="4"/>
            </w:tcBorders>
            <w:shd w:fill="FFFFFF" w:val="clear"/>
            <w:tcMar>
              <w:top w:type="dxa" w:w="70"/>
              <w:left w:type="dxa" w:w="120"/>
              <w:bottom w:type="dxa" w:w="70"/>
              <w:right w:type="dxa" w:w="100"/>
            </w:tcMar>
          </w:tcPr>
          <w:p>
            <w:pPr>
              <w:spacing w:after="60" w:before="0"/>
              <w:jc w:val="left"/>
            </w:pPr>
            <w:r>
              <w:rPr>
                <w:rFonts w:ascii="Calibri" w:cs="Calibri" w:eastAsia="Calibri" w:hAnsi="Calibri"/>
                <w:b w:val="false"/>
                <w:bCs w:val="false"/>
                <w:i w:val="false"/>
                <w:iCs w:val="false"/>
                <w:color w:val="1A1A1A"/>
                <w:sz w:val="18"/>
                <w:szCs w:val="18"/>
              </w:rPr>
              <w:t xml:space="preserve"/>
            </w:r>
          </w:p>
        </w:tc>
      </w:tr>
      <w:tr>
        <w:tc>
          <w:tcPr>
            <w:tcW w:type="dxa" w:w="2628"/>
            <w:tcBorders>
              <w:top w:val="single" w:color="B8CCE0" w:sz="4"/>
              <w:left w:val="single" w:color="B8CCE0" w:sz="4"/>
              <w:bottom w:val="single" w:color="B8CCE0" w:sz="4"/>
              <w:right w:val="single" w:color="B8CCE0" w:sz="4"/>
            </w:tcBorders>
            <w:shd w:fill="FCE8E8" w:val="clear"/>
            <w:tcMar>
              <w:top w:type="dxa" w:w="70"/>
              <w:left w:type="dxa" w:w="120"/>
              <w:bottom w:type="dxa" w:w="70"/>
              <w:right w:type="dxa" w:w="100"/>
            </w:tcMar>
          </w:tcPr>
          <w:p>
            <w:pPr>
              <w:spacing w:after="60" w:before="0"/>
              <w:jc w:val="left"/>
            </w:pPr>
            <w:r>
              <w:rPr>
                <w:rFonts w:ascii="Calibri" w:cs="Calibri" w:eastAsia="Calibri" w:hAnsi="Calibri"/>
                <w:b w:val="false"/>
                <w:bCs w:val="false"/>
                <w:i/>
                <w:iCs/>
                <w:color w:val="555555"/>
                <w:sz w:val="18"/>
                <w:szCs w:val="18"/>
              </w:rPr>
              <w:t xml:space="preserve">Write your own:</w:t>
            </w:r>
          </w:p>
        </w:tc>
        <w:tc>
          <w:tcPr>
            <w:tcW w:type="dxa" w:w="2628"/>
            <w:tcBorders>
              <w:top w:val="single" w:color="B8CCE0" w:sz="4"/>
              <w:left w:val="single" w:color="B8CCE0" w:sz="4"/>
              <w:bottom w:val="single" w:color="B8CCE0" w:sz="4"/>
              <w:right w:val="single" w:color="B8CCE0" w:sz="4"/>
            </w:tcBorders>
            <w:shd w:fill="FDF5D0" w:val="clear"/>
            <w:tcMar>
              <w:top w:type="dxa" w:w="70"/>
              <w:left w:type="dxa" w:w="120"/>
              <w:bottom w:type="dxa" w:w="70"/>
              <w:right w:type="dxa" w:w="100"/>
            </w:tcMar>
          </w:tcPr>
          <w:p>
            <w:pPr>
              <w:spacing w:after="60" w:before="0"/>
              <w:jc w:val="left"/>
            </w:pPr>
            <w:r>
              <w:rPr>
                <w:rFonts w:ascii="Calibri" w:cs="Calibri" w:eastAsia="Calibri" w:hAnsi="Calibri"/>
                <w:b w:val="false"/>
                <w:bCs w:val="false"/>
                <w:i/>
                <w:iCs/>
                <w:color w:val="555555"/>
                <w:sz w:val="18"/>
                <w:szCs w:val="18"/>
              </w:rPr>
              <w:t xml:space="preserve">Write your own:</w:t>
            </w:r>
          </w:p>
        </w:tc>
        <w:tc>
          <w:tcPr>
            <w:tcW w:type="dxa" w:w="2628"/>
            <w:tcBorders>
              <w:top w:val="single" w:color="B8CCE0" w:sz="4"/>
              <w:left w:val="single" w:color="B8CCE0" w:sz="4"/>
              <w:bottom w:val="single" w:color="B8CCE0" w:sz="4"/>
              <w:right w:val="single" w:color="B8CCE0" w:sz="4"/>
            </w:tcBorders>
            <w:shd w:fill="E8E0F0" w:val="clear"/>
            <w:tcMar>
              <w:top w:type="dxa" w:w="70"/>
              <w:left w:type="dxa" w:w="120"/>
              <w:bottom w:type="dxa" w:w="70"/>
              <w:right w:type="dxa" w:w="100"/>
            </w:tcMar>
          </w:tcPr>
          <w:p>
            <w:pPr>
              <w:spacing w:after="60" w:before="0"/>
              <w:jc w:val="left"/>
            </w:pPr>
            <w:r>
              <w:rPr>
                <w:rFonts w:ascii="Calibri" w:cs="Calibri" w:eastAsia="Calibri" w:hAnsi="Calibri"/>
                <w:b w:val="false"/>
                <w:bCs w:val="false"/>
                <w:i/>
                <w:iCs/>
                <w:color w:val="555555"/>
                <w:sz w:val="18"/>
                <w:szCs w:val="18"/>
              </w:rPr>
              <w:t xml:space="preserve">Write your own:</w:t>
            </w:r>
          </w:p>
        </w:tc>
        <w:tc>
          <w:tcPr>
            <w:tcW w:type="dxa" w:w="2628"/>
            <w:tcBorders>
              <w:top w:val="single" w:color="B8CCE0" w:sz="4"/>
              <w:left w:val="single" w:color="B8CCE0" w:sz="4"/>
              <w:bottom w:val="single" w:color="B8CCE0" w:sz="4"/>
              <w:right w:val="single" w:color="B8CCE0" w:sz="4"/>
            </w:tcBorders>
            <w:shd w:fill="D6EFE4" w:val="clear"/>
            <w:tcMar>
              <w:top w:type="dxa" w:w="70"/>
              <w:left w:type="dxa" w:w="120"/>
              <w:bottom w:type="dxa" w:w="70"/>
              <w:right w:type="dxa" w:w="100"/>
            </w:tcMar>
          </w:tcPr>
          <w:p>
            <w:pPr>
              <w:spacing w:after="60" w:before="0"/>
              <w:jc w:val="left"/>
            </w:pPr>
            <w:r>
              <w:rPr>
                <w:rFonts w:ascii="Calibri" w:cs="Calibri" w:eastAsia="Calibri" w:hAnsi="Calibri"/>
                <w:b w:val="false"/>
                <w:bCs w:val="false"/>
                <w:i/>
                <w:iCs/>
                <w:color w:val="555555"/>
                <w:sz w:val="18"/>
                <w:szCs w:val="18"/>
              </w:rPr>
              <w:t xml:space="preserve">Write your own:</w:t>
            </w:r>
          </w:p>
        </w:tc>
      </w:tr>
    </w:tbl>
    <w:p>
      <w:pPr>
        <w:spacing w:after="200" w:before="0"/>
      </w:pPr>
      <w:r>
        <w:t xml:space="preserve"/>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c>
          <w:tcPr>
            <w:tcW w:type="dxa" w:w="10512"/>
            <w:tcBorders>
              <w:top w:val="single" w:color="B8CCE0" w:sz="4"/>
              <w:left w:val="single" w:color="B8CCE0" w:sz="4"/>
              <w:bottom w:val="single" w:color="B8CCE0" w:sz="4"/>
              <w:right w:val="single" w:color="B8CCE0" w:sz="4"/>
            </w:tcBorders>
            <w:shd w:fill="D6EFE4" w:val="clear"/>
            <w:tcMar>
              <w:top w:type="dxa" w:w="90"/>
              <w:left w:type="dxa" w:w="130"/>
              <w:bottom w:type="dxa" w:w="90"/>
              <w:right w:type="dxa" w:w="120"/>
            </w:tcMar>
          </w:tcPr>
          <w:p>
            <w:pPr>
              <w:spacing w:after="80" w:before="0"/>
              <w:jc w:val="left"/>
            </w:pPr>
            <w:r>
              <w:rPr>
                <w:rFonts w:ascii="Calibri" w:cs="Calibri" w:eastAsia="Calibri" w:hAnsi="Calibri"/>
                <w:b/>
                <w:bCs/>
                <w:i w:val="false"/>
                <w:iCs w:val="false"/>
                <w:color w:val="2E6DA4"/>
                <w:sz w:val="28"/>
                <w:szCs w:val="28"/>
              </w:rPr>
              <w:t xml:space="preserve">A Note on Subtlety</w:t>
            </w:r>
          </w:p>
          <w:p>
            <w:pPr>
              <w:pStyle w:val="ListParagraph"/>
              <w:numPr>
                <w:ilvl w:val="0"/>
                <w:numId w:val="2"/>
              </w:numPr>
              <w:spacing w:after="50" w:before="0"/>
            </w:pPr>
            <w:r>
              <w:rPr>
                <w:rFonts w:ascii="Calibri" w:cs="Calibri" w:eastAsia="Calibri" w:hAnsi="Calibri"/>
                <w:b w:val="false"/>
                <w:bCs w:val="false"/>
                <w:i w:val="false"/>
                <w:iCs w:val="false"/>
                <w:color w:val="1A1A1A"/>
                <w:sz w:val="18"/>
                <w:szCs w:val="18"/>
              </w:rPr>
              <w:t xml:space="preserve">The best performers keep it natural. If your partner catches you immediately, you went too big.</w:t>
            </w:r>
          </w:p>
          <w:p>
            <w:pPr>
              <w:pStyle w:val="ListParagraph"/>
              <w:numPr>
                <w:ilvl w:val="0"/>
                <w:numId w:val="2"/>
              </w:numPr>
              <w:spacing w:after="50" w:before="0"/>
            </w:pPr>
            <w:r>
              <w:rPr>
                <w:rFonts w:ascii="Calibri" w:cs="Calibri" w:eastAsia="Calibri" w:hAnsi="Calibri"/>
                <w:b w:val="false"/>
                <w:bCs w:val="false"/>
                <w:i w:val="false"/>
                <w:iCs w:val="false"/>
                <w:color w:val="1A1A1A"/>
                <w:sz w:val="18"/>
                <w:szCs w:val="18"/>
              </w:rPr>
              <w:t xml:space="preserve">The goal isn't to distract or annoy — it's to see whether your partner can notice a shift and name it afterward.</w:t>
            </w:r>
          </w:p>
          <w:p>
            <w:pPr>
              <w:pStyle w:val="ListParagraph"/>
              <w:numPr>
                <w:ilvl w:val="0"/>
                <w:numId w:val="2"/>
              </w:numPr>
              <w:spacing w:after="50" w:before="0"/>
            </w:pPr>
            <w:r>
              <w:rPr>
                <w:rFonts w:ascii="Calibri" w:cs="Calibri" w:eastAsia="Calibri" w:hAnsi="Calibri"/>
                <w:b w:val="false"/>
                <w:bCs w:val="false"/>
                <w:i w:val="false"/>
                <w:iCs w:val="false"/>
                <w:color w:val="1A1A1A"/>
                <w:sz w:val="18"/>
                <w:szCs w:val="18"/>
              </w:rPr>
              <w:t xml:space="preserve">Some of the most powerful cues are the quietest ones. A slow blink lands harder than a loud yawn.</w:t>
            </w:r>
          </w:p>
        </w:tc>
      </w:tr>
    </w:tbl>
    <w:sectPr>
      <w:footerReference w:type="default" r:id="rId7"/>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6.02  |  Reference  |  Narrative Medicine  |  Leave for the next 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2026-04-21T00:26:25.801Z</dcterms:created>
  <dcterms:modified xsi:type="dcterms:W3CDTF">2026-04-21T00:26:25.802Z</dcterms:modified>
</cp:coreProperties>
</file>

<file path=docProps/custom.xml><?xml version="1.0" encoding="utf-8"?>
<Properties xmlns="http://schemas.openxmlformats.org/officeDocument/2006/custom-properties" xmlns:vt="http://schemas.openxmlformats.org/officeDocument/2006/docPropsVTypes"/>
</file>