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6da4"/>
          <w:sz w:val="66"/>
          <w:szCs w:val="66"/>
          <w:rtl w:val="0"/>
        </w:rPr>
        <w:t xml:space="preserve">6.04  |  The Art of the Follow-Up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c8"/>
          <w:sz w:val="40"/>
          <w:szCs w:val="40"/>
          <w:rtl w:val="0"/>
        </w:rPr>
        <w:t xml:space="preserve">Demonstrations of Listening</w:t>
      </w:r>
      <w:r w:rsidDel="00000000" w:rsidR="00000000" w:rsidRPr="00000000">
        <w:rPr>
          <w:rtl w:val="0"/>
        </w:rPr>
      </w:r>
    </w:p>
    <w:tbl>
      <w:tblPr>
        <w:tblStyle w:val="Table1"/>
        <w:tblW w:w="1051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07"/>
        <w:gridCol w:w="4204"/>
        <w:tblGridChange w:id="0">
          <w:tblGrid>
            <w:gridCol w:w="6307"/>
            <w:gridCol w:w="4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rPr>
                <w:rFonts w:ascii="Calibri" w:cs="Calibri" w:eastAsia="Calibri" w:hAnsi="Calibri"/>
                <w:b w:val="1"/>
                <w:bCs w:val="1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Name: </w:t>
            </w:r>
            <w:r w:rsidDel="00000000" w:rsidR="00000000" w:rsidRPr="00000000">
              <w:rPr>
                <w:rFonts w:ascii="Calibri" w:cs="Calibri" w:eastAsia="Calibri" w:hAnsi="Calibri"/>
                <w:color w:val="aaaaaa"/>
                <w:sz w:val="18"/>
                <w:szCs w:val="18"/>
                <w:rtl w:val="0"/>
              </w:rPr>
              <w:t xml:space="preserve">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2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  <w:b w:val="1"/>
                <w:bCs w:val="1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Period: </w:t>
            </w:r>
            <w:r w:rsidDel="00000000" w:rsidR="00000000" w:rsidRPr="00000000">
              <w:rPr>
                <w:rFonts w:ascii="Calibri" w:cs="Calibri" w:eastAsia="Calibri" w:hAnsi="Calibri"/>
                <w:color w:val="aaaaaa"/>
                <w:sz w:val="18"/>
                <w:szCs w:val="18"/>
                <w:rtl w:val="0"/>
              </w:rPr>
              <w:t xml:space="preserve">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ce8d8" w:val="clear"/>
            <w:tcMar>
              <w:top w:w="90.0" w:type="dxa"/>
              <w:left w:w="13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e6da4"/>
                <w:sz w:val="28"/>
                <w:szCs w:val="28"/>
                <w:rtl w:val="0"/>
              </w:rPr>
              <w:t xml:space="preserve">What This Is About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right="0"/>
              <w:jc w:val="left"/>
              <w:rPr>
                <w:rFonts w:ascii="Calibri" w:cs="Calibri" w:eastAsia="Calibri" w:hAnsi="Calibri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Most conversations don’t fall apart because people have nothing to say. They fall apart because people fail to listen, or at least listen well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right="0"/>
              <w:jc w:val="left"/>
              <w:rPr>
                <w:rFonts w:ascii="Calibri" w:cs="Calibri" w:eastAsia="Calibri" w:hAnsi="Calibri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This activity trains three specific ways to demonstrate that you are actively listening: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color w:val="1a1a1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Follow-Up Questions 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→ Build directly from what was said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color w:val="1a1a1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Paraphrasing / Summarizing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 → Reflect understanding back to the speaker “What I think I’m hearing you say is…”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color w:val="1a1a1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Personal Connection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 → Connect what they said to your own life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90.0" w:type="dxa"/>
              <w:left w:w="13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color w:val="2e6da4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8"/>
                <w:szCs w:val="28"/>
                <w:rtl w:val="0"/>
              </w:rPr>
              <w:t xml:space="preserve">The One Rule:  </w:t>
            </w:r>
          </w:p>
          <w:p w:rsidR="00000000" w:rsidDel="00000000" w:rsidP="00000000" w:rsidRDefault="00000000" w:rsidRPr="00000000" w14:paraId="00000010">
            <w:pPr>
              <w:spacing w:after="0" w:before="0" w:lineRule="auto"/>
              <w:rPr>
                <w:rFonts w:ascii="Calibri" w:cs="Calibri" w:eastAsia="Calibri" w:hAnsi="Calibri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Every response you give must clearly connect to what your partner just said. You must demonstrate at least one of the following: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color w:val="2e6da4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Ask a follow-up question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color w:val="2e6da4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Paraphrase or summarize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240" w:before="0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color w:val="2e6da4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Make a relevant personal connection</w:t>
            </w:r>
          </w:p>
        </w:tc>
      </w:tr>
    </w:tbl>
    <w:p w:rsidR="00000000" w:rsidDel="00000000" w:rsidP="00000000" w:rsidRDefault="00000000" w:rsidRPr="00000000" w14:paraId="00000014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90.0" w:type="dxa"/>
              <w:left w:w="13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e6da4"/>
                <w:sz w:val="28"/>
                <w:szCs w:val="28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color w:val="1a1a1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Sit facing your partner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color w:val="1a1a1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Decide roles: Listener and Responder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color w:val="1a1a1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You will switch roles after two rounds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color w:val="1a1a1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Keep your reference sheet nearby if needed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6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15"/>
        <w:gridCol w:w="3270"/>
        <w:gridCol w:w="3435"/>
        <w:tblGridChange w:id="0">
          <w:tblGrid>
            <w:gridCol w:w="3915"/>
            <w:gridCol w:w="3270"/>
            <w:gridCol w:w="343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b3e"/>
                <w:sz w:val="28"/>
                <w:szCs w:val="28"/>
                <w:rtl w:val="0"/>
              </w:rPr>
              <w:t xml:space="preserve">Round 1 — Full Expression 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│  2–3 min 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18"/>
                <w:szCs w:val="18"/>
                <w:rtl w:val="0"/>
              </w:rPr>
              <w:t xml:space="preserve">What to 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pacing w:after="50" w:lineRule="auto"/>
              <w:ind w:left="360" w:hanging="22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Responder answers fully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spacing w:after="50" w:lineRule="auto"/>
              <w:ind w:left="360" w:hanging="22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Listener must stay connected the entire time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spacing w:after="50" w:lineRule="auto"/>
              <w:ind w:left="360" w:hanging="22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Use all three listening moves at least once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18"/>
                <w:szCs w:val="18"/>
                <w:rtl w:val="0"/>
              </w:rPr>
              <w:t xml:space="preserve">Listener - Your Goal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after="50" w:lineRule="auto"/>
              <w:ind w:left="360" w:hanging="22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Keep the conversation flowing naturally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spacing w:after="50" w:lineRule="auto"/>
              <w:ind w:left="360" w:hanging="22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Show your partner you are tracking their ideas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after="50" w:lineRule="auto"/>
              <w:ind w:left="360" w:hanging="22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Respond to shifts in meaning, tone, or energy</w:t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18"/>
                <w:szCs w:val="18"/>
                <w:rtl w:val="0"/>
              </w:rPr>
              <w:t xml:space="preserve">Pay attention 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spacing w:after="50" w:lineRule="auto"/>
              <w:ind w:left="360" w:hanging="22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Where energy increases or drops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after="50" w:lineRule="auto"/>
              <w:ind w:left="360" w:hanging="22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What they emphasize vs. skim past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spacing w:after="50" w:lineRule="auto"/>
              <w:ind w:left="360" w:hanging="22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When something becomes more personal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after="50" w:lineRule="auto"/>
              <w:ind w:left="360" w:hanging="22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Moments where reflection (not just questioning) would land better</w:t>
            </w:r>
          </w:p>
        </w:tc>
      </w:tr>
    </w:tbl>
    <w:p w:rsidR="00000000" w:rsidDel="00000000" w:rsidP="00000000" w:rsidRDefault="00000000" w:rsidRPr="00000000" w14:paraId="0000002B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6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15"/>
        <w:gridCol w:w="3270"/>
        <w:gridCol w:w="3435"/>
        <w:tblGridChange w:id="0">
          <w:tblGrid>
            <w:gridCol w:w="3915"/>
            <w:gridCol w:w="3270"/>
            <w:gridCol w:w="3435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8f5" w:val="clear"/>
            <w:tcMar>
              <w:top w:w="80.0" w:type="dxa"/>
              <w:left w:w="13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8"/>
                <w:szCs w:val="28"/>
                <w:rtl w:val="0"/>
              </w:rPr>
              <w:t xml:space="preserve">Round 2 — Minimal Responses To Work With 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│  1–2 min each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16"/>
                <w:szCs w:val="16"/>
                <w:rtl w:val="0"/>
              </w:rPr>
              <w:t xml:space="preserve">What to 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spacing w:after="50" w:lineRule="auto"/>
              <w:ind w:left="360" w:hanging="220"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Responder answers in one word or short phrase only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spacing w:after="50" w:lineRule="auto"/>
              <w:ind w:left="360" w:hanging="220"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Listener must work with very little information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after="50" w:lineRule="auto"/>
              <w:ind w:left="360" w:hanging="220"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Use tone, body language, and word choice to guide your response</w:t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16"/>
                <w:szCs w:val="16"/>
                <w:rtl w:val="0"/>
              </w:rPr>
              <w:t xml:space="preserve">Listener - Your Goal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Demonstrate Listening using: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spacing w:after="50" w:lineRule="auto"/>
              <w:ind w:left="360" w:hanging="220"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A follow-up question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spacing w:after="50" w:lineRule="auto"/>
              <w:ind w:left="360" w:hanging="220"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A paraphrase (even from minimal info)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after="50" w:lineRule="auto"/>
              <w:ind w:left="360" w:hanging="220"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OR a small personal connection</w:t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16"/>
                <w:szCs w:val="16"/>
                <w:rtl w:val="0"/>
              </w:rPr>
              <w:t xml:space="preserve">Pay attention 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after="50" w:lineRule="auto"/>
              <w:ind w:left="360" w:hanging="220"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Hesitation before answering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spacing w:after="50" w:lineRule="auto"/>
              <w:ind w:left="360" w:hanging="220"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Tone and delivery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spacing w:after="50" w:lineRule="auto"/>
              <w:ind w:left="360" w:hanging="220"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Facial expressions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spacing w:after="50" w:lineRule="auto"/>
              <w:ind w:left="360" w:hanging="220"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What they choose to say (even briefly)</w:t>
            </w:r>
          </w:p>
        </w:tc>
      </w:tr>
    </w:tbl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df5d0" w:val="clear"/>
            <w:tcMar>
              <w:top w:w="90.0" w:type="dxa"/>
              <w:left w:w="13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60" w:before="0" w:lineRule="auto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32"/>
                <w:szCs w:val="32"/>
                <w:rtl w:val="0"/>
              </w:rPr>
              <w:t xml:space="preserve">Switch roles. Repeat both rounds.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512"/>
        <w:tblGridChange w:id="0">
          <w:tblGrid>
            <w:gridCol w:w="3000"/>
            <w:gridCol w:w="751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8f5" w:val="clear"/>
            <w:tcMar>
              <w:top w:w="80.0" w:type="dxa"/>
              <w:left w:w="13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e6da4"/>
                <w:sz w:val="28"/>
                <w:szCs w:val="28"/>
                <w:rtl w:val="0"/>
              </w:rPr>
              <w:t xml:space="preserve">Live Tracking — While You're In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8f5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18"/>
                <w:szCs w:val="18"/>
                <w:rtl w:val="0"/>
              </w:rPr>
              <w:t xml:space="preserve">Did you ask a follow up?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55555"/>
                <w:sz w:val="16"/>
                <w:szCs w:val="16"/>
                <w:rtl w:val="0"/>
              </w:rPr>
              <w:t xml:space="preserve">In response to what?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8f5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8f5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8f5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18"/>
                <w:szCs w:val="18"/>
                <w:rtl w:val="0"/>
              </w:rPr>
              <w:t xml:space="preserve">Jot down a place where you either paraphrased or drew a personal connection.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They said: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8f5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8f5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Your Response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8f5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18"/>
                <w:szCs w:val="18"/>
                <w:rtl w:val="0"/>
              </w:rPr>
              <w:t xml:space="preserve">Where did the conversation bog down?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60" w:lineRule="auto"/>
              <w:rPr>
                <w:rFonts w:ascii="Calibri" w:cs="Calibri" w:eastAsia="Calibri" w:hAnsi="Calibri"/>
                <w:b w:val="1"/>
                <w:bCs w:val="1"/>
                <w:color w:val="2e6da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55555"/>
                <w:sz w:val="16"/>
                <w:szCs w:val="16"/>
                <w:rtl w:val="0"/>
              </w:rPr>
              <w:t xml:space="preserve">Note the struggle in round two.  How might you adapt to an interview subject who doesn’t give you much to work with 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8f5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8f5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512"/>
        <w:tblGridChange w:id="0">
          <w:tblGrid>
            <w:gridCol w:w="3000"/>
            <w:gridCol w:w="751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e6b3e"/>
                <w:sz w:val="28"/>
                <w:szCs w:val="28"/>
                <w:rtl w:val="0"/>
              </w:rPr>
              <w:t xml:space="preserve">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18"/>
                <w:szCs w:val="18"/>
                <w:rtl w:val="0"/>
              </w:rPr>
              <w:t xml:space="preserve">When did your partner seem most engaged?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60" w:before="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55555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55555"/>
                <w:sz w:val="16"/>
                <w:szCs w:val="16"/>
                <w:rtl w:val="0"/>
              </w:rPr>
              <w:t xml:space="preserve">Anything you do to contribute to that?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18"/>
                <w:szCs w:val="18"/>
                <w:rtl w:val="0"/>
              </w:rPr>
              <w:t xml:space="preserve">Which of the three moves felt hardest for you?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60" w:lineRule="auto"/>
              <w:rPr>
                <w:rFonts w:ascii="Calibri" w:cs="Calibri" w:eastAsia="Calibri" w:hAnsi="Calibri"/>
                <w:i w:val="1"/>
                <w:iCs w:val="1"/>
                <w:color w:val="555555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55555"/>
                <w:sz w:val="16"/>
                <w:szCs w:val="16"/>
                <w:rtl w:val="0"/>
              </w:rPr>
              <w:t xml:space="preserve">Summarizing what they said?</w:t>
            </w:r>
          </w:p>
          <w:p w:rsidR="00000000" w:rsidDel="00000000" w:rsidP="00000000" w:rsidRDefault="00000000" w:rsidRPr="00000000" w14:paraId="00000067">
            <w:pPr>
              <w:spacing w:after="60" w:lineRule="auto"/>
              <w:rPr>
                <w:rFonts w:ascii="Calibri" w:cs="Calibri" w:eastAsia="Calibri" w:hAnsi="Calibri"/>
                <w:i w:val="1"/>
                <w:iCs w:val="1"/>
                <w:color w:val="555555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55555"/>
                <w:sz w:val="16"/>
                <w:szCs w:val="16"/>
                <w:rtl w:val="0"/>
              </w:rPr>
              <w:t xml:space="preserve">Asking a follow up?</w:t>
            </w:r>
          </w:p>
          <w:p w:rsidR="00000000" w:rsidDel="00000000" w:rsidP="00000000" w:rsidRDefault="00000000" w:rsidRPr="00000000" w14:paraId="00000068">
            <w:pPr>
              <w:spacing w:after="60" w:lineRule="auto"/>
              <w:rPr>
                <w:rFonts w:ascii="Calibri" w:cs="Calibri" w:eastAsia="Calibri" w:hAnsi="Calibri"/>
                <w:b w:val="1"/>
                <w:bCs w:val="1"/>
                <w:color w:val="2e6da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55555"/>
                <w:sz w:val="16"/>
                <w:szCs w:val="16"/>
                <w:rtl w:val="0"/>
              </w:rPr>
              <w:t xml:space="preserve">Making a personal connection?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0" w:lineRule="auto"/>
              <w:rPr>
                <w:rFonts w:ascii="Calibri" w:cs="Calibri" w:eastAsia="Calibri" w:hAnsi="Calibri"/>
                <w:b w:val="1"/>
                <w:bCs w:val="1"/>
                <w:color w:val="2e6da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18"/>
                <w:szCs w:val="18"/>
                <w:rtl w:val="0"/>
              </w:rPr>
              <w:t xml:space="preserve">When you do these things, you demonstrate your listening. </w:t>
            </w:r>
          </w:p>
          <w:p w:rsidR="00000000" w:rsidDel="00000000" w:rsidP="00000000" w:rsidRDefault="00000000" w:rsidRPr="00000000" w14:paraId="00000072">
            <w:pPr>
              <w:spacing w:after="40" w:lineRule="auto"/>
              <w:rPr>
                <w:rFonts w:ascii="Calibri" w:cs="Calibri" w:eastAsia="Calibri" w:hAnsi="Calibri"/>
                <w:b w:val="1"/>
                <w:bCs w:val="1"/>
                <w:color w:val="2e6da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40" w:lineRule="auto"/>
              <w:rPr>
                <w:rFonts w:ascii="Calibri" w:cs="Calibri" w:eastAsia="Calibri" w:hAnsi="Calibri"/>
                <w:b w:val="1"/>
                <w:bCs w:val="1"/>
                <w:color w:val="2e6da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55555"/>
                <w:sz w:val="16"/>
                <w:szCs w:val="16"/>
                <w:rtl w:val="0"/>
              </w:rPr>
              <w:t xml:space="preserve">How do you think that affects the conversation?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60" w:before="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55555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720" w:top="720" w:left="864" w:right="86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jc w:val="center"/>
      <w:rPr/>
    </w:pPr>
    <w:r w:rsidDel="00000000" w:rsidR="00000000" w:rsidRPr="00000000">
      <w:rPr>
        <w:rFonts w:ascii="Calibri" w:cs="Calibri" w:eastAsia="Calibri" w:hAnsi="Calibri"/>
        <w:color w:val="999999"/>
        <w:sz w:val="18"/>
        <w:szCs w:val="18"/>
        <w:rtl w:val="0"/>
      </w:rPr>
      <w:t xml:space="preserve">6.04  |  The Art of the Follow-Up  |  Narrative Medicine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UiaZTTDYeegocrsq/9pNzqUi6Q==">CgMxLjA4AHIhMXFaYTlfUHVYRGtCUTFjUUFOcmFFd1Q5bFpOdFFvWXZ1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