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20"/>
      </w:pPr>
      <w:r>
        <w:rPr>
          <w:rFonts w:ascii="Arial" w:cs="Arial" w:eastAsia="Arial" w:hAnsi="Arial"/>
          <w:b/>
          <w:bCs/>
          <w:color w:val="1a1a1a"/>
          <w:sz w:val="40"/>
          <w:szCs w:val="40"/>
        </w:rPr>
        <w:t xml:space="preserve">6.07 | Reflection / Naming  +  Nudge of Encouragement</w:t>
      </w:r>
    </w:p>
    <w:p>
      <w:pPr>
        <w:spacing w:after="60" w:before="60"/>
      </w:pPr>
      <w:r>
        <w:rPr>
          <w:rFonts w:ascii="Arial" w:cs="Arial" w:eastAsia="Arial" w:hAnsi="Arial"/>
          <w:b/>
          <w:bCs/>
          <w:color w:val="999999"/>
          <w:sz w:val="24"/>
          <w:szCs w:val="24"/>
        </w:rPr>
        <w:t xml:space="preserve">Two verbal moves: labeling what's underneath + getting them to keep going</w:t>
      </w:r>
    </w:p>
    <w:p>
      <w:pPr>
        <w:pBdr>
          <w:bottom w:val="single" w:color="AAAAAA" w:sz="6" w:space="1"/>
        </w:pBdr>
        <w:spacing w:after="100" w:before="100"/>
      </w:pPr>
      <w:r>
        <w:t xml:space="preserve"/>
      </w:r>
    </w:p>
    <w:p>
      <w:pPr>
        <w:spacing w:after="80" w:before="0"/>
      </w:pPr>
      <w:r>
        <w:t xml:space="preserve"/>
      </w:r>
    </w:p>
    <w:p>
      <w:pPr>
        <w:spacing w:after="60" w:before="60"/>
      </w:pPr>
      <w:r>
        <w:rPr>
          <w:rFonts w:ascii="Arial" w:cs="Arial" w:eastAsia="Arial" w:hAnsi="Arial"/>
          <w:sz w:val="22"/>
          <w:szCs w:val="22"/>
        </w:rPr>
        <w:t xml:space="preserve">These two moves are paired because they're both quiet. They don't ask big questions. They don't redirect the conversation. They hold space and push slightly forward. Used at the right moment, either one can unlock more than a direct question would.</w:t>
      </w:r>
    </w:p>
    <w:p>
      <w:pPr>
        <w:spacing w:after="120" w:before="0"/>
      </w:pPr>
      <w:r>
        <w:t xml:space="preserve"/>
      </w:r>
    </w:p>
    <w:p>
      <w:pPr>
        <w:pBdr>
          <w:bottom w:val="single" w:color="CCCCCC" w:sz="6" w:space="1"/>
        </w:pBdr>
        <w:spacing w:after="100" w:before="100"/>
      </w:pPr>
      <w:r>
        <w:t xml:space="preserve"/>
      </w:r>
    </w:p>
    <w:p>
      <w:pPr>
        <w:spacing w:after="80" w:before="240"/>
      </w:pPr>
      <w:r>
        <w:rPr>
          <w:rFonts w:ascii="Arial" w:cs="Arial" w:eastAsia="Arial" w:hAnsi="Arial"/>
          <w:b/>
          <w:bCs/>
          <w:color w:val="6B4FA0"/>
          <w:sz w:val="28"/>
          <w:szCs w:val="28"/>
        </w:rPr>
        <w:t xml:space="preserve">Reflection / Naming</w:t>
      </w:r>
    </w:p>
    <w:p>
      <w:pPr>
        <w:pBdr>
          <w:bottom w:val="single" w:color="CCCCCC" w:sz="6" w:space="1"/>
        </w:pBdr>
        <w:spacing w:after="100" w:before="100"/>
      </w:pPr>
      <w:r>
        <w:t xml:space="preserve"/>
      </w:r>
    </w:p>
    <w:p>
      <w:pPr>
        <w:spacing w:after="60" w:before="0"/>
      </w:pPr>
      <w:r>
        <w:t xml:space="preserve"/>
      </w:r>
    </w:p>
    <w:p>
      <w:pPr>
        <w:spacing w:after="60" w:before="60"/>
      </w:pPr>
      <w:r>
        <w:rPr>
          <w:rFonts w:ascii="Arial" w:cs="Arial" w:eastAsia="Arial" w:hAnsi="Arial"/>
          <w:sz w:val="22"/>
          <w:szCs w:val="22"/>
        </w:rPr>
        <w:t xml:space="preserve">Reflection means naming an emotion that the respondent hasn't named directly — but that's clearly present in how they're speaking. You're labeling what you're hearing underneath the words.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6B4FA0" w:val="clear"/>
            <w:tcMar>
              <w:top w:type="dxa" w:w="80"/>
              <w:left w:type="dxa" w:w="160"/>
              <w:bottom w:type="dxa" w:w="80"/>
              <w:right w:type="dxa" w:w="160"/>
            </w:tcMar>
          </w:tcPr>
          <w:p>
            <w:r>
              <w:rPr>
                <w:rFonts w:ascii="Arial" w:cs="Arial" w:eastAsia="Arial" w:hAnsi="Arial"/>
                <w:b/>
                <w:bCs/>
                <w:color w:val="FFFFFF"/>
                <w:sz w:val="22"/>
                <w:szCs w:val="22"/>
              </w:rPr>
              <w:t xml:space="preserve">Reflection / Naming patterns</w:t>
            </w:r>
          </w:p>
        </w:tc>
      </w:tr>
      <w:tr>
        <w:tc>
          <w:tcPr>
            <w:tcW w:type="dxa" w:w="9360"/>
            <w:tcBorders>
              <w:top w:val="single" w:color="CCCCCC" w:sz="4"/>
              <w:left w:val="single" w:color="CCCCCC" w:sz="4"/>
              <w:bottom w:val="single" w:color="CCCCCC" w:sz="4"/>
              <w:right w:val="single" w:color="CCCCCC" w:sz="4"/>
            </w:tcBorders>
            <w:shd w:fill="F3EFFE" w:val="clear"/>
            <w:tcMar>
              <w:top w:type="dxa" w:w="60"/>
              <w:left w:type="dxa" w:w="160"/>
              <w:bottom w:type="dxa" w:w="60"/>
              <w:right w:type="dxa" w:w="160"/>
            </w:tcMar>
          </w:tcPr>
          <w:p>
            <w:r>
              <w:rPr>
                <w:rFonts w:ascii="Arial" w:cs="Arial" w:eastAsia="Arial" w:hAnsi="Arial"/>
                <w:i/>
                <w:iCs/>
                <w:sz w:val="21"/>
                <w:szCs w:val="21"/>
              </w:rPr>
              <w:t xml:space="preserve">"It sounds like you were exhausted."</w:t>
            </w:r>
          </w:p>
        </w:tc>
      </w:tr>
      <w:tr>
        <w:tc>
          <w:tcPr>
            <w:tcW w:type="dxa" w:w="9360"/>
            <w:tcBorders>
              <w:top w:val="single" w:color="CCCCCC" w:sz="4"/>
              <w:left w:val="single" w:color="CCCCCC" w:sz="4"/>
              <w:bottom w:val="single" w:color="CCCCCC" w:sz="4"/>
              <w:right w:val="single" w:color="CCCCCC" w:sz="4"/>
            </w:tcBorders>
            <w:shd w:fill="F3EFFE" w:val="clear"/>
            <w:tcMar>
              <w:top w:type="dxa" w:w="60"/>
              <w:left w:type="dxa" w:w="160"/>
              <w:bottom w:type="dxa" w:w="60"/>
              <w:right w:type="dxa" w:w="160"/>
            </w:tcMar>
          </w:tcPr>
          <w:p>
            <w:r>
              <w:rPr>
                <w:rFonts w:ascii="Arial" w:cs="Arial" w:eastAsia="Arial" w:hAnsi="Arial"/>
                <w:i/>
                <w:iCs/>
                <w:sz w:val="21"/>
                <w:szCs w:val="21"/>
              </w:rPr>
              <w:t xml:space="preserve">"I'm hearing some real frustration in there."</w:t>
            </w:r>
          </w:p>
        </w:tc>
      </w:tr>
      <w:tr>
        <w:tc>
          <w:tcPr>
            <w:tcW w:type="dxa" w:w="9360"/>
            <w:tcBorders>
              <w:top w:val="single" w:color="CCCCCC" w:sz="4"/>
              <w:left w:val="single" w:color="CCCCCC" w:sz="4"/>
              <w:bottom w:val="single" w:color="CCCCCC" w:sz="4"/>
              <w:right w:val="single" w:color="CCCCCC" w:sz="4"/>
            </w:tcBorders>
            <w:shd w:fill="F3EFFE" w:val="clear"/>
            <w:tcMar>
              <w:top w:type="dxa" w:w="60"/>
              <w:left w:type="dxa" w:w="160"/>
              <w:bottom w:type="dxa" w:w="60"/>
              <w:right w:type="dxa" w:w="160"/>
            </w:tcMar>
          </w:tcPr>
          <w:p>
            <w:r>
              <w:rPr>
                <w:rFonts w:ascii="Arial" w:cs="Arial" w:eastAsia="Arial" w:hAnsi="Arial"/>
                <w:i/>
                <w:iCs/>
                <w:sz w:val="21"/>
                <w:szCs w:val="21"/>
              </w:rPr>
              <w:t xml:space="preserve">"That sounds incredibly isolating."</w:t>
            </w:r>
          </w:p>
        </w:tc>
      </w:tr>
      <w:tr>
        <w:tc>
          <w:tcPr>
            <w:tcW w:type="dxa" w:w="9360"/>
            <w:tcBorders>
              <w:top w:val="single" w:color="CCCCCC" w:sz="4"/>
              <w:left w:val="single" w:color="CCCCCC" w:sz="4"/>
              <w:bottom w:val="single" w:color="CCCCCC" w:sz="4"/>
              <w:right w:val="single" w:color="CCCCCC" w:sz="4"/>
            </w:tcBorders>
            <w:shd w:fill="F3EFFE" w:val="clear"/>
            <w:tcMar>
              <w:top w:type="dxa" w:w="60"/>
              <w:left w:type="dxa" w:w="160"/>
              <w:bottom w:type="dxa" w:w="60"/>
              <w:right w:type="dxa" w:w="160"/>
            </w:tcMar>
          </w:tcPr>
          <w:p>
            <w:r>
              <w:rPr>
                <w:rFonts w:ascii="Arial" w:cs="Arial" w:eastAsia="Arial" w:hAnsi="Arial"/>
                <w:i/>
                <w:iCs/>
                <w:sz w:val="21"/>
                <w:szCs w:val="21"/>
              </w:rPr>
              <w:t xml:space="preserve">"There's a lot of pride in the way you talk about that."</w:t>
            </w:r>
          </w:p>
        </w:tc>
      </w:tr>
      <w:tr>
        <w:tc>
          <w:tcPr>
            <w:tcW w:type="dxa" w:w="9360"/>
            <w:tcBorders>
              <w:top w:val="single" w:color="CCCCCC" w:sz="4"/>
              <w:left w:val="single" w:color="CCCCCC" w:sz="4"/>
              <w:bottom w:val="single" w:color="CCCCCC" w:sz="4"/>
              <w:right w:val="single" w:color="CCCCCC" w:sz="4"/>
            </w:tcBorders>
            <w:shd w:fill="F3EFFE" w:val="clear"/>
            <w:tcMar>
              <w:top w:type="dxa" w:w="60"/>
              <w:left w:type="dxa" w:w="160"/>
              <w:bottom w:type="dxa" w:w="60"/>
              <w:right w:type="dxa" w:w="160"/>
            </w:tcMar>
          </w:tcPr>
          <w:p>
            <w:r>
              <w:rPr>
                <w:rFonts w:ascii="Arial" w:cs="Arial" w:eastAsia="Arial" w:hAnsi="Arial"/>
                <w:i/>
                <w:iCs/>
                <w:sz w:val="21"/>
                <w:szCs w:val="21"/>
              </w:rPr>
              <w:t xml:space="preserve">"Judging by your tone, I'd bet that was devastating."</w:t>
            </w:r>
          </w:p>
        </w:tc>
      </w:tr>
      <w:tr>
        <w:tc>
          <w:tcPr>
            <w:tcW w:type="dxa" w:w="9360"/>
            <w:tcBorders>
              <w:top w:val="single" w:color="CCCCCC" w:sz="4"/>
              <w:left w:val="single" w:color="CCCCCC" w:sz="4"/>
              <w:bottom w:val="single" w:color="CCCCCC" w:sz="4"/>
              <w:right w:val="single" w:color="CCCCCC" w:sz="4"/>
            </w:tcBorders>
            <w:shd w:fill="F3EFFE" w:val="clear"/>
            <w:tcMar>
              <w:top w:type="dxa" w:w="60"/>
              <w:left w:type="dxa" w:w="160"/>
              <w:bottom w:type="dxa" w:w="60"/>
              <w:right w:type="dxa" w:w="160"/>
            </w:tcMar>
          </w:tcPr>
          <w:p>
            <w:r>
              <w:rPr>
                <w:rFonts w:ascii="Arial" w:cs="Arial" w:eastAsia="Arial" w:hAnsi="Arial"/>
                <w:i/>
                <w:iCs/>
                <w:sz w:val="21"/>
                <w:szCs w:val="21"/>
              </w:rPr>
              <w:t xml:space="preserve">"It sounds like a part of you was relieved — even if you didn't want to admit it."</w:t>
            </w:r>
          </w:p>
        </w:tc>
      </w:tr>
    </w:tbl>
    <w:p>
      <w:pPr>
        <w:spacing w:after="80" w:before="0"/>
      </w:pPr>
      <w:r>
        <w:t xml:space="preserve"/>
      </w:r>
    </w:p>
    <w:p>
      <w:pPr>
        <w:spacing w:after="60" w:before="60"/>
      </w:pPr>
      <w:r>
        <w:rPr>
          <w:rFonts w:ascii="Arial" w:cs="Arial" w:eastAsia="Arial" w:hAnsi="Arial"/>
          <w:sz w:val="22"/>
          <w:szCs w:val="22"/>
        </w:rPr>
        <w:t xml:space="preserve">The respondent almost always corrects or confirms. Either way, the conversation deepens. If you named it wrong, they'll tell you what was actually there. That's useful too.</w:t>
      </w:r>
    </w:p>
    <w:p>
      <w:pPr>
        <w:spacing w:after="120" w:before="0"/>
      </w:pPr>
      <w:r>
        <w:t xml:space="preserve"/>
      </w:r>
    </w:p>
    <w:p>
      <w:pPr>
        <w:pBdr>
          <w:bottom w:val="single" w:color="CCCCCC" w:sz="6" w:space="1"/>
        </w:pBdr>
        <w:spacing w:after="100" w:before="100"/>
      </w:pPr>
      <w:r>
        <w:t xml:space="preserve"/>
      </w:r>
    </w:p>
    <w:p>
      <w:pPr>
        <w:spacing w:after="80" w:before="240"/>
      </w:pPr>
      <w:r>
        <w:rPr>
          <w:rFonts w:ascii="Arial" w:cs="Arial" w:eastAsia="Arial" w:hAnsi="Arial"/>
          <w:b/>
          <w:bCs/>
          <w:color w:val="2A6B4A"/>
          <w:sz w:val="28"/>
          <w:szCs w:val="28"/>
        </w:rPr>
        <w:t xml:space="preserve">Nudge of Encouragement</w:t>
      </w:r>
    </w:p>
    <w:p>
      <w:pPr>
        <w:pBdr>
          <w:bottom w:val="single" w:color="CCCCCC" w:sz="6" w:space="1"/>
        </w:pBdr>
        <w:spacing w:after="100" w:before="100"/>
      </w:pPr>
      <w:r>
        <w:t xml:space="preserve"/>
      </w:r>
    </w:p>
    <w:p>
      <w:pPr>
        <w:spacing w:after="60" w:before="0"/>
      </w:pPr>
      <w:r>
        <w:t xml:space="preserve"/>
      </w:r>
    </w:p>
    <w:p>
      <w:pPr>
        <w:spacing w:after="60" w:before="60"/>
      </w:pPr>
      <w:r>
        <w:rPr>
          <w:rFonts w:ascii="Arial" w:cs="Arial" w:eastAsia="Arial" w:hAnsi="Arial"/>
          <w:sz w:val="22"/>
          <w:szCs w:val="22"/>
        </w:rPr>
        <w:t xml:space="preserve">A Nudge is a minimal signal that says: keep going. I'm with you. You don't need to redirect — just let them know they have room to keep talking.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2A6B4A" w:val="clear"/>
            <w:tcMar>
              <w:top w:type="dxa" w:w="80"/>
              <w:left w:type="dxa" w:w="160"/>
              <w:bottom w:type="dxa" w:w="80"/>
              <w:right w:type="dxa" w:w="160"/>
            </w:tcMar>
          </w:tcPr>
          <w:p>
            <w:r>
              <w:rPr>
                <w:rFonts w:ascii="Arial" w:cs="Arial" w:eastAsia="Arial" w:hAnsi="Arial"/>
                <w:b/>
                <w:bCs/>
                <w:color w:val="FFFFFF"/>
                <w:sz w:val="22"/>
                <w:szCs w:val="22"/>
              </w:rPr>
              <w:t xml:space="preserve">Nudge patterns</w:t>
            </w:r>
          </w:p>
        </w:tc>
      </w:tr>
      <w:tr>
        <w:tc>
          <w:tcPr>
            <w:tcW w:type="dxa" w:w="9360"/>
            <w:tcBorders>
              <w:top w:val="single" w:color="CCCCCC" w:sz="4"/>
              <w:left w:val="single" w:color="CCCCCC" w:sz="4"/>
              <w:bottom w:val="single" w:color="CCCCCC" w:sz="4"/>
              <w:right w:val="single" w:color="CCCCCC" w:sz="4"/>
            </w:tcBorders>
            <w:shd w:fill="EAFAF1" w:val="clear"/>
            <w:tcMar>
              <w:top w:type="dxa" w:w="60"/>
              <w:left w:type="dxa" w:w="160"/>
              <w:bottom w:type="dxa" w:w="60"/>
              <w:right w:type="dxa" w:w="160"/>
            </w:tcMar>
          </w:tcPr>
          <w:p>
            <w:r>
              <w:rPr>
                <w:rFonts w:ascii="Arial" w:cs="Arial" w:eastAsia="Arial" w:hAnsi="Arial"/>
                <w:i/>
                <w:iCs/>
                <w:sz w:val="21"/>
                <w:szCs w:val="21"/>
              </w:rPr>
              <w:t xml:space="preserve">"Elaborate on that."</w:t>
            </w:r>
          </w:p>
        </w:tc>
      </w:tr>
      <w:tr>
        <w:tc>
          <w:tcPr>
            <w:tcW w:type="dxa" w:w="9360"/>
            <w:tcBorders>
              <w:top w:val="single" w:color="CCCCCC" w:sz="4"/>
              <w:left w:val="single" w:color="CCCCCC" w:sz="4"/>
              <w:bottom w:val="single" w:color="CCCCCC" w:sz="4"/>
              <w:right w:val="single" w:color="CCCCCC" w:sz="4"/>
            </w:tcBorders>
            <w:shd w:fill="EAFAF1" w:val="clear"/>
            <w:tcMar>
              <w:top w:type="dxa" w:w="60"/>
              <w:left w:type="dxa" w:w="160"/>
              <w:bottom w:type="dxa" w:w="60"/>
              <w:right w:type="dxa" w:w="160"/>
            </w:tcMar>
          </w:tcPr>
          <w:p>
            <w:r>
              <w:rPr>
                <w:rFonts w:ascii="Arial" w:cs="Arial" w:eastAsia="Arial" w:hAnsi="Arial"/>
                <w:i/>
                <w:iCs/>
                <w:sz w:val="21"/>
                <w:szCs w:val="21"/>
              </w:rPr>
              <w:t xml:space="preserve">"Say more about that."</w:t>
            </w:r>
          </w:p>
        </w:tc>
      </w:tr>
      <w:tr>
        <w:tc>
          <w:tcPr>
            <w:tcW w:type="dxa" w:w="9360"/>
            <w:tcBorders>
              <w:top w:val="single" w:color="CCCCCC" w:sz="4"/>
              <w:left w:val="single" w:color="CCCCCC" w:sz="4"/>
              <w:bottom w:val="single" w:color="CCCCCC" w:sz="4"/>
              <w:right w:val="single" w:color="CCCCCC" w:sz="4"/>
            </w:tcBorders>
            <w:shd w:fill="EAFAF1" w:val="clear"/>
            <w:tcMar>
              <w:top w:type="dxa" w:w="60"/>
              <w:left w:type="dxa" w:w="160"/>
              <w:bottom w:type="dxa" w:w="60"/>
              <w:right w:type="dxa" w:w="160"/>
            </w:tcMar>
          </w:tcPr>
          <w:p>
            <w:r>
              <w:rPr>
                <w:rFonts w:ascii="Arial" w:cs="Arial" w:eastAsia="Arial" w:hAnsi="Arial"/>
                <w:i/>
                <w:iCs/>
                <w:sz w:val="21"/>
                <w:szCs w:val="21"/>
              </w:rPr>
              <w:t xml:space="preserve">"Could you go into that a bit more?"</w:t>
            </w:r>
          </w:p>
        </w:tc>
      </w:tr>
      <w:tr>
        <w:tc>
          <w:tcPr>
            <w:tcW w:type="dxa" w:w="9360"/>
            <w:tcBorders>
              <w:top w:val="single" w:color="CCCCCC" w:sz="4"/>
              <w:left w:val="single" w:color="CCCCCC" w:sz="4"/>
              <w:bottom w:val="single" w:color="CCCCCC" w:sz="4"/>
              <w:right w:val="single" w:color="CCCCCC" w:sz="4"/>
            </w:tcBorders>
            <w:shd w:fill="EAFAF1" w:val="clear"/>
            <w:tcMar>
              <w:top w:type="dxa" w:w="60"/>
              <w:left w:type="dxa" w:w="160"/>
              <w:bottom w:type="dxa" w:w="60"/>
              <w:right w:type="dxa" w:w="160"/>
            </w:tcMar>
          </w:tcPr>
          <w:p>
            <w:r>
              <w:rPr>
                <w:rFonts w:ascii="Arial" w:cs="Arial" w:eastAsia="Arial" w:hAnsi="Arial"/>
                <w:i/>
                <w:iCs/>
                <w:sz w:val="21"/>
                <w:szCs w:val="21"/>
              </w:rPr>
              <w:t xml:space="preserve">"No way — really?"</w:t>
            </w:r>
          </w:p>
        </w:tc>
      </w:tr>
      <w:tr>
        <w:tc>
          <w:tcPr>
            <w:tcW w:type="dxa" w:w="9360"/>
            <w:tcBorders>
              <w:top w:val="single" w:color="CCCCCC" w:sz="4"/>
              <w:left w:val="single" w:color="CCCCCC" w:sz="4"/>
              <w:bottom w:val="single" w:color="CCCCCC" w:sz="4"/>
              <w:right w:val="single" w:color="CCCCCC" w:sz="4"/>
            </w:tcBorders>
            <w:shd w:fill="EAFAF1" w:val="clear"/>
            <w:tcMar>
              <w:top w:type="dxa" w:w="60"/>
              <w:left w:type="dxa" w:w="160"/>
              <w:bottom w:type="dxa" w:w="60"/>
              <w:right w:type="dxa" w:w="160"/>
            </w:tcMar>
          </w:tcPr>
          <w:p>
            <w:r>
              <w:rPr>
                <w:rFonts w:ascii="Arial" w:cs="Arial" w:eastAsia="Arial" w:hAnsi="Arial"/>
                <w:i/>
                <w:iCs/>
                <w:sz w:val="21"/>
                <w:szCs w:val="21"/>
              </w:rPr>
              <w:t xml:space="preserve">"That's worth sitting with. Tell me more."</w:t>
            </w:r>
          </w:p>
        </w:tc>
      </w:tr>
      <w:tr>
        <w:tc>
          <w:tcPr>
            <w:tcW w:type="dxa" w:w="9360"/>
            <w:tcBorders>
              <w:top w:val="single" w:color="CCCCCC" w:sz="4"/>
              <w:left w:val="single" w:color="CCCCCC" w:sz="4"/>
              <w:bottom w:val="single" w:color="CCCCCC" w:sz="4"/>
              <w:right w:val="single" w:color="CCCCCC" w:sz="4"/>
            </w:tcBorders>
            <w:shd w:fill="EAFAF1" w:val="clear"/>
            <w:tcMar>
              <w:top w:type="dxa" w:w="60"/>
              <w:left w:type="dxa" w:w="160"/>
              <w:bottom w:type="dxa" w:w="60"/>
              <w:right w:type="dxa" w:w="160"/>
            </w:tcMar>
          </w:tcPr>
          <w:p>
            <w:r>
              <w:rPr>
                <w:rFonts w:ascii="Arial" w:cs="Arial" w:eastAsia="Arial" w:hAnsi="Arial"/>
                <w:i/>
                <w:iCs/>
                <w:sz w:val="21"/>
                <w:szCs w:val="21"/>
              </w:rPr>
              <w:t xml:space="preserve">"I want to make sure I understand — can you say that another way?"</w:t>
            </w:r>
          </w:p>
        </w:tc>
      </w:tr>
    </w:tbl>
    <w:p>
      <w:pPr>
        <w:spacing w:after="80" w:before="0"/>
      </w:pPr>
      <w:r>
        <w:t xml:space="preserve"/>
      </w:r>
    </w:p>
    <w:p>
      <w:pPr>
        <w:spacing w:after="60" w:before="60"/>
      </w:pPr>
      <w:r>
        <w:rPr>
          <w:rFonts w:ascii="Arial" w:cs="Arial" w:eastAsia="Arial" w:hAnsi="Arial"/>
          <w:sz w:val="22"/>
          <w:szCs w:val="22"/>
        </w:rPr>
        <w:t xml:space="preserve">The Nudge is easy to overuse. Two or three in a row without a question is a missed opportunity. The tool flags that pattern.</w:t>
      </w:r>
    </w:p>
    <w:p>
      <w:pPr>
        <w:spacing w:after="120" w:before="0"/>
      </w:pPr>
      <w:r>
        <w:t xml:space="preserve"/>
      </w:r>
    </w:p>
    <w:p>
      <w:pPr>
        <w:pBdr>
          <w:bottom w:val="single" w:color="CCCCCC" w:sz="6" w:space="1"/>
        </w:pBdr>
        <w:spacing w:after="100" w:before="100"/>
      </w:pPr>
      <w:r>
        <w:t xml:space="preserve"/>
      </w:r>
    </w:p>
    <w:p>
      <w:pPr>
        <w:spacing w:after="80" w:before="240"/>
      </w:pPr>
      <w:r>
        <w:rPr>
          <w:rFonts w:ascii="Arial" w:cs="Arial" w:eastAsia="Arial" w:hAnsi="Arial"/>
          <w:b/>
          <w:bCs/>
          <w:color w:val="333333"/>
          <w:sz w:val="28"/>
          <w:szCs w:val="28"/>
        </w:rPr>
        <w:t xml:space="preserve">Practice: Both Moves</w:t>
      </w:r>
    </w:p>
    <w:p>
      <w:pPr>
        <w:pBdr>
          <w:bottom w:val="single" w:color="CCCCCC" w:sz="6" w:space="1"/>
        </w:pBdr>
        <w:spacing w:after="100" w:before="100"/>
      </w:pPr>
      <w:r>
        <w:t xml:space="preserve"/>
      </w:r>
    </w:p>
    <w:p>
      <w:pPr>
        <w:spacing w:after="60" w:before="0"/>
      </w:pPr>
      <w:r>
        <w:t xml:space="preserve"/>
      </w:r>
    </w:p>
    <w:p>
      <w:pPr>
        <w:spacing w:after="60" w:before="60"/>
      </w:pPr>
      <w:r>
        <w:rPr>
          <w:rFonts w:ascii="Arial" w:cs="Arial" w:eastAsia="Arial" w:hAnsi="Arial"/>
          <w:sz w:val="22"/>
          <w:szCs w:val="22"/>
        </w:rPr>
        <w:t xml:space="preserve">For each scenario, write either a Reflection/Naming response or a Nudge. Label which one you're using.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4"/>
              <w:left w:val="single" w:color="CCCCCC" w:sz="4"/>
              <w:bottom w:val="single" w:color="CCCCCC" w:sz="4"/>
              <w:right w:val="single" w:color="CCCCCC" w:sz="4"/>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They said</w:t>
            </w:r>
          </w:p>
        </w:tc>
        <w:tc>
          <w:tcPr>
            <w:tcW w:type="dxa" w:w="5560"/>
            <w:tcBorders>
              <w:top w:val="single" w:color="CCCCCC" w:sz="4"/>
              <w:left w:val="single" w:color="CCCCCC" w:sz="4"/>
              <w:bottom w:val="single" w:color="CCCCCC" w:sz="4"/>
              <w:right w:val="single" w:color="CCCCCC" w:sz="4"/>
            </w:tcBorders>
            <w:shd w:fill="2C3E50" w:val="clear"/>
            <w:tcMar>
              <w:top w:type="dxa" w:w="80"/>
              <w:left w:type="dxa" w:w="160"/>
              <w:bottom w:type="dxa" w:w="80"/>
              <w:right w:type="dxa" w:w="160"/>
            </w:tcMar>
          </w:tcPr>
          <w:p>
            <w:r>
              <w:rPr>
                <w:rFonts w:ascii="Arial" w:cs="Arial" w:eastAsia="Arial" w:hAnsi="Arial"/>
                <w:b/>
                <w:bCs/>
                <w:color w:val="FFFFFF"/>
                <w:sz w:val="20"/>
                <w:szCs w:val="20"/>
              </w:rPr>
              <w:t xml:space="preserve">Your move</w:t>
            </w:r>
          </w:p>
        </w:tc>
      </w:tr>
      <w:tr>
        <w:tc>
          <w:tcPr>
            <w:tcW w:type="dxa" w:w="3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i/>
                <w:iCs/>
                <w:sz w:val="20"/>
                <w:szCs w:val="20"/>
              </w:rPr>
              <w:t xml:space="preserve">"We just — we kept going. I don't know how. We just did. There wasn't really another option." [voice quieter, slower]</w:t>
            </w:r>
          </w:p>
        </w:tc>
        <w:tc>
          <w:tcPr>
            <w:tcW w:type="dxa" w:w="5560"/>
            <w:tcBorders>
              <w:top w:val="single" w:color="CCCCCC" w:sz="4"/>
              <w:left w:val="single" w:color="CCCCCC" w:sz="4"/>
              <w:bottom w:val="single" w:color="CCCCCC" w:sz="4"/>
              <w:right w:val="single" w:color="CCCCCC" w:sz="4"/>
            </w:tcBorders>
            <w:shd w:fill="FFFFFF" w:val="clear"/>
            <w:tcMar>
              <w:top w:type="dxa" w:w="80"/>
              <w:left w:type="dxa" w:w="160"/>
              <w:bottom w:type="dxa" w:w="200"/>
              <w:right w:type="dxa" w:w="160"/>
            </w:tcMar>
          </w:tcPr>
          <w:p>
            <w:r>
              <w:rPr>
                <w:rFonts w:ascii="Arial" w:cs="Arial" w:eastAsia="Arial" w:hAnsi="Arial"/>
                <w:i/>
                <w:iCs/>
                <w:color w:val="CCCCCC"/>
                <w:sz w:val="18"/>
                <w:szCs w:val="18"/>
              </w:rPr>
              <w:t xml:space="preserve">What's the emotion underneath? Name it. OR: give them room to keep going.</w:t>
            </w:r>
          </w:p>
        </w:tc>
      </w:tr>
      <w:tr>
        <w:tc>
          <w:tcPr>
            <w:tcW w:type="dxa" w:w="3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i/>
                <w:iCs/>
                <w:sz w:val="20"/>
                <w:szCs w:val="20"/>
              </w:rPr>
              <w:t xml:space="preserve">"My dad never said he was proud of me. Not once. I just... I knew it, I think. Or told myself I did."</w:t>
            </w:r>
          </w:p>
        </w:tc>
        <w:tc>
          <w:tcPr>
            <w:tcW w:type="dxa" w:w="5560"/>
            <w:tcBorders>
              <w:top w:val="single" w:color="CCCCCC" w:sz="4"/>
              <w:left w:val="single" w:color="CCCCCC" w:sz="4"/>
              <w:bottom w:val="single" w:color="CCCCCC" w:sz="4"/>
              <w:right w:val="single" w:color="CCCCCC" w:sz="4"/>
            </w:tcBorders>
            <w:shd w:fill="FFFFFF" w:val="clear"/>
            <w:tcMar>
              <w:top w:type="dxa" w:w="80"/>
              <w:left w:type="dxa" w:w="160"/>
              <w:bottom w:type="dxa" w:w="200"/>
              <w:right w:type="dxa" w:w="160"/>
            </w:tcMar>
          </w:tcPr>
          <w:p>
            <w:r>
              <w:rPr>
                <w:rFonts w:ascii="Arial" w:cs="Arial" w:eastAsia="Arial" w:hAnsi="Arial"/>
                <w:i/>
                <w:iCs/>
                <w:color w:val="CCCCCC"/>
                <w:sz w:val="18"/>
                <w:szCs w:val="18"/>
              </w:rPr>
              <w:t xml:space="preserve">Reflection: what's the feeling they're circling? Name it.</w:t>
            </w:r>
          </w:p>
        </w:tc>
      </w:tr>
      <w:tr>
        <w:tc>
          <w:tcPr>
            <w:tcW w:type="dxa" w:w="3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i/>
                <w:iCs/>
                <w:sz w:val="20"/>
                <w:szCs w:val="20"/>
              </w:rPr>
              <w:t xml:space="preserve">"I got the letter and I just stood there for a minute. Didn't open it. Just held it."</w:t>
            </w:r>
          </w:p>
        </w:tc>
        <w:tc>
          <w:tcPr>
            <w:tcW w:type="dxa" w:w="5560"/>
            <w:tcBorders>
              <w:top w:val="single" w:color="CCCCCC" w:sz="4"/>
              <w:left w:val="single" w:color="CCCCCC" w:sz="4"/>
              <w:bottom w:val="single" w:color="CCCCCC" w:sz="4"/>
              <w:right w:val="single" w:color="CCCCCC" w:sz="4"/>
            </w:tcBorders>
            <w:shd w:fill="FFFFFF" w:val="clear"/>
            <w:tcMar>
              <w:top w:type="dxa" w:w="80"/>
              <w:left w:type="dxa" w:w="160"/>
              <w:bottom w:type="dxa" w:w="200"/>
              <w:right w:type="dxa" w:w="160"/>
            </w:tcMar>
          </w:tcPr>
          <w:p>
            <w:r>
              <w:rPr>
                <w:rFonts w:ascii="Arial" w:cs="Arial" w:eastAsia="Arial" w:hAnsi="Arial"/>
                <w:i/>
                <w:iCs/>
                <w:color w:val="CCCCCC"/>
                <w:sz w:val="18"/>
                <w:szCs w:val="18"/>
              </w:rPr>
              <w:t xml:space="preserve">Nudge: what one phrase gets them to say what happened next?</w:t>
            </w:r>
          </w:p>
        </w:tc>
      </w:tr>
    </w:tbl>
    <w:p>
      <w:pPr>
        <w:spacing w:after="120" w:before="0"/>
      </w:pPr>
      <w:r>
        <w:t xml:space="preserve"/>
      </w:r>
    </w:p>
    <w:p>
      <w:pPr>
        <w:pBdr>
          <w:bottom w:val="single" w:color="CCCCCC" w:sz="6" w:space="1"/>
        </w:pBdr>
        <w:spacing w:after="100" w:before="100"/>
      </w:pPr>
      <w:r>
        <w:t xml:space="preserve"/>
      </w:r>
    </w:p>
    <w:p>
      <w:pPr>
        <w:spacing w:after="80" w:before="240"/>
      </w:pPr>
      <w:r>
        <w:rPr>
          <w:rFonts w:ascii="Arial" w:cs="Arial" w:eastAsia="Arial" w:hAnsi="Arial"/>
          <w:b/>
          <w:bCs/>
          <w:color w:val="333333"/>
          <w:sz w:val="28"/>
          <w:szCs w:val="28"/>
        </w:rPr>
        <w:t xml:space="preserve">Success Criteria</w:t>
      </w:r>
    </w:p>
    <w:p>
      <w:pPr>
        <w:pBdr>
          <w:bottom w:val="single" w:color="CCCCCC" w:sz="6" w:space="1"/>
        </w:pBdr>
        <w:spacing w:after="100" w:before="100"/>
      </w:pPr>
      <w:r>
        <w:t xml:space="preserve"/>
      </w:r>
    </w:p>
    <w:p>
      <w:pPr>
        <w:spacing w:after="60" w:before="0"/>
      </w:pPr>
      <w:r>
        <w:t xml:space="preserve"/>
      </w:r>
    </w:p>
    <w:p>
      <w:pPr>
        <w:pStyle w:val="ListParagraph"/>
        <w:numPr>
          <w:ilvl w:val="0"/>
          <w:numId w:val="2"/>
        </w:numPr>
        <w:spacing w:after="40" w:before="40"/>
      </w:pPr>
      <w:r>
        <w:rPr>
          <w:rFonts w:ascii="Arial" w:cs="Arial" w:eastAsia="Arial" w:hAnsi="Arial"/>
          <w:b/>
          <w:bCs/>
          <w:sz w:val="22"/>
          <w:szCs w:val="22"/>
        </w:rPr>
        <w:t xml:space="preserve">Reflection / Naming:  </w:t>
      </w:r>
      <w:r>
        <w:rPr>
          <w:rFonts w:ascii="Arial" w:cs="Arial" w:eastAsia="Arial" w:hAnsi="Arial"/>
          <w:sz w:val="22"/>
          <w:szCs w:val="22"/>
        </w:rPr>
        <w:t xml:space="preserve">You name an emotion. The respondent confirms or corrects. You didn't assume — you offered.</w:t>
      </w:r>
    </w:p>
    <w:p>
      <w:pPr>
        <w:pStyle w:val="ListParagraph"/>
        <w:numPr>
          <w:ilvl w:val="0"/>
          <w:numId w:val="2"/>
        </w:numPr>
        <w:spacing w:after="40" w:before="40"/>
      </w:pPr>
      <w:r>
        <w:rPr>
          <w:rFonts w:ascii="Arial" w:cs="Arial" w:eastAsia="Arial" w:hAnsi="Arial"/>
          <w:b/>
          <w:bCs/>
          <w:sz w:val="22"/>
          <w:szCs w:val="22"/>
        </w:rPr>
        <w:t xml:space="preserve">Nudge:  </w:t>
      </w:r>
      <w:r>
        <w:rPr>
          <w:rFonts w:ascii="Arial" w:cs="Arial" w:eastAsia="Arial" w:hAnsi="Arial"/>
          <w:sz w:val="22"/>
          <w:szCs w:val="22"/>
        </w:rPr>
        <w:t xml:space="preserve">You signal forward motion without redirecting. Short, clean, no question mark required.</w:t>
      </w:r>
    </w:p>
    <w:p>
      <w:pPr>
        <w:pStyle w:val="ListParagraph"/>
        <w:numPr>
          <w:ilvl w:val="0"/>
          <w:numId w:val="2"/>
        </w:numPr>
        <w:spacing w:after="40" w:before="40"/>
      </w:pPr>
      <w:r>
        <w:rPr>
          <w:rFonts w:ascii="Arial" w:cs="Arial" w:eastAsia="Arial" w:hAnsi="Arial"/>
          <w:sz w:val="22"/>
          <w:szCs w:val="22"/>
        </w:rPr>
        <w:t xml:space="preserve">You don't use two Nudges in a row without following up with a real question.</w:t>
      </w:r>
    </w:p>
    <w:p>
      <w:pPr>
        <w:pStyle w:val="ListParagraph"/>
        <w:numPr>
          <w:ilvl w:val="0"/>
          <w:numId w:val="2"/>
        </w:numPr>
        <w:spacing w:after="40" w:before="40"/>
      </w:pPr>
      <w:r>
        <w:rPr>
          <w:rFonts w:ascii="Arial" w:cs="Arial" w:eastAsia="Arial" w:hAnsi="Arial"/>
          <w:sz w:val="22"/>
          <w:szCs w:val="22"/>
        </w:rPr>
        <w:t xml:space="preserve">The tool flags at least one of each in your final transcript.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2026-05-05T12:53:28.546Z</dcterms:created>
  <dcterms:modified xsi:type="dcterms:W3CDTF">2026-05-05T12:53:28.546Z</dcterms:modified>
</cp:coreProperties>
</file>

<file path=docProps/custom.xml><?xml version="1.0" encoding="utf-8"?>
<Properties xmlns="http://schemas.openxmlformats.org/officeDocument/2006/custom-properties" xmlns:vt="http://schemas.openxmlformats.org/officeDocument/2006/docPropsVTypes"/>
</file>