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" w:before="0" w:lineRule="auto"/>
        <w:jc w:val="left"/>
        <w:rPr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6da4"/>
          <w:sz w:val="76"/>
          <w:szCs w:val="76"/>
          <w:rtl w:val="0"/>
        </w:rPr>
        <w:t xml:space="preserve">6.09  | 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left"/>
        <w:rPr>
          <w:rFonts w:ascii="Calibri" w:cs="Calibri" w:eastAsia="Calibri" w:hAnsi="Calibri"/>
          <w:b w:val="1"/>
          <w:bCs w:val="1"/>
          <w:i w:val="0"/>
          <w:iCs w:val="0"/>
          <w:color w:val="4a86c8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86c8"/>
          <w:sz w:val="40"/>
          <w:szCs w:val="40"/>
          <w:rtl w:val="0"/>
        </w:rPr>
        <w:t xml:space="preserve">Mind the On-Ramp — Examples in Action</w:t>
      </w:r>
    </w:p>
    <w:p w:rsidR="00000000" w:rsidDel="00000000" w:rsidP="00000000" w:rsidRDefault="00000000" w:rsidRPr="00000000" w14:paraId="00000003">
      <w:pPr>
        <w:spacing w:after="80" w:before="0" w:lineRule="auto"/>
        <w:jc w:val="left"/>
        <w:rPr>
          <w:rFonts w:ascii="Calibri" w:cs="Calibri" w:eastAsia="Calibri" w:hAnsi="Calibri"/>
          <w:b w:val="1"/>
          <w:bCs w:val="1"/>
          <w:color w:val="4a86c8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ecea" w:val="clear"/>
            <w:tcMar>
              <w:top w:w="60.0" w:type="dxa"/>
              <w:left w:w="13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392b"/>
                <w:sz w:val="21"/>
                <w:szCs w:val="21"/>
                <w:rtl w:val="0"/>
              </w:rPr>
              <w:t xml:space="preserve">Reference Only —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21"/>
                <w:szCs w:val="21"/>
                <w:rtl w:val="0"/>
              </w:rPr>
              <w:t xml:space="preserve">Nothing to turn in here. Read it, use it, and leave the sheet for the classes that come behind you.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ce8d8" w:val="clear"/>
            <w:tcMar>
              <w:top w:w="100.0" w:type="dxa"/>
              <w:left w:w="13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da4"/>
                <w:sz w:val="28"/>
                <w:szCs w:val="28"/>
                <w:rtl w:val="0"/>
              </w:rPr>
              <w:t xml:space="preserve">What You're Looking 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This sheet shows the three-move sequence — validate, contextualize, ask — at three different levels of execution.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All three examples use the same interview scenario and the same question. The only difference is how well the interviewer sets it up.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this as a benchmark when writing your own sequences in 6.09. Aim for Exemplary. Settle for Par if you have to. Catch yourself if you're doing Subpar.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90.0" w:type="dxa"/>
              <w:left w:w="13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da4"/>
                <w:sz w:val="24"/>
                <w:szCs w:val="24"/>
                <w:rtl w:val="0"/>
              </w:rPr>
              <w:t xml:space="preserve">The Scenario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60" w:before="0" w:lineRule="auto"/>
              <w:jc w:val="left"/>
              <w:rPr>
                <w:rFonts w:ascii="Calibri" w:cs="Calibri" w:eastAsia="Calibri" w:hAnsi="Calibri"/>
                <w:color w:val="1a1a1a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rtl w:val="0"/>
              </w:rPr>
              <w:t xml:space="preserve">The interviewee — Rosa, a grandmother who left her home country in her late twenties with almost nothing — just said: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60"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1a1a1a"/>
                <w:rtl w:val="0"/>
              </w:rPr>
              <w:t xml:space="preserve">"We didn't really talk about it like it was a choice. You just knew. You looked at your kids and you thought — not here. Not like this. And then you started figuring out how."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512"/>
        <w:tblGridChange w:id="0">
          <w:tblGrid>
            <w:gridCol w:w="2000"/>
            <w:gridCol w:w="85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ce8e8" w:val="clear"/>
            <w:tcMar>
              <w:top w:w="90.0" w:type="dxa"/>
              <w:left w:w="13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392b"/>
                <w:sz w:val="28"/>
                <w:szCs w:val="28"/>
                <w:rtl w:val="0"/>
              </w:rPr>
              <w:t xml:space="preserve">SUBPAR | Ignores response, jumps to next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ce8e8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0392b"/>
                <w:sz w:val="18"/>
                <w:szCs w:val="18"/>
                <w:rtl w:val="0"/>
              </w:rPr>
              <w:t xml:space="preserve">MOVE 1 — 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a1a1a"/>
                <w:sz w:val="18"/>
                <w:szCs w:val="18"/>
                <w:rtl w:val="0"/>
              </w:rPr>
              <w:t xml:space="preserve">[No validation. The interviewer says nothing and moves directly to the next question.]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ce8e8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0392b"/>
                <w:sz w:val="18"/>
                <w:szCs w:val="18"/>
                <w:rtl w:val="0"/>
              </w:rPr>
              <w:t xml:space="preserve">MOVE 2 — Contextualize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a1a1a"/>
                <w:sz w:val="18"/>
                <w:szCs w:val="18"/>
                <w:rtl w:val="0"/>
              </w:rPr>
              <w:t xml:space="preserve">[No context given. Rosa has no idea why this next question is coming.]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ce8e8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0392b"/>
                <w:sz w:val="18"/>
                <w:szCs w:val="18"/>
                <w:rtl w:val="0"/>
              </w:rPr>
              <w:t xml:space="preserve">MOVE 3 — 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a1a1a"/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18"/>
                <w:szCs w:val="18"/>
                <w:rtl w:val="0"/>
              </w:rPr>
              <w:t xml:space="preserve">Okay, so — what was your job like when you first got here?"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4cccc" w:val="clear"/>
            <w:tcMar>
              <w:top w:w="70.0" w:type="dxa"/>
              <w:left w:w="13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392b"/>
                <w:sz w:val="16"/>
                <w:szCs w:val="16"/>
                <w:rtl w:val="0"/>
              </w:rPr>
              <w:t xml:space="preserve">What to notice: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6"/>
                <w:szCs w:val="16"/>
                <w:rtl w:val="0"/>
              </w:rPr>
              <w:t xml:space="preserve">The question lands cold. There's no acknowledgment of what Rosa just shared — one of the most consequential decisions of her life — and no signal about where the conversation is going. It feels transactional. Like her answer was just a stepping stone, not something worth sitting with.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512"/>
        <w:tblGridChange w:id="0">
          <w:tblGrid>
            <w:gridCol w:w="2000"/>
            <w:gridCol w:w="85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df5d0" w:val="clear"/>
            <w:tcMar>
              <w:top w:w="90.0" w:type="dxa"/>
              <w:left w:w="13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5c00"/>
                <w:sz w:val="28"/>
                <w:szCs w:val="28"/>
                <w:rtl w:val="0"/>
              </w:rPr>
              <w:t xml:space="preserve">MEH. IT’S AIGHT | Does the moves, but mechanically 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df5d0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7a5c00"/>
                <w:sz w:val="18"/>
                <w:szCs w:val="18"/>
                <w:rtl w:val="0"/>
              </w:rPr>
              <w:t xml:space="preserve">MOVE 1 — 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a1a1a"/>
                <w:sz w:val="18"/>
                <w:szCs w:val="18"/>
                <w:rtl w:val="0"/>
              </w:rPr>
              <w:t xml:space="preserve">"Wow, that must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18"/>
                <w:szCs w:val="18"/>
                <w:rtl w:val="0"/>
              </w:rPr>
              <w:t xml:space="preserve">’ve been tough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a1a1a"/>
                <w:sz w:val="18"/>
                <w:szCs w:val="18"/>
                <w:rtl w:val="0"/>
              </w:rPr>
              <w:t xml:space="preserve">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df5d0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7a5c00"/>
                <w:sz w:val="18"/>
                <w:szCs w:val="18"/>
                <w:rtl w:val="0"/>
              </w:rPr>
              <w:t xml:space="preserve">MOVE 2 — Contextualize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a1a1a"/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18"/>
                <w:szCs w:val="18"/>
                <w:rtl w:val="0"/>
              </w:rPr>
              <w:t xml:space="preserve">Let’s move on to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a1a1a"/>
                <w:sz w:val="18"/>
                <w:szCs w:val="18"/>
                <w:rtl w:val="0"/>
              </w:rPr>
              <w:t xml:space="preserve"> what made you decide to go."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df5d0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7a5c00"/>
                <w:sz w:val="18"/>
                <w:szCs w:val="18"/>
                <w:rtl w:val="0"/>
              </w:rPr>
              <w:t xml:space="preserve">MOVE 3 — 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18"/>
                <w:szCs w:val="18"/>
                <w:rtl w:val="0"/>
              </w:rPr>
              <w:t xml:space="preserve">"What was the hardest part about leaving?"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ae8a0" w:val="clear"/>
            <w:tcMar>
              <w:top w:w="70.0" w:type="dxa"/>
              <w:left w:w="13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5c00"/>
                <w:sz w:val="16"/>
                <w:szCs w:val="16"/>
                <w:rtl w:val="0"/>
              </w:rPr>
              <w:t xml:space="preserve">What to notice: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6"/>
                <w:szCs w:val="16"/>
                <w:rtl w:val="0"/>
              </w:rPr>
              <w:t xml:space="preserve">There's an attempt at all three moves, which puts this above Subpar. But "wow, that must’ve been tough" doesn't reflect anything Rosa actually said — it's a generic sympathy response, not a real validation. The contextualization tells her what's coming, but not why the interviewer cares. The sequence is there; the attentiveness isn't.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512"/>
        <w:tblGridChange w:id="0">
          <w:tblGrid>
            <w:gridCol w:w="2000"/>
            <w:gridCol w:w="85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90.0" w:type="dxa"/>
              <w:left w:w="13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b3e"/>
                <w:sz w:val="28"/>
                <w:szCs w:val="28"/>
                <w:rtl w:val="0"/>
              </w:rPr>
              <w:t xml:space="preserve">EXEMPLARY  | Specific, thoughtful, human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b3e"/>
                <w:sz w:val="18"/>
                <w:szCs w:val="18"/>
                <w:rtl w:val="0"/>
              </w:rPr>
              <w:t xml:space="preserve">MOVE 1 — 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a1a1a"/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You said it didn't feel like a choice—that you simply recognized 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18"/>
                <w:szCs w:val="18"/>
                <w:rtl w:val="0"/>
              </w:rPr>
              <w:t xml:space="preserve">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realization formed internally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b3e"/>
                <w:sz w:val="18"/>
                <w:szCs w:val="18"/>
                <w:rtl w:val="0"/>
              </w:rPr>
              <w:t xml:space="preserve">MOVE 2 — Contextualize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18"/>
                <w:szCs w:val="18"/>
                <w:rtl w:val="0"/>
              </w:rPr>
              <w:t xml:space="preserve">“I'm curious about the shift from the idea of emigrating, to actually doing it.”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b3e"/>
                <w:sz w:val="18"/>
                <w:szCs w:val="18"/>
                <w:rtl w:val="0"/>
              </w:rPr>
              <w:t xml:space="preserve">MOVE 3 — 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a1a1a"/>
                <w:sz w:val="18"/>
                <w:szCs w:val="18"/>
                <w:rtl w:val="0"/>
              </w:rPr>
              <w:t xml:space="preserve">"Was there a specific moment — something you saw or felt — that made it real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18"/>
                <w:szCs w:val="18"/>
                <w:rtl w:val="0"/>
              </w:rPr>
              <w:t xml:space="preserve">? 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a1a1a"/>
                <w:sz w:val="18"/>
                <w:szCs w:val="18"/>
                <w:rtl w:val="0"/>
              </w:rPr>
              <w:t xml:space="preserve">hat you were actually going to leave?"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a8d8b8" w:val="clear"/>
            <w:tcMar>
              <w:top w:w="70.0" w:type="dxa"/>
              <w:left w:w="13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b3e"/>
                <w:sz w:val="16"/>
                <w:szCs w:val="16"/>
                <w:rtl w:val="0"/>
              </w:rPr>
              <w:t xml:space="preserve">What to notice: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6"/>
                <w:szCs w:val="16"/>
                <w:rtl w:val="0"/>
              </w:rPr>
              <w:t xml:space="preserve">The validation reflects back the specific language Rosa used — "not like a choice," the knowing, the figuring out — and names the emotional logic underneath it without projecting onto her. The contextualization makes clear exactly what the interviewer is genuinely curious about: the gap between knowing and doing. By the time the question arrives, Rosa knows this person has been listening. The question feels like an invitation, not an interrogation.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51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4"/>
        <w:gridCol w:w="3504"/>
        <w:gridCol w:w="3504"/>
        <w:tblGridChange w:id="0">
          <w:tblGrid>
            <w:gridCol w:w="3504"/>
            <w:gridCol w:w="3504"/>
            <w:gridCol w:w="3504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da4"/>
                <w:sz w:val="24"/>
                <w:szCs w:val="24"/>
                <w:rtl w:val="0"/>
              </w:rPr>
              <w:t xml:space="preserve">Quick Reminder — What Each Move Is Actually Doing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4cccc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60" w:before="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0392b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0392b"/>
                <w:sz w:val="18"/>
                <w:szCs w:val="18"/>
                <w:rtl w:val="0"/>
              </w:rPr>
              <w:t xml:space="preserve">MOVE 1 — Validate</w:t>
            </w:r>
          </w:p>
          <w:p w:rsidR="00000000" w:rsidDel="00000000" w:rsidP="00000000" w:rsidRDefault="00000000" w:rsidRPr="00000000" w14:paraId="00000036">
            <w:pPr>
              <w:spacing w:after="60" w:before="0" w:lineRule="auto"/>
              <w:jc w:val="left"/>
              <w:rPr>
                <w:rFonts w:ascii="Calibri" w:cs="Calibri" w:eastAsia="Calibri" w:hAnsi="Calibri"/>
                <w:b w:val="1"/>
                <w:bCs w:val="1"/>
                <w:color w:val="c0392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60" w:before="0" w:lineRule="auto"/>
              <w:jc w:val="left"/>
              <w:rPr>
                <w:rFonts w:ascii="Calibri" w:cs="Calibri" w:eastAsia="Calibri" w:hAnsi="Calibri"/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Show them you actually heard what they said.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60" w:before="0" w:lineRule="auto"/>
              <w:jc w:val="left"/>
              <w:rPr>
                <w:rFonts w:ascii="Calibri" w:cs="Calibri" w:eastAsia="Calibri" w:hAnsi="Calibri"/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60" w:before="0" w:lineRule="auto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Paraphrase their specific words back — not just the emotion,  the idea. </w:t>
            </w:r>
          </w:p>
          <w:p w:rsidR="00000000" w:rsidDel="00000000" w:rsidP="00000000" w:rsidRDefault="00000000" w:rsidRPr="00000000" w14:paraId="0000003A">
            <w:pPr>
              <w:spacing w:after="60" w:before="0" w:lineRule="auto"/>
              <w:jc w:val="left"/>
              <w:rPr>
                <w:rFonts w:ascii="Calibri" w:cs="Calibri" w:eastAsia="Calibri" w:hAnsi="Calibri"/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60"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Didn't 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17"/>
                <w:szCs w:val="17"/>
                <w:rtl w:val="0"/>
              </w:rPr>
              <w:t xml:space="preserve">understand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? Say so. Ask a follow-up or for clarification before moving 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ae8a0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60" w:before="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7a5c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7a5c00"/>
                <w:sz w:val="18"/>
                <w:szCs w:val="18"/>
                <w:rtl w:val="0"/>
              </w:rPr>
              <w:t xml:space="preserve">MOVE 2 — Contextualize</w:t>
            </w:r>
          </w:p>
          <w:p w:rsidR="00000000" w:rsidDel="00000000" w:rsidP="00000000" w:rsidRDefault="00000000" w:rsidRPr="00000000" w14:paraId="0000003D">
            <w:pPr>
              <w:spacing w:after="60" w:before="0" w:lineRule="auto"/>
              <w:jc w:val="left"/>
              <w:rPr>
                <w:rFonts w:ascii="Calibri" w:cs="Calibri" w:eastAsia="Calibri" w:hAnsi="Calibri"/>
                <w:b w:val="1"/>
                <w:bCs w:val="1"/>
                <w:color w:val="7a5c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60" w:before="0" w:lineRule="auto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Give your subject the on-ramp. Help them understand where the next question is coming from — what you're curious about and why. </w:t>
            </w:r>
          </w:p>
          <w:p w:rsidR="00000000" w:rsidDel="00000000" w:rsidP="00000000" w:rsidRDefault="00000000" w:rsidRPr="00000000" w14:paraId="0000003F">
            <w:pPr>
              <w:spacing w:after="60" w:before="0" w:lineRule="auto"/>
              <w:jc w:val="left"/>
              <w:rPr>
                <w:rFonts w:ascii="Calibri" w:cs="Calibri" w:eastAsia="Calibri" w:hAnsi="Calibri"/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60"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This is what makes it feel like a conversation and not a deposition.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a8d8b8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60" w:before="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b3e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b3e"/>
                <w:sz w:val="18"/>
                <w:szCs w:val="18"/>
                <w:rtl w:val="0"/>
              </w:rPr>
              <w:t xml:space="preserve">MOVE 3 — Ask</w:t>
            </w:r>
          </w:p>
          <w:p w:rsidR="00000000" w:rsidDel="00000000" w:rsidP="00000000" w:rsidRDefault="00000000" w:rsidRPr="00000000" w14:paraId="00000042">
            <w:pPr>
              <w:spacing w:after="60" w:before="0" w:lineRule="auto"/>
              <w:jc w:val="left"/>
              <w:rPr>
                <w:rFonts w:ascii="Calibri" w:cs="Calibri" w:eastAsia="Calibri" w:hAnsi="Calibri"/>
                <w:b w:val="1"/>
                <w:bCs w:val="1"/>
                <w:color w:val="2e6b3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60" w:before="0" w:lineRule="auto"/>
              <w:jc w:val="left"/>
              <w:rPr>
                <w:rFonts w:ascii="Calibri" w:cs="Calibri" w:eastAsia="Calibri" w:hAnsi="Calibri"/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7"/>
                <w:szCs w:val="17"/>
                <w:rtl w:val="0"/>
              </w:rPr>
              <w:t xml:space="preserve">A good question is specific enough that your subject knows exactly what you're after — but open enough that they can answer it in their own words. </w:t>
            </w:r>
          </w:p>
          <w:p w:rsidR="00000000" w:rsidDel="00000000" w:rsidP="00000000" w:rsidRDefault="00000000" w:rsidRPr="00000000" w14:paraId="00000044">
            <w:pPr>
              <w:spacing w:after="60" w:before="0" w:lineRule="auto"/>
              <w:jc w:val="left"/>
              <w:rPr>
                <w:rFonts w:ascii="Calibri" w:cs="Calibri" w:eastAsia="Calibri" w:hAnsi="Calibri"/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60"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7"/>
                <w:szCs w:val="17"/>
                <w:rtl w:val="0"/>
              </w:rPr>
              <w:t xml:space="preserve">Think of it as opening a door to the room you actually want to be in conversationally."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720" w:top="720" w:left="864" w:right="86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center"/>
      <w:rPr/>
    </w:pPr>
    <w:r w:rsidDel="00000000" w:rsidR="00000000" w:rsidRPr="00000000">
      <w:rPr>
        <w:rFonts w:ascii="Calibri" w:cs="Calibri" w:eastAsia="Calibri" w:hAnsi="Calibri"/>
        <w:color w:val="999999"/>
        <w:sz w:val="18"/>
        <w:szCs w:val="18"/>
        <w:rtl w:val="0"/>
      </w:rPr>
      <w:t xml:space="preserve">6.09  |  Reference  |  Narrative Medicine  |  Leave for the next class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Ya1yJlj2jo79MqH2FVYVnLbq5g==">CgMxLjA4AHIhMUl0dmo3dGYtVjJEMUF3MGxxNG5vMlRhUy1feDJxMTBt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