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Arial" w:cs="Arial" w:eastAsia="Arial" w:hAnsi="Arial"/>
          <w:b/>
          <w:bCs/>
          <w:color w:val="2E3A4E"/>
          <w:sz w:val="38"/>
          <w:szCs w:val="38"/>
        </w:rPr>
        <w:t xml:space="preserve">Day 3 Lesson Plan</w:t>
      </w:r>
    </w:p>
    <w:p>
      <w:pPr>
        <w:spacing w:after="40" w:before="0"/>
      </w:pPr>
      <w:r>
        <w:rPr>
          <w:rFonts w:ascii="Arial" w:cs="Arial" w:eastAsia="Arial" w:hAnsi="Arial"/>
          <w:color w:val="6B7280"/>
          <w:sz w:val="21"/>
          <w:szCs w:val="21"/>
        </w:rPr>
        <w:t xml:space="preserve">Wednesday, May 7  //  Mythology &amp; Proverbs  //  10th Grade</w:t>
      </w:r>
    </w:p>
    <w:p>
      <w:pPr>
        <w:pBdr>
          <w:bottom w:val="single" w:color="D1D5DB" w:sz="4"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2E3A4E" w:val="clear"/>
            <w:tcMar>
              <w:top w:type="dxa" w:w="100"/>
              <w:left w:type="dxa" w:w="160"/>
              <w:bottom w:type="dxa" w:w="100"/>
              <w:right w:type="dxa" w:w="160"/>
            </w:tcMar>
          </w:tcPr>
          <w:p>
            <w:r>
              <w:rPr>
                <w:rFonts w:ascii="Arial" w:cs="Arial" w:eastAsia="Arial" w:hAnsi="Arial"/>
                <w:b/>
                <w:bCs/>
                <w:color w:val="FFFFFF"/>
                <w:sz w:val="22"/>
                <w:szCs w:val="22"/>
              </w:rPr>
              <w:t xml:space="preserve">General Information</w:t>
            </w:r>
          </w:p>
        </w:tc>
      </w:tr>
      <w:tr>
        <w:tc>
          <w:tcPr>
            <w:tcBorders>
              <w:top w:val="single" w:color="D1D5DB" w:sz="1"/>
              <w:left w:val="single" w:color="D1D5DB" w:sz="1"/>
              <w:bottom w:val="single" w:color="D1D5DB" w:sz="1"/>
              <w:right w:val="single" w:color="D1D5DB" w:sz="1"/>
            </w:tcBorders>
            <w:tcMar>
              <w:top w:type="dxa" w:w="120"/>
              <w:left w:type="dxa" w:w="160"/>
              <w:bottom w:type="dxa" w:w="120"/>
              <w:right w:type="dxa" w:w="16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400"/>
              <w:gridCol w:w="6640"/>
            </w:tblGrid>
            <w:tr>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2E3A4E"/>
                      <w:sz w:val="21"/>
                      <w:szCs w:val="21"/>
                    </w:rPr>
                    <w:t xml:space="preserve">Lesson Title</w:t>
                  </w:r>
                </w:p>
              </w:tc>
              <w:tc>
                <w:tcPr>
                  <w:tcW w:type="dxa" w:w="69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color w:val="2E3A4E"/>
                      <w:sz w:val="21"/>
                      <w:szCs w:val="21"/>
                    </w:rPr>
                    <w:t xml:space="preserve">Where Do Proverbs Come From — and Where Are We Going?</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2E3A4E"/>
                      <w:sz w:val="21"/>
                      <w:szCs w:val="21"/>
                    </w:rPr>
                    <w:t xml:space="preserve">Subject</w:t>
                  </w:r>
                </w:p>
              </w:tc>
              <w:tc>
                <w:tcPr>
                  <w:tcW w:type="dxa" w:w="69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color w:val="2E3A4E"/>
                      <w:sz w:val="21"/>
                      <w:szCs w:val="21"/>
                    </w:rPr>
                    <w:t xml:space="preserve">Mythology &amp; Proverbs  /  10th Grade English</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2E3A4E"/>
                      <w:sz w:val="21"/>
                      <w:szCs w:val="21"/>
                    </w:rPr>
                    <w:t xml:space="preserve">Grade / Setting</w:t>
                  </w:r>
                </w:p>
              </w:tc>
              <w:tc>
                <w:tcPr>
                  <w:tcW w:type="dxa" w:w="69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color w:val="2E3A4E"/>
                      <w:sz w:val="21"/>
                      <w:szCs w:val="21"/>
                    </w:rPr>
                    <w:t xml:space="preserve">10th  /  Classroom</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2E3A4E"/>
                      <w:sz w:val="21"/>
                      <w:szCs w:val="21"/>
                    </w:rPr>
                    <w:t xml:space="preserve">Prerequisite Knowledge</w:t>
                  </w:r>
                </w:p>
              </w:tc>
              <w:tc>
                <w:tcPr>
                  <w:tcW w:type="dxa" w:w="69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color w:val="2E3A4E"/>
                      <w:sz w:val="21"/>
                      <w:szCs w:val="21"/>
                    </w:rPr>
                    <w:t xml:space="preserve">Students have discussed the myth/proverb pairing (Icarus / don't count your chickens) from Day 1, and watched the Winkler hero's journey video on Day 2. They understand the three-act structure in broad strokes.</w:t>
                  </w:r>
                </w:p>
              </w:tc>
            </w:tr>
          </w:tbl>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2563A8" w:val="clear"/>
            <w:tcMar>
              <w:top w:type="dxa" w:w="100"/>
              <w:left w:type="dxa" w:w="160"/>
              <w:bottom w:type="dxa" w:w="100"/>
              <w:right w:type="dxa" w:w="160"/>
            </w:tcMar>
          </w:tcPr>
          <w:p>
            <w:r>
              <w:rPr>
                <w:rFonts w:ascii="Arial" w:cs="Arial" w:eastAsia="Arial" w:hAnsi="Arial"/>
                <w:b/>
                <w:bCs/>
                <w:color w:val="FFFFFF"/>
                <w:sz w:val="22"/>
                <w:szCs w:val="22"/>
              </w:rPr>
              <w:t xml:space="preserve">Standards and Objectives</w:t>
            </w:r>
          </w:p>
        </w:tc>
      </w:tr>
      <w:tr>
        <w:tc>
          <w:tcPr>
            <w:tcBorders>
              <w:top w:val="single" w:color="D1D5DB" w:sz="1"/>
              <w:left w:val="single" w:color="D1D5DB" w:sz="1"/>
              <w:bottom w:val="single" w:color="D1D5DB" w:sz="1"/>
              <w:right w:val="single" w:color="D1D5DB" w:sz="1"/>
            </w:tcBorders>
            <w:tcMar>
              <w:top w:type="dxa" w:w="120"/>
              <w:left w:type="dxa" w:w="160"/>
              <w:bottom w:type="dxa" w:w="120"/>
              <w:right w:type="dxa" w:w="160"/>
            </w:tcMar>
          </w:tcPr>
          <w:p>
            <w:pPr>
              <w:spacing w:after="80" w:before="80"/>
            </w:pPr>
            <w:r>
              <w:rPr>
                <w:rFonts w:ascii="Arial" w:cs="Arial" w:eastAsia="Arial" w:hAnsi="Arial"/>
                <w:b w:val="false"/>
                <w:bCs w:val="false"/>
                <w:color w:val="2E3A4E"/>
                <w:sz w:val="21"/>
                <w:szCs w:val="21"/>
              </w:rPr>
              <w:t xml:space="preserve">CCSS.ELA-LITERACY.RL.9-10.2 — Determine a theme or central idea of a text and analyze in detail its development over the course of the text.</w:t>
            </w:r>
          </w:p>
          <w:p>
            <w:pPr>
              <w:spacing w:after="60" w:before="0"/>
            </w:pPr>
          </w:p>
          <w:p>
            <w:pPr>
              <w:spacing w:after="80" w:before="80"/>
            </w:pPr>
            <w:r>
              <w:rPr>
                <w:rFonts w:ascii="Arial" w:cs="Arial" w:eastAsia="Arial" w:hAnsi="Arial"/>
                <w:b w:val="false"/>
                <w:bCs w:val="false"/>
                <w:color w:val="2E3A4E"/>
                <w:sz w:val="21"/>
                <w:szCs w:val="21"/>
              </w:rPr>
              <w:t xml:space="preserve">CCSS.ELA-LITERACY.SL.9-10.4 — Present information, findings, and supporting evidence clearly, concisely, and logically.</w:t>
            </w:r>
          </w:p>
          <w:p>
            <w:pPr>
              <w:spacing w:after="80" w:before="0"/>
            </w:pPr>
          </w:p>
          <w:p>
            <w:pPr>
              <w:spacing w:after="80" w:before="80"/>
            </w:pPr>
            <w:r>
              <w:rPr>
                <w:rFonts w:ascii="Arial" w:cs="Arial" w:eastAsia="Arial" w:hAnsi="Arial"/>
                <w:b/>
                <w:bCs/>
                <w:color w:val="2E3A4E"/>
                <w:sz w:val="21"/>
                <w:szCs w:val="21"/>
              </w:rPr>
              <w:t xml:space="preserve">Learning Objective:</w:t>
            </w:r>
          </w:p>
          <w:p>
            <w:pPr>
              <w:spacing w:after="80" w:before="80"/>
            </w:pPr>
            <w:r>
              <w:rPr>
                <w:rFonts w:ascii="Arial" w:cs="Arial" w:eastAsia="Arial" w:hAnsi="Arial"/>
                <w:color w:val="2E3A4E"/>
                <w:sz w:val="21"/>
                <w:szCs w:val="21"/>
              </w:rPr>
              <w:t xml:space="preserve">Given a proverb from the Around the World slideshow, students will identify the underlying human principle it encodes, select three supporting proverbs from the handout, write an interpretation of each in their own words, and present their top choice to the class with a rationale — connecting the proverb's principle to the Myth Talk summative task.</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tcMar>
              <w:top w:type="dxa" w:w="120"/>
              <w:left w:type="dxa" w:w="160"/>
              <w:bottom w:type="dxa" w:w="120"/>
              <w:right w:type="dxa" w:w="160"/>
            </w:tcMar>
          </w:tcPr>
          <w:p>
            <w:r>
              <w:rPr>
                <w:rFonts w:ascii="Arial" w:cs="Arial" w:eastAsia="Arial" w:hAnsi="Arial"/>
                <w:b/>
                <w:bCs/>
                <w:color w:val="2E3A4E"/>
                <w:sz w:val="22"/>
                <w:szCs w:val="22"/>
              </w:rPr>
              <w:t xml:space="preserve">Materials</w:t>
            </w:r>
          </w:p>
          <w:p>
            <w:pPr>
              <w:spacing w:after="60" w:before="0"/>
            </w:pPr>
          </w:p>
          <w:p>
            <w:pPr>
              <w:pStyle w:val="ListParagraph"/>
              <w:numPr>
                <w:ilvl w:val="0"/>
                <w:numId w:val="2"/>
              </w:numPr>
              <w:spacing w:after="60" w:before="60"/>
            </w:pPr>
            <w:r>
              <w:rPr>
                <w:rFonts w:ascii="Arial" w:cs="Arial" w:eastAsia="Arial" w:hAnsi="Arial"/>
                <w:color w:val="2E3A4E"/>
                <w:sz w:val="21"/>
                <w:szCs w:val="21"/>
              </w:rPr>
              <w:t xml:space="preserve">Slideshow — Around the World in Umpteen Proverbs (existing)</w:t>
            </w:r>
          </w:p>
          <w:p>
            <w:pPr>
              <w:pStyle w:val="ListParagraph"/>
              <w:numPr>
                <w:ilvl w:val="0"/>
                <w:numId w:val="2"/>
              </w:numPr>
              <w:spacing w:after="60" w:before="60"/>
            </w:pPr>
            <w:r>
              <w:rPr>
                <w:rFonts w:ascii="Arial" w:cs="Arial" w:eastAsia="Arial" w:hAnsi="Arial"/>
                <w:color w:val="2E3A4E"/>
                <w:sz w:val="21"/>
                <w:szCs w:val="21"/>
              </w:rPr>
              <w:t xml:space="preserve">Handout — Proverbs list (Around the World in 50 Proverbs)</w:t>
            </w:r>
          </w:p>
          <w:p>
            <w:pPr>
              <w:pStyle w:val="ListParagraph"/>
              <w:numPr>
                <w:ilvl w:val="0"/>
                <w:numId w:val="2"/>
              </w:numPr>
              <w:spacing w:after="60" w:before="60"/>
            </w:pPr>
            <w:r>
              <w:rPr>
                <w:rFonts w:ascii="Arial" w:cs="Arial" w:eastAsia="Arial" w:hAnsi="Arial"/>
                <w:color w:val="2E3A4E"/>
                <w:sz w:val="21"/>
                <w:szCs w:val="21"/>
              </w:rPr>
              <w:t xml:space="preserve">Handout — Myth Talk Assignment Sheet (7.01)</w:t>
            </w:r>
          </w:p>
          <w:p>
            <w:pPr>
              <w:pStyle w:val="ListParagraph"/>
              <w:numPr>
                <w:ilvl w:val="0"/>
                <w:numId w:val="2"/>
              </w:numPr>
              <w:spacing w:after="60" w:before="60"/>
            </w:pPr>
            <w:r>
              <w:rPr>
                <w:rFonts w:ascii="Arial" w:cs="Arial" w:eastAsia="Arial" w:hAnsi="Arial"/>
                <w:color w:val="2E3A4E"/>
                <w:sz w:val="21"/>
                <w:szCs w:val="21"/>
              </w:rPr>
              <w:t xml:space="preserve">Microlab response sheet (this document, student version)</w:t>
            </w:r>
          </w:p>
          <w:p>
            <w:pPr>
              <w:pStyle w:val="ListParagraph"/>
              <w:numPr>
                <w:ilvl w:val="0"/>
                <w:numId w:val="2"/>
              </w:numPr>
              <w:spacing w:after="60" w:before="60"/>
            </w:pPr>
            <w:r>
              <w:rPr>
                <w:rFonts w:ascii="Arial" w:cs="Arial" w:eastAsia="Arial" w:hAnsi="Arial"/>
                <w:color w:val="2E3A4E"/>
                <w:sz w:val="21"/>
                <w:szCs w:val="21"/>
              </w:rPr>
              <w:t xml:space="preserve">Exit ticket</w:t>
            </w:r>
          </w:p>
        </w:tc>
        <w:tc>
          <w:tcPr>
            <w:tcW w:type="dxa" w:w="4680"/>
            <w:tcBorders>
              <w:top w:val="single" w:color="D1D5DB" w:sz="1"/>
              <w:left w:val="single" w:color="D1D5DB" w:sz="1"/>
              <w:bottom w:val="single" w:color="D1D5DB" w:sz="1"/>
              <w:right w:val="single" w:color="D1D5DB" w:sz="1"/>
            </w:tcBorders>
            <w:tcMar>
              <w:top w:type="dxa" w:w="120"/>
              <w:left w:type="dxa" w:w="160"/>
              <w:bottom w:type="dxa" w:w="120"/>
              <w:right w:type="dxa" w:w="160"/>
            </w:tcMar>
          </w:tcPr>
          <w:p>
            <w:r>
              <w:rPr>
                <w:rFonts w:ascii="Arial" w:cs="Arial" w:eastAsia="Arial" w:hAnsi="Arial"/>
                <w:b/>
                <w:bCs/>
                <w:color w:val="2E3A4E"/>
                <w:sz w:val="22"/>
                <w:szCs w:val="22"/>
              </w:rPr>
              <w:t xml:space="preserve">Technology</w:t>
            </w:r>
          </w:p>
          <w:p>
            <w:pPr>
              <w:spacing w:after="60" w:before="0"/>
            </w:pPr>
          </w:p>
          <w:p>
            <w:pPr>
              <w:spacing w:after="80" w:before="80"/>
            </w:pPr>
            <w:r>
              <w:rPr>
                <w:rFonts w:ascii="Arial" w:cs="Arial" w:eastAsia="Arial" w:hAnsi="Arial"/>
                <w:color w:val="2E3A4E"/>
                <w:sz w:val="21"/>
                <w:szCs w:val="21"/>
              </w:rPr>
              <w:t xml:space="preserve">Projector / display for slideshow.</w:t>
            </w:r>
          </w:p>
          <w:p>
            <w:pPr>
              <w:spacing w:after="40" w:before="0"/>
            </w:pPr>
          </w:p>
          <w:p>
            <w:pPr>
              <w:spacing w:after="80" w:before="80"/>
            </w:pPr>
            <w:r>
              <w:rPr>
                <w:rFonts w:ascii="Arial" w:cs="Arial" w:eastAsia="Arial" w:hAnsi="Arial"/>
                <w:color w:val="2E3A4E"/>
                <w:sz w:val="21"/>
                <w:szCs w:val="21"/>
              </w:rPr>
              <w:t xml:space="preserve">No student devices required. This is a paper-and-discussion day.</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3D6B4F" w:val="clear"/>
            <w:tcMar>
              <w:top w:type="dxa" w:w="100"/>
              <w:left w:type="dxa" w:w="160"/>
              <w:bottom w:type="dxa" w:w="100"/>
              <w:right w:type="dxa" w:w="160"/>
            </w:tcMar>
          </w:tcPr>
          <w:p>
            <w:r>
              <w:rPr>
                <w:rFonts w:ascii="Arial" w:cs="Arial" w:eastAsia="Arial" w:hAnsi="Arial"/>
                <w:b/>
                <w:bCs/>
                <w:color w:val="FFFFFF"/>
                <w:sz w:val="22"/>
                <w:szCs w:val="22"/>
              </w:rPr>
              <w:t xml:space="preserve">Language Demands</w:t>
            </w:r>
          </w:p>
        </w:tc>
      </w:tr>
      <w:tr>
        <w:tc>
          <w:tcPr>
            <w:tcBorders>
              <w:top w:val="single" w:color="D1D5DB" w:sz="1"/>
              <w:left w:val="single" w:color="D1D5DB" w:sz="1"/>
              <w:bottom w:val="single" w:color="D1D5DB" w:sz="1"/>
              <w:right w:val="single" w:color="D1D5DB" w:sz="1"/>
            </w:tcBorders>
            <w:tcMar>
              <w:top w:type="dxa" w:w="120"/>
              <w:left w:type="dxa" w:w="160"/>
              <w:bottom w:type="dxa" w:w="120"/>
              <w:right w:type="dxa" w:w="160"/>
            </w:tcMar>
          </w:tcPr>
          <w:p>
            <w:pPr>
              <w:spacing w:after="80" w:before="80"/>
            </w:pPr>
            <w:r>
              <w:rPr>
                <w:rFonts w:ascii="Arial" w:cs="Arial" w:eastAsia="Arial" w:hAnsi="Arial"/>
                <w:b/>
                <w:bCs/>
                <w:color w:val="2E3A4E"/>
                <w:sz w:val="21"/>
                <w:szCs w:val="21"/>
              </w:rPr>
              <w:t xml:space="preserve">Language Function:</w:t>
            </w:r>
          </w:p>
          <w:p>
            <w:pPr>
              <w:spacing w:after="80" w:before="80"/>
            </w:pPr>
            <w:r>
              <w:rPr>
                <w:rFonts w:ascii="Arial" w:cs="Arial" w:eastAsia="Arial" w:hAnsi="Arial"/>
                <w:color w:val="2E3A4E"/>
                <w:sz w:val="21"/>
                <w:szCs w:val="21"/>
              </w:rPr>
              <w:t xml:space="preserve">Students will infer the underlying principle of a proverb, interpret its meaning in plain language, and justify why it has lasted across generations.</w:t>
            </w:r>
          </w:p>
          <w:p>
            <w:pPr>
              <w:spacing w:after="80" w:before="0"/>
            </w:pPr>
          </w:p>
          <w:p>
            <w:pPr>
              <w:spacing w:after="80" w:before="80"/>
            </w:pPr>
            <w:r>
              <w:rPr>
                <w:rFonts w:ascii="Arial" w:cs="Arial" w:eastAsia="Arial" w:hAnsi="Arial"/>
                <w:b/>
                <w:bCs/>
                <w:color w:val="2E3A4E"/>
                <w:sz w:val="21"/>
                <w:szCs w:val="21"/>
              </w:rPr>
              <w:t xml:space="preserve">Vocabulary:</w:t>
            </w:r>
          </w:p>
          <w:p>
            <w:pPr>
              <w:spacing w:after="80" w:before="80"/>
            </w:pPr>
            <w:r>
              <w:rPr>
                <w:rFonts w:ascii="Arial" w:cs="Arial" w:eastAsia="Arial" w:hAnsi="Arial"/>
                <w:color w:val="2E3A4E"/>
                <w:sz w:val="21"/>
                <w:szCs w:val="21"/>
              </w:rPr>
              <w:t xml:space="preserve">Proverb, aphorism, idiom, principle, interpretation, significance, human truth</w:t>
            </w:r>
          </w:p>
          <w:p>
            <w:pPr>
              <w:spacing w:after="80" w:before="0"/>
            </w:pPr>
          </w:p>
          <w:p>
            <w:pPr>
              <w:spacing w:after="80" w:before="80"/>
            </w:pPr>
            <w:r>
              <w:rPr>
                <w:rFonts w:ascii="Arial" w:cs="Arial" w:eastAsia="Arial" w:hAnsi="Arial"/>
                <w:b/>
                <w:bCs/>
                <w:color w:val="2E3A4E"/>
                <w:sz w:val="21"/>
                <w:szCs w:val="21"/>
              </w:rPr>
              <w:t xml:space="preserve">Discourse:</w:t>
            </w:r>
          </w:p>
          <w:p>
            <w:pPr>
              <w:spacing w:after="80" w:before="80"/>
            </w:pPr>
            <w:r>
              <w:rPr>
                <w:rFonts w:ascii="Arial" w:cs="Arial" w:eastAsia="Arial" w:hAnsi="Arial"/>
                <w:color w:val="2E3A4E"/>
                <w:sz w:val="21"/>
                <w:szCs w:val="21"/>
              </w:rPr>
              <w:t xml:space="preserve">Students discuss proverbs in small groups using a structured protocol: proverb → principle → interpretation → significance. This four-step sequence is the same anatomy they'll use in the Myth Talk.</w:t>
            </w:r>
          </w:p>
          <w:p>
            <w:pPr>
              <w:spacing w:after="80" w:before="0"/>
            </w:pPr>
          </w:p>
          <w:p>
            <w:pPr>
              <w:spacing w:after="80" w:before="80"/>
            </w:pPr>
            <w:r>
              <w:rPr>
                <w:rFonts w:ascii="Arial" w:cs="Arial" w:eastAsia="Arial" w:hAnsi="Arial"/>
                <w:b/>
                <w:bCs/>
                <w:color w:val="2E3A4E"/>
                <w:sz w:val="21"/>
                <w:szCs w:val="21"/>
              </w:rPr>
              <w:t xml:space="preserve">Planned Language Supports:</w:t>
            </w:r>
          </w:p>
          <w:p>
            <w:pPr>
              <w:spacing w:after="80" w:before="80"/>
            </w:pPr>
            <w:r>
              <w:rPr>
                <w:rFonts w:ascii="Arial" w:cs="Arial" w:eastAsia="Arial" w:hAnsi="Arial"/>
                <w:color w:val="2E3A4E"/>
                <w:sz w:val="21"/>
                <w:szCs w:val="21"/>
              </w:rPr>
              <w:t xml:space="preserve">Teacher models the four-step sequence live using one proverb from the slideshow before students work independently. EL students and students with IEPs may use the proverb list with glossed vocabulary; GT students are invited to generate their own proverb at the end.</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C5920A" w:val="clear"/>
            <w:tcMar>
              <w:top w:type="dxa" w:w="100"/>
              <w:left w:type="dxa" w:w="160"/>
              <w:bottom w:type="dxa" w:w="100"/>
              <w:right w:type="dxa" w:w="160"/>
            </w:tcMar>
          </w:tcPr>
          <w:p>
            <w:r>
              <w:rPr>
                <w:rFonts w:ascii="Arial" w:cs="Arial" w:eastAsia="Arial" w:hAnsi="Arial"/>
                <w:b/>
                <w:bCs/>
                <w:color w:val="FFFFFF"/>
                <w:sz w:val="22"/>
                <w:szCs w:val="22"/>
              </w:rPr>
              <w:t xml:space="preserve">Instructional Strategies and Learning Tasks</w:t>
            </w:r>
          </w:p>
        </w:tc>
      </w:tr>
      <w:tr>
        <w:tc>
          <w:tcPr>
            <w:tcBorders>
              <w:top w:val="single" w:color="D1D5DB" w:sz="1"/>
              <w:left w:val="single" w:color="D1D5DB" w:sz="1"/>
              <w:bottom w:val="single" w:color="D1D5DB" w:sz="1"/>
              <w:right w:val="single" w:color="D1D5DB" w:sz="1"/>
            </w:tcBorders>
            <w:tcMar>
              <w:top w:type="dxa" w:w="120"/>
              <w:left w:type="dxa" w:w="160"/>
              <w:bottom w:type="dxa" w:w="120"/>
              <w:right w:type="dxa" w:w="160"/>
            </w:tcMar>
          </w:tcPr>
          <w:p/>
        </w:tc>
      </w:tr>
    </w:tbl>
    <w:p>
      <w:pPr>
        <w:spacing w:after="40" w:before="0"/>
      </w:pPr>
    </w:p>
    <w:p>
      <w:pPr>
        <w:spacing w:after="80" w:before="80"/>
      </w:pPr>
      <w:r>
        <w:rPr>
          <w:rFonts w:ascii="Arial" w:cs="Arial" w:eastAsia="Arial" w:hAnsi="Arial"/>
          <w:b/>
          <w:bCs/>
          <w:color w:val="C5920A"/>
          <w:sz w:val="21"/>
          <w:szCs w:val="21"/>
        </w:rPr>
        <w:t xml:space="preserve">Anticipatory Set  (8 min)</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2E3A4E"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Teacher</w:t>
            </w:r>
          </w:p>
        </w:tc>
        <w:tc>
          <w:tcPr>
            <w:tcW w:type="dxa" w:w="4680"/>
            <w:tcBorders>
              <w:top w:val="single" w:color="D1D5DB" w:sz="1"/>
              <w:left w:val="single" w:color="D1D5DB" w:sz="1"/>
              <w:bottom w:val="single" w:color="D1D5DB" w:sz="1"/>
              <w:right w:val="single" w:color="D1D5DB" w:sz="1"/>
            </w:tcBorders>
            <w:shd w:fill="2E3A4E"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Students</w:t>
            </w:r>
          </w:p>
        </w:tc>
      </w:tr>
      <w:tr>
        <w:tc>
          <w:tcPr>
            <w:tcW w:type="dxa" w:w="46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2E3A4E"/>
                <w:sz w:val="20"/>
                <w:szCs w:val="20"/>
              </w:rPr>
              <w:t xml:space="preserve">Run the Around the World in Umpteen Proverbs slideshow. Show each proverb slide, pause, let students guess the country of origin before revealing. Move fast — this is a warm-up, not a lecture.</w:t>
            </w:r>
          </w:p>
        </w:tc>
        <w:tc>
          <w:tcPr>
            <w:tcW w:type="dxa" w:w="46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2E3A4E"/>
                <w:sz w:val="20"/>
                <w:szCs w:val="20"/>
              </w:rPr>
              <w:t xml:space="preserve">Call out guesses. Notice which proverbs land — which ones feel surprising, familiar, or funny. Hold onto one that sticks with you.</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2E3A4E"/>
                <w:sz w:val="20"/>
                <w:szCs w:val="20"/>
              </w:rPr>
              <w:t xml:space="preserve">After the slideshow, put the Splitting Semantic Hairs slide back up (Idiom / Aphorism / Proverb). Quick cold-call: what's the difference between a proverb and an aphorism?</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2E3A4E"/>
                <w:sz w:val="20"/>
                <w:szCs w:val="20"/>
              </w:rPr>
              <w:t xml:space="preserve">Answer from memory or from the slide. The key distinction: proverbs are metaphorical and require interpretation. Aphorisms are literal.</w:t>
            </w:r>
          </w:p>
        </w:tc>
      </w:tr>
    </w:tbl>
    <w:p>
      <w:pPr>
        <w:spacing w:after="120" w:before="0"/>
      </w:pPr>
    </w:p>
    <w:p>
      <w:pPr>
        <w:spacing w:after="80" w:before="80"/>
      </w:pPr>
      <w:r>
        <w:rPr>
          <w:rFonts w:ascii="Arial" w:cs="Arial" w:eastAsia="Arial" w:hAnsi="Arial"/>
          <w:b/>
          <w:bCs/>
          <w:color w:val="2563A8"/>
          <w:sz w:val="21"/>
          <w:szCs w:val="21"/>
        </w:rPr>
        <w:t xml:space="preserve">Introduce the Myth Talk  (7 min)</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2E3A4E"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Teacher</w:t>
            </w:r>
          </w:p>
        </w:tc>
        <w:tc>
          <w:tcPr>
            <w:tcW w:type="dxa" w:w="4680"/>
            <w:tcBorders>
              <w:top w:val="single" w:color="D1D5DB" w:sz="1"/>
              <w:left w:val="single" w:color="D1D5DB" w:sz="1"/>
              <w:bottom w:val="single" w:color="D1D5DB" w:sz="1"/>
              <w:right w:val="single" w:color="D1D5DB" w:sz="1"/>
            </w:tcBorders>
            <w:shd w:fill="2E3A4E"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Students</w:t>
            </w:r>
          </w:p>
        </w:tc>
      </w:tr>
      <w:tr>
        <w:tc>
          <w:tcPr>
            <w:tcW w:type="dxa" w:w="46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2E3A4E"/>
                <w:sz w:val="20"/>
                <w:szCs w:val="20"/>
              </w:rPr>
              <w:t xml:space="preserve">Hand out the Myth Talk Assignment Sheet (7.01). Give students 2 minutes to read it silently.</w:t>
            </w:r>
          </w:p>
        </w:tc>
        <w:tc>
          <w:tcPr>
            <w:tcW w:type="dxa" w:w="46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2E3A4E"/>
                <w:sz w:val="20"/>
                <w:szCs w:val="20"/>
              </w:rPr>
              <w:t xml:space="preserve">Read. Flag anything that's unclear.</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2E3A4E"/>
                <w:sz w:val="20"/>
                <w:szCs w:val="20"/>
              </w:rPr>
              <w:t xml:space="preserve">Walk through the four components briefly. Don't linger — this is orientation, not instruction. Land on this: "Everything we do from here connects back to this sheet. Today you're going to start learning how proverbs work. That's the raw material for your pairing."</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2E3A4E"/>
                <w:sz w:val="20"/>
                <w:szCs w:val="20"/>
              </w:rPr>
              <w:t xml:space="preserve">Ask one clarifying question if needed. Hold the rest.</w:t>
            </w:r>
          </w:p>
        </w:tc>
      </w:tr>
      <w:tr>
        <w:tc>
          <w:tcPr>
            <w:tcW w:type="dxa" w:w="46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2E3A4E"/>
                <w:sz w:val="20"/>
                <w:szCs w:val="20"/>
              </w:rPr>
              <w:t xml:space="preserve">Name the Proverb → Principle → Interpretation → Significance sequence explicitly: "This is how you'll unpack any proverb. It's also the anatomy of your Myth Talk. Learn it today, use it all unit."</w:t>
            </w:r>
          </w:p>
        </w:tc>
        <w:tc>
          <w:tcPr>
            <w:tcW w:type="dxa" w:w="46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2E3A4E"/>
                <w:sz w:val="20"/>
                <w:szCs w:val="20"/>
              </w:rPr>
              <w:t xml:space="preserve">Write the four steps in their notes.</w:t>
            </w:r>
          </w:p>
        </w:tc>
      </w:tr>
    </w:tbl>
    <w:p>
      <w:pPr>
        <w:spacing w:after="120" w:before="0"/>
      </w:pPr>
    </w:p>
    <w:p>
      <w:pPr>
        <w:spacing w:after="80" w:before="80"/>
      </w:pPr>
      <w:r>
        <w:rPr>
          <w:rFonts w:ascii="Arial" w:cs="Arial" w:eastAsia="Arial" w:hAnsi="Arial"/>
          <w:b/>
          <w:bCs/>
          <w:color w:val="3D6B4F"/>
          <w:sz w:val="21"/>
          <w:szCs w:val="21"/>
        </w:rPr>
        <w:t xml:space="preserve">Modeling — I Do  (5 min)</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2E3A4E"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Teacher</w:t>
            </w:r>
          </w:p>
        </w:tc>
        <w:tc>
          <w:tcPr>
            <w:tcW w:type="dxa" w:w="4680"/>
            <w:tcBorders>
              <w:top w:val="single" w:color="D1D5DB" w:sz="1"/>
              <w:left w:val="single" w:color="D1D5DB" w:sz="1"/>
              <w:bottom w:val="single" w:color="D1D5DB" w:sz="1"/>
              <w:right w:val="single" w:color="D1D5DB" w:sz="1"/>
            </w:tcBorders>
            <w:shd w:fill="2E3A4E"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Students</w:t>
            </w:r>
          </w:p>
        </w:tc>
      </w:tr>
      <w:tr>
        <w:tc>
          <w:tcPr>
            <w:tcW w:type="dxa" w:w="46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2E3A4E"/>
                <w:sz w:val="20"/>
                <w:szCs w:val="20"/>
              </w:rPr>
              <w:t xml:space="preserve">Pick one proverb from the slideshow — ideally one that got a strong reaction. Model the four-step sequence out loud:</w:t>
            </w:r>
          </w:p>
        </w:tc>
        <w:tc>
          <w:tcPr>
            <w:tcW w:type="dxa" w:w="46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2E3A4E"/>
                <w:sz w:val="20"/>
                <w:szCs w:val="20"/>
              </w:rPr>
              <w:t xml:space="preserve">Watch. Take notes on the structure.</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2E3A4E"/>
                <w:sz w:val="20"/>
                <w:szCs w:val="20"/>
              </w:rPr>
              <w:t xml:space="preserve">Proverb: read it aloud.
Principle: "The underlying idea here is..."
Interpretation: "In plain English, what this is really saying is..."
Significance: "This has lasted because..."</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2E3A4E"/>
                <w:sz w:val="20"/>
                <w:szCs w:val="20"/>
              </w:rPr>
              <w:t xml:space="preserve">Identify where in the model the interpretation moved from literal to symbolic. That's the move they'll need to make.</w:t>
            </w:r>
          </w:p>
        </w:tc>
      </w:tr>
    </w:tbl>
    <w:p>
      <w:pPr>
        <w:spacing w:after="80" w:before="0"/>
      </w:pPr>
    </w:p>
    <w:p>
      <w:pPr>
        <w:pBdr>
          <w:left w:val="single" w:color="C5920A" w:sz="12" w:space="1"/>
        </w:pBdr>
        <w:spacing w:after="80" w:before="80"/>
        <w:ind w:left="360"/>
      </w:pPr>
      <w:r>
        <w:rPr>
          <w:rFonts w:ascii="Arial" w:cs="Arial" w:eastAsia="Arial" w:hAnsi="Arial"/>
          <w:i/>
          <w:iCs/>
          <w:color w:val="6B7280"/>
          <w:sz w:val="20"/>
          <w:szCs w:val="20"/>
        </w:rPr>
        <w:t xml:space="preserve">Suggested model proverb: "A joke is a hole through which truth whistles." (Japan) — it's short, surprising, and the symbolic move is visible enough for students to track.</w:t>
      </w:r>
    </w:p>
    <w:p>
      <w:pPr>
        <w:spacing w:after="120" w:before="0"/>
      </w:pPr>
    </w:p>
    <w:p>
      <w:pPr>
        <w:spacing w:after="80" w:before="80"/>
      </w:pPr>
      <w:r>
        <w:rPr>
          <w:rFonts w:ascii="Arial" w:cs="Arial" w:eastAsia="Arial" w:hAnsi="Arial"/>
          <w:b/>
          <w:bCs/>
          <w:color w:val="2E3A4E"/>
          <w:sz w:val="21"/>
          <w:szCs w:val="21"/>
        </w:rPr>
        <w:t xml:space="preserve">Microlab — You Do  (15 min)</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2E3A4E"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Teacher</w:t>
            </w:r>
          </w:p>
        </w:tc>
        <w:tc>
          <w:tcPr>
            <w:tcW w:type="dxa" w:w="4680"/>
            <w:tcBorders>
              <w:top w:val="single" w:color="D1D5DB" w:sz="1"/>
              <w:left w:val="single" w:color="D1D5DB" w:sz="1"/>
              <w:bottom w:val="single" w:color="D1D5DB" w:sz="1"/>
              <w:right w:val="single" w:color="D1D5DB" w:sz="1"/>
            </w:tcBorders>
            <w:shd w:fill="2E3A4E"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Students</w:t>
            </w:r>
          </w:p>
        </w:tc>
      </w:tr>
      <w:tr>
        <w:tc>
          <w:tcPr>
            <w:tcW w:type="dxa" w:w="46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2E3A4E"/>
                <w:sz w:val="20"/>
                <w:szCs w:val="20"/>
              </w:rPr>
              <w:t xml:space="preserve">Issue the proverbs handout. Students work independently:
1. Read through the list.
2. Choose 3 proverbs that interest you.
3. For each: identify the principle, write an interpretation, note why it lasts.
Circulate. Push students who write vague interpretations: "What does this actually mean for a person in real life?"</w:t>
            </w:r>
          </w:p>
        </w:tc>
        <w:tc>
          <w:tcPr>
            <w:tcW w:type="dxa" w:w="46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2E3A4E"/>
                <w:sz w:val="20"/>
                <w:szCs w:val="20"/>
              </w:rPr>
              <w:t xml:space="preserve">Read, select, write. Aim to finish all three before groups form. If you finish early, pick a fourth.</w:t>
            </w:r>
          </w:p>
        </w:tc>
      </w:tr>
    </w:tbl>
    <w:p>
      <w:pPr>
        <w:spacing w:after="120" w:before="0"/>
      </w:pPr>
    </w:p>
    <w:p>
      <w:pPr>
        <w:spacing w:after="80" w:before="80"/>
      </w:pPr>
      <w:r>
        <w:rPr>
          <w:rFonts w:ascii="Arial" w:cs="Arial" w:eastAsia="Arial" w:hAnsi="Arial"/>
          <w:b/>
          <w:bCs/>
          <w:color w:val="2563A8"/>
          <w:sz w:val="21"/>
          <w:szCs w:val="21"/>
        </w:rPr>
        <w:t xml:space="preserve">Group Share — We Do  (10 min)</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2E3A4E"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Teacher</w:t>
            </w:r>
          </w:p>
        </w:tc>
        <w:tc>
          <w:tcPr>
            <w:tcW w:type="dxa" w:w="4680"/>
            <w:tcBorders>
              <w:top w:val="single" w:color="D1D5DB" w:sz="1"/>
              <w:left w:val="single" w:color="D1D5DB" w:sz="1"/>
              <w:bottom w:val="single" w:color="D1D5DB" w:sz="1"/>
              <w:right w:val="single" w:color="D1D5DB" w:sz="1"/>
            </w:tcBorders>
            <w:shd w:fill="2E3A4E"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Students</w:t>
            </w:r>
          </w:p>
        </w:tc>
      </w:tr>
      <w:tr>
        <w:tc>
          <w:tcPr>
            <w:tcW w:type="dxa" w:w="46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2E3A4E"/>
                <w:sz w:val="20"/>
                <w:szCs w:val="20"/>
              </w:rPr>
              <w:t xml:space="preserve">Form groups of four. Assign roles: Scribe, Moderator, Presenter, Timekeeper. Each student shares their top proverb with the group: Proverb → Principle → Interpretation → Significance. Group selects one to present to the class.</w:t>
            </w:r>
          </w:p>
        </w:tc>
        <w:tc>
          <w:tcPr>
            <w:tcW w:type="dxa" w:w="46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2E3A4E"/>
                <w:sz w:val="20"/>
                <w:szCs w:val="20"/>
              </w:rPr>
              <w:t xml:space="preserve">Share, listen, discuss. Scribe records. Moderator keeps the conversation moving. Timekeeper keeps each share to 90 seconds.</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2E3A4E"/>
                <w:sz w:val="20"/>
                <w:szCs w:val="20"/>
              </w:rPr>
              <w:t xml:space="preserve">Bring the room back. Each Presenter shares their group's top choice. After each: ask the class — "Does anyone have a different read on that principle?"</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2E3A4E"/>
                <w:sz w:val="20"/>
                <w:szCs w:val="20"/>
              </w:rPr>
              <w:t xml:space="preserve">Presenters deliver the four-step sequence. Class responds with agreements or alternative interpretations.</w:t>
            </w:r>
          </w:p>
        </w:tc>
      </w:tr>
    </w:tbl>
    <w:p>
      <w:pPr>
        <w:spacing w:after="120" w:before="0"/>
      </w:pPr>
    </w:p>
    <w:p>
      <w:pPr>
        <w:spacing w:after="80" w:before="80"/>
      </w:pPr>
      <w:r>
        <w:rPr>
          <w:rFonts w:ascii="Arial" w:cs="Arial" w:eastAsia="Arial" w:hAnsi="Arial"/>
          <w:b/>
          <w:bCs/>
          <w:color w:val="3D6B4F"/>
          <w:sz w:val="21"/>
          <w:szCs w:val="21"/>
        </w:rPr>
        <w:t xml:space="preserve">Exit Ticket  (5 min)</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2E3A4E"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Teacher</w:t>
            </w:r>
          </w:p>
        </w:tc>
        <w:tc>
          <w:tcPr>
            <w:tcW w:type="dxa" w:w="4680"/>
            <w:tcBorders>
              <w:top w:val="single" w:color="D1D5DB" w:sz="1"/>
              <w:left w:val="single" w:color="D1D5DB" w:sz="1"/>
              <w:bottom w:val="single" w:color="D1D5DB" w:sz="1"/>
              <w:right w:val="single" w:color="D1D5DB" w:sz="1"/>
            </w:tcBorders>
            <w:shd w:fill="2E3A4E"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Students</w:t>
            </w:r>
          </w:p>
        </w:tc>
      </w:tr>
      <w:tr>
        <w:tc>
          <w:tcPr>
            <w:tcW w:type="dxa" w:w="46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2E3A4E"/>
                <w:sz w:val="20"/>
                <w:szCs w:val="20"/>
              </w:rPr>
              <w:t xml:space="preserve">Hand out the exit ticket or display on screen. Collect before students leave.</w:t>
            </w:r>
          </w:p>
        </w:tc>
        <w:tc>
          <w:tcPr>
            <w:tcW w:type="dxa" w:w="46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2E3A4E"/>
                <w:sz w:val="20"/>
                <w:szCs w:val="20"/>
              </w:rPr>
              <w:t xml:space="preserve">Answer both questions in writing before leaving.</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1D5DB" w:sz="1"/>
              <w:left w:val="single" w:color="D1D5DB" w:sz="1"/>
              <w:bottom w:val="single" w:color="D1D5DB" w:sz="1"/>
              <w:right w:val="single" w:color="D1D5DB" w:sz="1"/>
            </w:tcBorders>
            <w:shd w:fill="FDF3DC" w:val="clear"/>
            <w:tcMar>
              <w:top w:type="dxa" w:w="120"/>
              <w:left w:type="dxa" w:w="160"/>
              <w:bottom w:type="dxa" w:w="120"/>
              <w:right w:type="dxa" w:w="160"/>
            </w:tcMar>
          </w:tcPr>
          <w:p>
            <w:r>
              <w:rPr>
                <w:rFonts w:ascii="Arial" w:cs="Arial" w:eastAsia="Arial" w:hAnsi="Arial"/>
                <w:b/>
                <w:bCs/>
                <w:color w:val="2E3A4E"/>
                <w:sz w:val="21"/>
                <w:szCs w:val="21"/>
              </w:rPr>
              <w:t xml:space="preserve">1.  Pick one proverb from today.</w:t>
            </w:r>
          </w:p>
          <w:p>
            <w:pPr>
              <w:spacing w:before="60"/>
            </w:pPr>
            <w:r>
              <w:rPr>
                <w:rFonts w:ascii="Arial" w:cs="Arial" w:eastAsia="Arial" w:hAnsi="Arial"/>
                <w:i/>
                <w:iCs/>
                <w:color w:val="6B7280"/>
                <w:sz w:val="20"/>
                <w:szCs w:val="20"/>
              </w:rPr>
              <w:t xml:space="preserve">Write the principle it encodes in one sentence.</w:t>
            </w:r>
          </w:p>
        </w:tc>
        <w:tc>
          <w:tcPr>
            <w:tcW w:type="dxa" w:w="5160"/>
            <w:tcBorders>
              <w:top w:val="single" w:color="D1D5DB" w:sz="1"/>
              <w:left w:val="single" w:color="D1D5DB" w:sz="1"/>
              <w:bottom w:val="single" w:color="D1D5DB" w:sz="1"/>
              <w:right w:val="single" w:color="D1D5DB" w:sz="1"/>
            </w:tcBorders>
            <w:tcMar>
              <w:top w:type="dxa" w:w="120"/>
              <w:left w:type="dxa" w:w="160"/>
              <w:bottom w:type="dxa" w:w="120"/>
              <w:right w:type="dxa" w:w="160"/>
            </w:tcMar>
          </w:tcPr>
          <w:p>
            <w:r>
              <w:rPr>
                <w:rFonts w:ascii="Arial" w:cs="Arial" w:eastAsia="Arial" w:hAnsi="Arial"/>
                <w:sz w:val="21"/>
                <w:szCs w:val="21"/>
              </w:rPr>
              <w:t xml:space="preserve"> </w:t>
            </w:r>
          </w:p>
          <w:p>
            <w:pPr>
              <w:spacing w:before="400"/>
            </w:pPr>
            <w:r>
              <w:rPr>
                <w:rFonts w:ascii="Arial" w:cs="Arial" w:eastAsia="Arial" w:hAnsi="Arial"/>
                <w:sz w:val="21"/>
                <w:szCs w:val="21"/>
              </w:rPr>
              <w:t xml:space="preserve"> </w:t>
            </w:r>
          </w:p>
        </w:tc>
      </w:tr>
      <w:tr>
        <w:tc>
          <w:tcPr>
            <w:tcW w:type="dxa" w:w="4200"/>
            <w:tcBorders>
              <w:top w:val="single" w:color="D1D5DB" w:sz="1"/>
              <w:left w:val="single" w:color="D1D5DB" w:sz="1"/>
              <w:bottom w:val="single" w:color="D1D5DB" w:sz="1"/>
              <w:right w:val="single" w:color="D1D5DB" w:sz="1"/>
            </w:tcBorders>
            <w:shd w:fill="FDF3DC" w:val="clear"/>
            <w:tcMar>
              <w:top w:type="dxa" w:w="120"/>
              <w:left w:type="dxa" w:w="160"/>
              <w:bottom w:type="dxa" w:w="120"/>
              <w:right w:type="dxa" w:w="160"/>
            </w:tcMar>
          </w:tcPr>
          <w:p>
            <w:r>
              <w:rPr>
                <w:rFonts w:ascii="Arial" w:cs="Arial" w:eastAsia="Arial" w:hAnsi="Arial"/>
                <w:b/>
                <w:bCs/>
                <w:color w:val="2E3A4E"/>
                <w:sz w:val="21"/>
                <w:szCs w:val="21"/>
              </w:rPr>
              <w:t xml:space="preserve">2.  Name one myth you're considering for your Myth Talk.</w:t>
            </w:r>
          </w:p>
          <w:p>
            <w:pPr>
              <w:spacing w:before="60"/>
            </w:pPr>
            <w:r>
              <w:rPr>
                <w:rFonts w:ascii="Arial" w:cs="Arial" w:eastAsia="Arial" w:hAnsi="Arial"/>
                <w:i/>
                <w:iCs/>
                <w:color w:val="6B7280"/>
                <w:sz w:val="20"/>
                <w:szCs w:val="20"/>
              </w:rPr>
              <w:t xml:space="preserve">What principle does it share with the proverb you picked?</w:t>
            </w:r>
          </w:p>
        </w:tc>
        <w:tc>
          <w:tcPr>
            <w:tcW w:type="dxa" w:w="5160"/>
            <w:tcBorders>
              <w:top w:val="single" w:color="D1D5DB" w:sz="1"/>
              <w:left w:val="single" w:color="D1D5DB" w:sz="1"/>
              <w:bottom w:val="single" w:color="D1D5DB" w:sz="1"/>
              <w:right w:val="single" w:color="D1D5DB" w:sz="1"/>
            </w:tcBorders>
            <w:tcMar>
              <w:top w:type="dxa" w:w="120"/>
              <w:left w:type="dxa" w:w="160"/>
              <w:bottom w:type="dxa" w:w="120"/>
              <w:right w:type="dxa" w:w="160"/>
            </w:tcMar>
          </w:tcPr>
          <w:p>
            <w:r>
              <w:rPr>
                <w:rFonts w:ascii="Arial" w:cs="Arial" w:eastAsia="Arial" w:hAnsi="Arial"/>
                <w:sz w:val="21"/>
                <w:szCs w:val="21"/>
              </w:rPr>
              <w:t xml:space="preserve"> </w:t>
            </w:r>
          </w:p>
          <w:p>
            <w:pPr>
              <w:spacing w:before="400"/>
            </w:pPr>
            <w:r>
              <w:rPr>
                <w:rFonts w:ascii="Arial" w:cs="Arial" w:eastAsia="Arial" w:hAnsi="Arial"/>
                <w:sz w:val="21"/>
                <w:szCs w:val="21"/>
              </w:rPr>
              <w:t xml:space="preserve"> </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2E3A4E" w:val="clear"/>
            <w:tcMar>
              <w:top w:type="dxa" w:w="100"/>
              <w:left w:type="dxa" w:w="160"/>
              <w:bottom w:type="dxa" w:w="100"/>
              <w:right w:type="dxa" w:w="160"/>
            </w:tcMar>
          </w:tcPr>
          <w:p>
            <w:r>
              <w:rPr>
                <w:rFonts w:ascii="Arial" w:cs="Arial" w:eastAsia="Arial" w:hAnsi="Arial"/>
                <w:b/>
                <w:bCs/>
                <w:color w:val="FFFFFF"/>
                <w:sz w:val="22"/>
                <w:szCs w:val="22"/>
              </w:rPr>
              <w:t xml:space="preserve">Differentiated Instruction</w:t>
            </w:r>
          </w:p>
        </w:tc>
      </w:tr>
      <w:tr>
        <w:tc>
          <w:tcPr>
            <w:tcBorders>
              <w:top w:val="single" w:color="D1D5DB" w:sz="1"/>
              <w:left w:val="single" w:color="D1D5DB" w:sz="1"/>
              <w:bottom w:val="single" w:color="D1D5DB" w:sz="1"/>
              <w:right w:val="single" w:color="D1D5DB" w:sz="1"/>
            </w:tcBorders>
            <w:tcMar>
              <w:top w:type="dxa" w:w="120"/>
              <w:left w:type="dxa" w:w="160"/>
              <w:bottom w:type="dxa" w:w="120"/>
              <w:right w:type="dxa" w:w="160"/>
            </w:tcMar>
          </w:tcPr>
          <w:p>
            <w:pPr>
              <w:spacing w:after="80" w:before="80"/>
            </w:pPr>
            <w:r>
              <w:rPr>
                <w:rFonts w:ascii="Arial" w:cs="Arial" w:eastAsia="Arial" w:hAnsi="Arial"/>
                <w:b/>
                <w:bCs/>
                <w:color w:val="2E3A4E"/>
                <w:sz w:val="21"/>
                <w:szCs w:val="21"/>
              </w:rPr>
              <w:t xml:space="preserve">Gifted and Talented:</w:t>
            </w:r>
          </w:p>
          <w:p>
            <w:pPr>
              <w:spacing w:after="80" w:before="80"/>
            </w:pPr>
            <w:r>
              <w:rPr>
                <w:rFonts w:ascii="Arial" w:cs="Arial" w:eastAsia="Arial" w:hAnsi="Arial"/>
                <w:color w:val="2E3A4E"/>
                <w:sz w:val="21"/>
                <w:szCs w:val="21"/>
              </w:rPr>
              <w:t xml:space="preserve">At the end of independent work, invite GT students to write their own proverb — something they'd pass on to next year's class. It should encode a principle in a metaphor. Share out if time allows.</w:t>
            </w:r>
          </w:p>
          <w:p>
            <w:pPr>
              <w:spacing w:after="80" w:before="0"/>
            </w:pPr>
          </w:p>
          <w:p>
            <w:pPr>
              <w:spacing w:after="80" w:before="80"/>
            </w:pPr>
            <w:r>
              <w:rPr>
                <w:rFonts w:ascii="Arial" w:cs="Arial" w:eastAsia="Arial" w:hAnsi="Arial"/>
                <w:b/>
                <w:bCs/>
                <w:color w:val="2E3A4E"/>
                <w:sz w:val="21"/>
                <w:szCs w:val="21"/>
              </w:rPr>
              <w:t xml:space="preserve">English Learners:</w:t>
            </w:r>
          </w:p>
          <w:p>
            <w:pPr>
              <w:spacing w:after="80" w:before="80"/>
            </w:pPr>
            <w:r>
              <w:rPr>
                <w:rFonts w:ascii="Arial" w:cs="Arial" w:eastAsia="Arial" w:hAnsi="Arial"/>
                <w:color w:val="2E3A4E"/>
                <w:sz w:val="21"/>
                <w:szCs w:val="21"/>
              </w:rPr>
              <w:t xml:space="preserve">Provide the proverb list with key vocabulary glossed. Pair with a partner for the independent work phase if needed. The slideshow visual context helps ground meaning before written interpretation.</w:t>
            </w:r>
          </w:p>
          <w:p>
            <w:pPr>
              <w:spacing w:after="80" w:before="0"/>
            </w:pPr>
          </w:p>
          <w:p>
            <w:pPr>
              <w:spacing w:after="80" w:before="80"/>
            </w:pPr>
            <w:r>
              <w:rPr>
                <w:rFonts w:ascii="Arial" w:cs="Arial" w:eastAsia="Arial" w:hAnsi="Arial"/>
                <w:b/>
                <w:bCs/>
                <w:color w:val="2E3A4E"/>
                <w:sz w:val="21"/>
                <w:szCs w:val="21"/>
              </w:rPr>
              <w:t xml:space="preserve">Students with Other Special Needs:</w:t>
            </w:r>
          </w:p>
          <w:p>
            <w:pPr>
              <w:spacing w:after="80" w:before="80"/>
            </w:pPr>
            <w:r>
              <w:rPr>
                <w:rFonts w:ascii="Arial" w:cs="Arial" w:eastAsia="Arial" w:hAnsi="Arial"/>
                <w:color w:val="2E3A4E"/>
                <w:sz w:val="21"/>
                <w:szCs w:val="21"/>
              </w:rPr>
              <w:t xml:space="preserve">Provide a partially completed model of the four-step sequence (proverb and principle pre-filled) so the interpretation and significance steps are the only ones requiring original writing.</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3D6B4F" w:val="clear"/>
            <w:tcMar>
              <w:top w:type="dxa" w:w="100"/>
              <w:left w:type="dxa" w:w="160"/>
              <w:bottom w:type="dxa" w:w="100"/>
              <w:right w:type="dxa" w:w="160"/>
            </w:tcMar>
          </w:tcPr>
          <w:p>
            <w:r>
              <w:rPr>
                <w:rFonts w:ascii="Arial" w:cs="Arial" w:eastAsia="Arial" w:hAnsi="Arial"/>
                <w:b/>
                <w:bCs/>
                <w:color w:val="FFFFFF"/>
                <w:sz w:val="22"/>
                <w:szCs w:val="22"/>
              </w:rPr>
              <w:t xml:space="preserve">Assessment</w:t>
            </w:r>
          </w:p>
        </w:tc>
      </w:tr>
      <w:tr>
        <w:tc>
          <w:tcPr>
            <w:tcBorders>
              <w:top w:val="single" w:color="D1D5DB" w:sz="1"/>
              <w:left w:val="single" w:color="D1D5DB" w:sz="1"/>
              <w:bottom w:val="single" w:color="D1D5DB" w:sz="1"/>
              <w:right w:val="single" w:color="D1D5DB" w:sz="1"/>
            </w:tcBorders>
            <w:tcMar>
              <w:top w:type="dxa" w:w="120"/>
              <w:left w:type="dxa" w:w="160"/>
              <w:bottom w:type="dxa" w:w="120"/>
              <w:right w:type="dxa" w:w="160"/>
            </w:tcMar>
          </w:tcPr>
          <w:p>
            <w:pPr>
              <w:spacing w:after="80" w:before="80"/>
            </w:pPr>
            <w:r>
              <w:rPr>
                <w:rFonts w:ascii="Arial" w:cs="Arial" w:eastAsia="Arial" w:hAnsi="Arial"/>
                <w:b/>
                <w:bCs/>
                <w:color w:val="2E3A4E"/>
                <w:sz w:val="21"/>
                <w:szCs w:val="21"/>
              </w:rPr>
              <w:t xml:space="preserve">Formative:</w:t>
            </w:r>
          </w:p>
          <w:p>
            <w:pPr>
              <w:spacing w:after="80" w:before="80"/>
            </w:pPr>
            <w:r>
              <w:rPr>
                <w:rFonts w:ascii="Arial" w:cs="Arial" w:eastAsia="Arial" w:hAnsi="Arial"/>
                <w:color w:val="2E3A4E"/>
                <w:sz w:val="21"/>
                <w:szCs w:val="21"/>
              </w:rPr>
              <w:t xml:space="preserve">Circulate during independent microlab work. Listen for vague interpretations ("it means be careful") and push for specificity. Monitor group shares to assess whether students can connect a proverb's principle to a broader human truth.</w:t>
            </w:r>
          </w:p>
          <w:p>
            <w:pPr>
              <w:spacing w:after="80" w:before="0"/>
            </w:pPr>
          </w:p>
          <w:p>
            <w:pPr>
              <w:spacing w:after="80" w:before="80"/>
            </w:pPr>
            <w:r>
              <w:rPr>
                <w:rFonts w:ascii="Arial" w:cs="Arial" w:eastAsia="Arial" w:hAnsi="Arial"/>
                <w:b/>
                <w:bCs/>
                <w:color w:val="2E3A4E"/>
                <w:sz w:val="21"/>
                <w:szCs w:val="21"/>
              </w:rPr>
              <w:t xml:space="preserve">Summative Connection:</w:t>
            </w:r>
          </w:p>
          <w:p>
            <w:pPr>
              <w:spacing w:after="80" w:before="80"/>
            </w:pPr>
            <w:r>
              <w:rPr>
                <w:rFonts w:ascii="Arial" w:cs="Arial" w:eastAsia="Arial" w:hAnsi="Arial"/>
                <w:color w:val="2E3A4E"/>
                <w:sz w:val="21"/>
                <w:szCs w:val="21"/>
              </w:rPr>
              <w:t xml:space="preserve">Exit ticket responses are the first informal data point toward Checkpoint 1 (Pairing Rationale). Students who can name a myth and connect it to a proverb principle are ahead of the curve. Collect and scan before Thursday.</w:t>
            </w:r>
          </w:p>
        </w:tc>
      </w:tr>
    </w:tbl>
    <w:p>
      <w:pPr>
        <w:spacing w:after="80" w:before="0"/>
      </w:pP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1"/>
      </w:pBdr>
      <w:spacing w:after="0" w:before="80"/>
      <w:jc w:val="right"/>
    </w:pPr>
    <w:r>
      <w:rPr>
        <w:rFonts w:ascii="Arial" w:cs="Arial" w:eastAsia="Arial" w:hAnsi="Arial"/>
        <w:color w:val="6B7280"/>
        <w:sz w:val="16"/>
        <w:szCs w:val="16"/>
      </w:rPr>
      <w:t xml:space="preserve">p.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920A" w:sz="4" w:space="1"/>
      </w:pBdr>
      <w:spacing w:after="120" w:before="0"/>
    </w:pPr>
    <w:r>
      <w:rPr>
        <w:rFonts w:ascii="Arial" w:cs="Arial" w:eastAsia="Arial" w:hAnsi="Arial"/>
        <w:b/>
        <w:bCs/>
        <w:color w:val="C5920A"/>
        <w:sz w:val="18"/>
        <w:szCs w:val="18"/>
      </w:rPr>
      <w:t xml:space="preserve">Mythology &amp; Proverbs  |  Unit 7.00</w:t>
    </w:r>
    <w:r>
      <w:rPr>
        <w:rFonts w:ascii="Arial" w:cs="Arial" w:eastAsia="Arial" w:hAnsi="Arial"/>
        <w:color w:val="6B7280"/>
        <w:sz w:val="18"/>
        <w:szCs w:val="18"/>
      </w:rPr>
      <w:t xml:space="preserve">   Day 3 Lesson Plan  —  Wednesday, May 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2026-05-05T17:13:27.315Z</dcterms:created>
  <dcterms:modified xsi:type="dcterms:W3CDTF">2026-05-05T17:13:27.316Z</dcterms:modified>
</cp:coreProperties>
</file>

<file path=docProps/custom.xml><?xml version="1.0" encoding="utf-8"?>
<Properties xmlns="http://schemas.openxmlformats.org/officeDocument/2006/custom-properties" xmlns:vt="http://schemas.openxmlformats.org/officeDocument/2006/docPropsVTypes"/>
</file>