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3A5F"/>
          <w:sz w:val="48"/>
          <w:szCs w:val="48"/>
        </w:rPr>
        <w:t xml:space="preserve">Zusammenfassung</w:t>
      </w:r>
    </w:p>
    <w:p>
      <w:pPr>
        <w:spacing w:after="360"/>
      </w:pPr>
      <w:r>
        <w:rPr>
          <w:color w:val="5F6B7A"/>
          <w:sz w:val="26"/>
          <w:szCs w:val="26"/>
        </w:rPr>
        <w:t xml:space="preserve">Supabase Security Audit – Ergebnis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Angabe</w:t>
            </w:r>
          </w:p>
        </w:tc>
        <w:tc>
          <w:tcPr>
            <w:tcW w:type="dxa" w:w="64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Wert</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Kunde</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Fernau GmbH</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Projekt (Dashboard-Name)</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Fernau_ERP_DEVELOPMENT, Branch „main“ (Production)</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Projekt-Referenz</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jcbjbebvwrtqrskzpxvp</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Prüfzeitraum</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22.09.2026 – 24.09.2026</w:t>
            </w:r>
          </w:p>
        </w:tc>
      </w:tr>
      <w:tr>
        <w:trPr>
          <w:cantSplit/>
        </w:trPr>
        <w:tc>
          <w:tcPr>
            <w:tcW w:type="dxa" w:w="26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Verfasser</w:t>
            </w:r>
          </w:p>
        </w:tc>
        <w:tc>
          <w:tcPr>
            <w:tcW w:type="dxa" w:w="64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Parlison Code Couture UG (haftungsbeschränkt)</w:t>
            </w:r>
          </w:p>
        </w:tc>
      </w:tr>
      <w:tr>
        <w:trPr>
          <w:cantSplit/>
        </w:trPr>
        <w:tc>
          <w:tcPr>
            <w:tcW w:type="dxa" w:w="26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Stand</w:t>
            </w:r>
          </w:p>
        </w:tc>
        <w:tc>
          <w:tcPr>
            <w:tcW w:type="dxa" w:w="64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24.09.2026</w:t>
            </w:r>
          </w:p>
        </w:tc>
      </w:tr>
    </w:tbl>
    <w:p>
      <w:pPr>
        <w:spacing w:after="120"/>
      </w:pPr>
    </w:p>
    <w:p>
      <w:pPr>
        <w:pStyle w:val="Heading1"/>
      </w:pPr>
      <w:r>
        <w:t xml:space="preserve">Ergebnis auf einen 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1DA" w:sz="4"/>
              <w:left w:val="single" w:color="2E7D4F" w:sz="24"/>
              <w:bottom w:val="single" w:color="C9D1DA" w:sz="4"/>
              <w:right w:val="single" w:color="C9D1DA" w:sz="4"/>
            </w:tcBorders>
            <w:shd w:fill="E6F2EA" w:color="auto" w:val="clear"/>
            <w:tcMar>
              <w:top w:type="dxa" w:w="140"/>
              <w:left w:type="dxa" w:w="200"/>
              <w:bottom w:type="dxa" w:w="140"/>
              <w:right w:type="dxa" w:w="200"/>
            </w:tcMar>
          </w:tcPr>
          <w:p>
            <w:pPr>
              <w:spacing w:after="80" w:line="290"/>
            </w:pPr>
            <w:r>
              <w:rPr>
                <w:b/>
                <w:bCs/>
              </w:rPr>
              <w:t xml:space="preserve">Nach Abschluss der Prüfung sind keine kritischen und keine hohen Befunde mehr offen.</w:t>
            </w:r>
          </w:p>
          <w:p>
            <w:pPr>
              <w:spacing w:after="80" w:line="290"/>
            </w:pPr>
            <w:r>
              <w:t xml:space="preserve">Alle sieben manuellen Prüfpunkte sind behoben oder als begründete Ausnahme akzeptiert. Der abschließende automatische Prüflauf vom 24.09.2026 meldet 0 kritische Befunde; die verbleibenden Warnungen sind eingeordnet und stellen kein akutes Risiko dar.</w:t>
            </w:r>
          </w:p>
        </w:tc>
      </w:tr>
    </w:tbl>
    <w:p>
      <w:pPr>
        <w:spacing w:after="120"/>
      </w:pPr>
    </w:p>
    <w:p>
      <w:pPr>
        <w:spacing w:after="120" w:line="300"/>
      </w:pPr>
      <w:r>
        <w:t xml:space="preserve">Die Anwendung hat eine solide Sicherheitsgrundlage: Nicht angemeldete Besucher erhalten auf keine der 474 Tabellen und Sichten Zugriff, eine Selbstregistrierung ist abgeschaltet, Zugangstoken lassen sich nicht fälschen, und im ausgelieferten Webcode steckt kein Administrationsschlüssel. Die im Audit gefundenen Mängel hat das Entwicklerteam innerhalb von zwei Tagen behoben; jede Behebung wurde von uns nachgeprüft.</w:t>
      </w:r>
    </w:p>
    <w:p>
      <w:pPr>
        <w:pStyle w:val="Heading1"/>
      </w:pPr>
      <w:r>
        <w:t xml:space="preserve">Grundlage dieser Zusammenfassung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Dokument</w:t>
            </w:r>
          </w:p>
        </w:tc>
        <w:tc>
          <w:tcPr>
            <w:tcW w:type="dxa" w:w="60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Inhalt</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Supabase Security Check – Leistungsbeschreibung</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Was automatisch geprüft wird, wie bewertet wird und wo die Grenzen der Prüfung liegen (15 Prüfungen in sieben Bereichen).</w:t>
            </w:r>
          </w:p>
        </w:tc>
      </w:tr>
      <w:tr>
        <w:trPr>
          <w:cantSplit/>
        </w:trPr>
        <w:tc>
          <w:tcPr>
            <w:tcW w:type="dxa" w:w="30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Automatischer Prüfbericht vom 24.09.2026, 16:14 Uhr</w:t>
            </w:r>
          </w:p>
        </w:tc>
        <w:tc>
          <w:tcPr>
            <w:tcW w:type="dxa" w:w="60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Abschließender Prüflauf auf Basis eines Katalog-Snapshots der Produktivdatenbank vom selben Tag, 16:13 Uhr.</w:t>
            </w:r>
          </w:p>
        </w:tc>
      </w:tr>
      <w:tr>
        <w:trPr>
          <w:cantSplit/>
        </w:trPr>
        <w:tc>
          <w:tcPr>
            <w:tcW w:type="dxa" w:w="30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Manuelle Prüfungen (M-01 bis M-07)</w:t>
            </w:r>
          </w:p>
        </w:tc>
        <w:tc>
          <w:tcPr>
            <w:tcW w:type="dxa" w:w="60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Prüfpunkte, die automatisch nicht erreichbar sind: Dashboard-Einstellungen, Frontend, Abhängigkeiten, Code-Review der Datenbankfunktionen – jeweils mit Befund, Behebung und Nachprüfung.</w:t>
            </w:r>
          </w:p>
        </w:tc>
      </w:tr>
    </w:tbl>
    <w:p>
      <w:pPr>
        <w:spacing w:after="120"/>
      </w:pPr>
    </w:p>
    <w:p>
      <w:pPr>
        <w:pStyle w:val="Heading1"/>
      </w:pPr>
      <w:r>
        <w:t xml:space="preserve">Manuelle Prüfungen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700"/>
        <w:gridCol w:w="2126"/>
      </w:tblGrid>
      <w:tr>
        <w:trPr>
          <w:tblHeader/>
        </w:trPr>
        <w:tc>
          <w:tcPr>
            <w:tcW w:type="dxa" w:w="9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Nr.</w:t>
            </w:r>
          </w:p>
        </w:tc>
        <w:tc>
          <w:tcPr>
            <w:tcW w:type="dxa" w:w="43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Prüfpunkt</w:t>
            </w:r>
          </w:p>
        </w:tc>
        <w:tc>
          <w:tcPr>
            <w:tcW w:type="dxa" w:w="17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Ursprüngliche Stufe</w:t>
            </w:r>
          </w:p>
        </w:tc>
        <w:tc>
          <w:tcPr>
            <w:tcW w:type="dxa" w:w="21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Status</w:t>
            </w:r>
          </w:p>
        </w:tc>
      </w:tr>
      <w:tr>
        <w:trPr>
          <w:cantSplit/>
        </w:trPr>
        <w:tc>
          <w:tcPr>
            <w:tcW w:type="dxa" w:w="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M-01</w:t>
            </w:r>
          </w:p>
        </w:tc>
        <w:tc>
          <w:tcPr>
            <w:tcW w:type="dxa" w:w="4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Passwort-Richtlinie</w:t>
            </w:r>
          </w:p>
        </w:tc>
        <w:tc>
          <w:tcPr>
            <w:tcW w:type="dxa" w:w="1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Mittel bis Hoch</w:t>
            </w:r>
          </w:p>
        </w:tc>
        <w:tc>
          <w:tcPr>
            <w:tcW w:type="dxa" w:w="2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w:t>
            </w:r>
          </w:p>
        </w:tc>
      </w:tr>
      <w:tr>
        <w:trPr>
          <w:cantSplit/>
        </w:trPr>
        <w:tc>
          <w:tcPr>
            <w:tcW w:type="dxa" w:w="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M-02</w:t>
            </w:r>
          </w:p>
        </w:tc>
        <w:tc>
          <w:tcPr>
            <w:tcW w:type="dxa" w:w="4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Sicherheits-Header des Frontends</w:t>
            </w:r>
          </w:p>
        </w:tc>
        <w:tc>
          <w:tcPr>
            <w:tcW w:type="dxa" w:w="1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Mittel</w:t>
            </w:r>
          </w:p>
        </w:tc>
        <w:tc>
          <w:tcPr>
            <w:tcW w:type="dxa" w:w="2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Behoben, nachgeprüft</w:t>
            </w:r>
          </w:p>
        </w:tc>
      </w:tr>
      <w:tr>
        <w:trPr>
          <w:cantSplit/>
        </w:trPr>
        <w:tc>
          <w:tcPr>
            <w:tcW w:type="dxa" w:w="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M-03</w:t>
            </w:r>
          </w:p>
        </w:tc>
        <w:tc>
          <w:tcPr>
            <w:tcW w:type="dxa" w:w="4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Verwundbare npm-Abhängigkeiten</w:t>
            </w:r>
          </w:p>
        </w:tc>
        <w:tc>
          <w:tcPr>
            <w:tcW w:type="dxa" w:w="1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Mittel</w:t>
            </w:r>
          </w:p>
        </w:tc>
        <w:tc>
          <w:tcPr>
            <w:tcW w:type="dxa" w:w="2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w:t>
            </w:r>
          </w:p>
        </w:tc>
      </w:tr>
      <w:tr>
        <w:trPr>
          <w:cantSplit/>
        </w:trPr>
        <w:tc>
          <w:tcPr>
            <w:tcW w:type="dxa" w:w="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M-04</w:t>
            </w:r>
          </w:p>
        </w:tc>
        <w:tc>
          <w:tcPr>
            <w:tcW w:type="dxa" w:w="4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Sichten mit Eigentümer-Rechten</w:t>
            </w:r>
          </w:p>
        </w:tc>
        <w:tc>
          <w:tcPr>
            <w:tcW w:type="dxa" w:w="1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w:t>
            </w:r>
          </w:p>
        </w:tc>
        <w:tc>
          <w:tcPr>
            <w:tcW w:type="dxa" w:w="2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Begründete Ausnahme</w:t>
            </w:r>
          </w:p>
        </w:tc>
      </w:tr>
      <w:tr>
        <w:trPr>
          <w:cantSplit/>
        </w:trPr>
        <w:tc>
          <w:tcPr>
            <w:tcW w:type="dxa" w:w="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M-05</w:t>
            </w:r>
          </w:p>
        </w:tc>
        <w:tc>
          <w:tcPr>
            <w:tcW w:type="dxa" w:w="4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Zeitplaner-Funktionen für alle Nutzer aufrufbar</w:t>
            </w:r>
          </w:p>
        </w:tc>
        <w:tc>
          <w:tcPr>
            <w:tcW w:type="dxa" w:w="1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Kritisch</w:t>
            </w:r>
          </w:p>
        </w:tc>
        <w:tc>
          <w:tcPr>
            <w:tcW w:type="dxa" w:w="2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w:t>
            </w:r>
          </w:p>
        </w:tc>
      </w:tr>
      <w:tr>
        <w:trPr>
          <w:cantSplit/>
        </w:trPr>
        <w:tc>
          <w:tcPr>
            <w:tcW w:type="dxa" w:w="9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M-06</w:t>
            </w:r>
          </w:p>
        </w:tc>
        <w:tc>
          <w:tcPr>
            <w:tcW w:type="dxa" w:w="43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Not-Aus der KI für alle Nutzer schaltbar</w:t>
            </w:r>
          </w:p>
        </w:tc>
        <w:tc>
          <w:tcPr>
            <w:tcW w:type="dxa" w:w="17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Hoch</w:t>
            </w:r>
          </w:p>
        </w:tc>
        <w:tc>
          <w:tcPr>
            <w:tcW w:type="dxa" w:w="21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Behoben, nachgeprüft</w:t>
            </w:r>
          </w:p>
        </w:tc>
      </w:tr>
      <w:tr>
        <w:trPr>
          <w:cantSplit/>
        </w:trPr>
        <w:tc>
          <w:tcPr>
            <w:tcW w:type="dxa" w:w="9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M-07</w:t>
            </w:r>
          </w:p>
        </w:tc>
        <w:tc>
          <w:tcPr>
            <w:tcW w:type="dxa" w:w="43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Weitere KI-Funktionen für alle Nutzer aufrufbar</w:t>
            </w:r>
          </w:p>
        </w:tc>
        <w:tc>
          <w:tcPr>
            <w:tcW w:type="dxa" w:w="17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Hoch</w:t>
            </w:r>
          </w:p>
        </w:tc>
        <w:tc>
          <w:tcPr>
            <w:tcW w:type="dxa" w:w="21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Behoben, nachgeprüft</w:t>
            </w:r>
          </w:p>
        </w:tc>
      </w:tr>
    </w:tbl>
    <w:p>
      <w:pPr>
        <w:spacing w:after="120"/>
      </w:pPr>
    </w:p>
    <w:p>
      <w:pPr>
        <w:spacing w:after="120" w:line="300"/>
      </w:pPr>
      <w:r>
        <w:t xml:space="preserve">Die schwerwiegendsten Befunde (M-05 bis M-07) hatten eine gemeinsame, in Supabase-Projekten häufige Ursache: Das Aufrufrecht für Funktionen mit Administratorrechten war nur der allgemeinen Gruppe „alle“ entzogen, nicht aber den angemeldeten Nutzern. Das Entwicklerteam hat nicht nur die gemeldeten Funktionen geschlossen, sondern das gesamte Projekt nach diesem Muster durchsucht und eine automatische Prüfung eingerichtet, die den Fehler künftig vor jeder Auslieferung abfängt. Der Katalog-Snapshot vom 24.09.2026, 16:13 Uhr, bestätigt unabhängig: Keine der 16 betroffenen Funktionen ist für angemeldete oder nicht angemeldete Nutzer noch aufrufbar.</w:t>
      </w:r>
    </w:p>
    <w:p>
      <w:pPr>
        <w:pStyle w:val="Heading1"/>
      </w:pPr>
      <w:r>
        <w:t xml:space="preserve">Automatischer Prüfbericht</w:t>
      </w:r>
    </w:p>
    <w:p>
      <w:pPr>
        <w:spacing w:after="120" w:line="300"/>
      </w:pPr>
      <w:r>
        <w:t xml:space="preserve">Von den 15 automatischen Prüfungen sind 8 ohne Befund, 1 enthält nur Plattform-Ausnahmen und 6 enthalten Warnungen. Kritische Befunde gibt es keine. Die Warnungen sind im Folgenden fachlich eingeordnet.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Prüfung</w:t>
            </w:r>
          </w:p>
        </w:tc>
        <w:tc>
          <w:tcPr>
            <w:tcW w:type="dxa" w:w="6526"/>
            <w:tcBorders>
              <w:top w:val="single" w:color="C9D1DA" w:sz="4"/>
              <w:left w:val="single" w:color="C9D1DA" w:sz="4"/>
              <w:bottom w:val="single" w:color="C9D1DA" w:sz="4"/>
              <w:right w:val="single" w:color="C9D1DA" w:sz="4"/>
            </w:tcBorders>
            <w:shd w:fill="1F3A5F" w:color="auto" w:val="clear"/>
            <w:tcMar>
              <w:top w:type="dxa" w:w="80"/>
              <w:left w:type="dxa" w:w="110"/>
              <w:bottom w:type="dxa" w:w="80"/>
              <w:right w:type="dxa" w:w="110"/>
            </w:tcMar>
          </w:tcPr>
          <w:p>
            <w:pPr>
              <w:spacing w:after="0" w:line="260"/>
            </w:pPr>
            <w:r>
              <w:rPr>
                <w:b/>
                <w:bCs/>
                <w:color w:val="FFFFFF"/>
                <w:sz w:val="19"/>
                <w:szCs w:val="19"/>
              </w:rPr>
              <w:t xml:space="preserve">Einordnung</w:t>
            </w:r>
          </w:p>
        </w:tc>
      </w:tr>
      <w:tr>
        <w:trPr>
          <w:cantSplit/>
        </w:trPr>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Anmelde-Einstellungen (2 Hinweise)</w:t>
            </w:r>
          </w:p>
        </w:tc>
        <w:tc>
          <w:tcPr>
            <w:tcW w:type="dxa" w:w="65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Passwortlänge und Zwei-Faktor-Status gibt die Schnittstelle nicht preis. Die Passwort-Richtlinie wurde deshalb manuell im Dashboard geprüft und verschärft (M-01). Kein offener Mangel.</w:t>
            </w:r>
          </w:p>
        </w:tc>
      </w:tr>
      <w:tr>
        <w:trPr>
          <w:cantSplit/>
        </w:trPr>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Zeilenschutz und Rechte je Relation (9)</w:t>
            </w:r>
          </w:p>
        </w:tc>
        <w:tc>
          <w:tcPr>
            <w:tcW w:type="dxa" w:w="65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Acht Meldungen betreffen die Sichten aus M-04: bewusst so gebaut, jede prüft selbst, wer fragt, und zeigt keine vertraulichen Felder. Die neunte betrifft eine materialisierte Sicht, für die angemeldete Nutzer nur Schreibrechte besitzen; PostgreSQL erlaubt in materialisierte Sichten grundsätzlich kein Schreiben, ein Leserecht besteht nicht – es ist also kein Zugriff möglich.</w:t>
            </w:r>
          </w:p>
        </w:tc>
      </w:tr>
      <w:tr>
        <w:trPr>
          <w:cantSplit/>
        </w:trPr>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Aufrufbarkeit von Datenbankfunktionen (63)</w:t>
            </w:r>
          </w:p>
        </w:tc>
        <w:tc>
          <w:tcPr>
            <w:tcW w:type="dxa" w:w="65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Keine dieser Funktionen ist ohne Anmeldung erreichbar, und Konten vergibt nur die Firma selbst. Rund zwei Drittel lesen oder berechnen nur (z. B. Kapazitäten, Lieferperformance). Die Firma wird vielfach aus der Anmeldung ermittelt, und die Datenbank enthält nur eine Firma – ein Zugriff auf fremde Mandanten ist damit ausgeschlossen. Einordnung: Mittel, rein intern; siehe Empfehlungen.</w:t>
            </w:r>
          </w:p>
        </w:tc>
      </w:tr>
      <w:tr>
        <w:trPr>
          <w:cantSplit/>
        </w:trPr>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Sicherheitsprüfung des Funktions-Quellcodes (566)</w:t>
            </w:r>
          </w:p>
        </w:tc>
        <w:tc>
          <w:tcPr>
            <w:tcW w:type="dxa" w:w="65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Musterbasierte Analyse der Migrationsdateien. Sie erkennt projekteigene Prüfungen (etwa die Ermittlung der Firma aus der Anmeldung) nicht und bewertet auch Funktionen, die über die Schnittstelle gar nicht aufrufbar sind, z. B. Trigger. Maßgeblich ist der Abgleich mit dem Live-Katalog in der Zeile darüber.</w:t>
            </w:r>
          </w:p>
        </w:tc>
      </w:tr>
      <w:tr>
        <w:trPr>
          <w:cantSplit/>
        </w:trPr>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Suchpfad-Absicherung (265)</w:t>
            </w:r>
          </w:p>
        </w:tc>
        <w:tc>
          <w:tcPr>
            <w:tcW w:type="dxa" w:w="65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Härtungshinweis für Funktionen mit normalen Nutzerrechten. Eine Ausnutzung setzt voraus, dass ein Angreifer eigene Datenbankobjekte anlegen kann; über die Schnittstelle der Anwendung ist das nicht möglich. Alle Funktionen mit Administratorrechten haben einen festen Suchpfad.</w:t>
            </w:r>
          </w:p>
        </w:tc>
      </w:tr>
      <w:tr>
        <w:trPr>
          <w:cantSplit/>
        </w:trPr>
        <w:tc>
          <w:tcPr>
            <w:tcW w:type="dxa" w:w="2500"/>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Serverfunktionen (86)</w:t>
            </w:r>
          </w:p>
        </w:tc>
        <w:tc>
          <w:tcPr>
            <w:tcW w:type="dxa" w:w="6526"/>
            <w:tcBorders>
              <w:top w:val="single" w:color="C9D1DA" w:sz="4"/>
              <w:left w:val="single" w:color="C9D1DA" w:sz="4"/>
              <w:bottom w:val="single" w:color="C9D1DA" w:sz="4"/>
              <w:right w:val="single" w:color="C9D1DA" w:sz="4"/>
            </w:tcBorders>
            <w:shd w:fill="F3F6F9" w:color="auto" w:val="clear"/>
            <w:tcMar>
              <w:top w:type="dxa" w:w="80"/>
              <w:left w:type="dxa" w:w="110"/>
              <w:bottom w:type="dxa" w:w="80"/>
              <w:right w:type="dxa" w:w="110"/>
            </w:tcMar>
          </w:tcPr>
          <w:p>
            <w:pPr>
              <w:spacing w:after="0" w:line="260"/>
            </w:pPr>
            <w:r>
              <w:rPr>
                <w:b w:val="false"/>
                <w:bCs w:val="false"/>
                <w:sz w:val="19"/>
                <w:szCs w:val="19"/>
              </w:rPr>
              <w:t xml:space="preserve">85 Meldungen „Eingabe ohne Schema-Validator“ sind eine Heuristik: Die Prüfung sucht nach dem Import bestimmter Bibliotheken und übersieht projekteigene Schemata, die im Code tatsächlich verwendet werden. Im Code-Review prüfen die Serverfunktionen die Anmeldung und ermitteln die Firma aus dem Anmeldekonto. Die eine Meldung zu möglicher Protokollierung von Geheimnissen ist ein Fehlalarm: Protokolliert werden nur Status und Fehlerkennung.</w:t>
            </w:r>
          </w:p>
        </w:tc>
      </w:tr>
      <w:tr>
        <w:trPr>
          <w:cantSplit/>
        </w:trPr>
        <w:tc>
          <w:tcPr>
            <w:tcW w:type="dxa" w:w="2500"/>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Absicherung der Schnittstelle (Ausnahme)</w:t>
            </w:r>
          </w:p>
        </w:tc>
        <w:tc>
          <w:tcPr>
            <w:tcW w:type="dxa" w:w="6526"/>
            <w:tcBorders>
              <w:top w:val="single" w:color="C9D1DA" w:sz="4"/>
              <w:left w:val="single" w:color="C9D1DA" w:sz="4"/>
              <w:bottom w:val="single" w:color="C9D1DA" w:sz="4"/>
              <w:right w:val="single" w:color="C9D1DA" w:sz="4"/>
            </w:tcBorders>
            <w:tcMar>
              <w:top w:type="dxa" w:w="80"/>
              <w:left w:type="dxa" w:w="110"/>
              <w:bottom w:type="dxa" w:w="80"/>
              <w:right w:type="dxa" w:w="110"/>
            </w:tcMar>
          </w:tcPr>
          <w:p>
            <w:pPr>
              <w:spacing w:after="0" w:line="260"/>
            </w:pPr>
            <w:r>
              <w:rPr>
                <w:b w:val="false"/>
                <w:bCs w:val="false"/>
                <w:sz w:val="19"/>
                <w:szCs w:val="19"/>
              </w:rPr>
              <w:t xml:space="preserve">Die fünf Meldungen betreffen Header, die Supabase selbst setzt und die der Kunde nicht ändern kann. Da die Sitzung als Token und nicht als Cookie geführt wird, sind sie nicht ausnutzbar.</w:t>
            </w:r>
          </w:p>
        </w:tc>
      </w:tr>
    </w:tbl>
    <w:p>
      <w:pPr>
        <w:spacing w:after="120"/>
      </w:pPr>
    </w:p>
    <w:p>
      <w:pPr>
        <w:pStyle w:val="Heading1"/>
      </w:pPr>
      <w:r>
        <w:t xml:space="preserve">Empfehlungen für die nächsten Schritte</w:t>
      </w:r>
    </w:p>
    <w:p>
      <w:pPr>
        <w:spacing w:after="120" w:line="300"/>
      </w:pPr>
      <w:r>
        <w:t xml:space="preserve">Keiner der folgenden Punkte ist ein akutes Risiko. Sie festigen den erreichten Stand und sind vor allem vor der Freigabe des Kundenportals sinnvoll.</w:t>
      </w:r>
    </w:p>
    <w:p>
      <w:pPr>
        <w:pStyle w:val="ListParagraph"/>
        <w:numPr>
          <w:ilvl w:val="0"/>
          <w:numId w:val="2"/>
        </w:numPr>
        <w:spacing w:after="60" w:line="290"/>
      </w:pPr>
      <w:r>
        <w:rPr>
          <w:b/>
          <w:bCs/>
        </w:rPr>
        <w:t xml:space="preserve">Rollenprüfung in Datenbankfunktionen: </w:t>
      </w:r>
      <w:r>
        <w:t xml:space="preserve">Etwa 20 der 63 aufrufbaren Funktionen verändern Daten, z. B. Monatsbuchungen oder Zahlungsabgleich. Sie prüfen die Firma, aber nicht die Rolle – ein angemeldeter Mitarbeiter könnte sie technisch auch außerhalb seiner Rolle anstoßen. Eine Rollenprüfung ergänzen, spätestens vor dem ersten Portalzugang.</w:t>
      </w:r>
    </w:p>
    <w:p>
      <w:pPr>
        <w:pStyle w:val="ListParagraph"/>
        <w:numPr>
          <w:ilvl w:val="0"/>
          <w:numId w:val="2"/>
        </w:numPr>
        <w:spacing w:after="60" w:line="290"/>
      </w:pPr>
      <w:r>
        <w:rPr>
          <w:b/>
          <w:bCs/>
        </w:rPr>
        <w:t xml:space="preserve">Privilegierte Konten: </w:t>
      </w:r>
      <w:r>
        <w:t xml:space="preserve">Passwort-Reset für Administrations-, Buchhaltungs- und Personalrollen, damit die neue Passwort-Richtlinie auch für bestehende Konten greift; für diese Rollen die Zwei-Faktor-Anmeldung einrichten.</w:t>
      </w:r>
    </w:p>
    <w:p>
      <w:pPr>
        <w:pStyle w:val="ListParagraph"/>
        <w:numPr>
          <w:ilvl w:val="0"/>
          <w:numId w:val="2"/>
        </w:numPr>
        <w:spacing w:after="60" w:line="290"/>
      </w:pPr>
      <w:r>
        <w:rPr>
          <w:b/>
          <w:bCs/>
        </w:rPr>
        <w:t xml:space="preserve">Vor dem Kundenportal: </w:t>
      </w:r>
      <w:r>
        <w:t xml:space="preserve">ältere Leseregeln auf Grundtabellen prüfen (M-04) und die Filter der Sichten mit automatischen Tests absichern.</w:t>
      </w:r>
    </w:p>
    <w:p>
      <w:pPr>
        <w:pStyle w:val="ListParagraph"/>
        <w:numPr>
          <w:ilvl w:val="0"/>
          <w:numId w:val="2"/>
        </w:numPr>
        <w:spacing w:after="60" w:line="290"/>
      </w:pPr>
      <w:r>
        <w:rPr>
          <w:b/>
          <w:bCs/>
        </w:rPr>
        <w:t xml:space="preserve">Einmalige Durchsicht: </w:t>
      </w:r>
      <w:r>
        <w:t xml:space="preserve">Governance-Protokoll und Gedächtnis der KI-Agenten auf Einträge sichten, die nicht vom System selbst stammen (M-06, M-07).</w:t>
      </w:r>
    </w:p>
    <w:p>
      <w:pPr>
        <w:pStyle w:val="ListParagraph"/>
        <w:numPr>
          <w:ilvl w:val="0"/>
          <w:numId w:val="2"/>
        </w:numPr>
        <w:spacing w:after="60" w:line="290"/>
      </w:pPr>
      <w:r>
        <w:rPr>
          <w:b/>
          <w:bCs/>
        </w:rPr>
        <w:t xml:space="preserve">Regelmäßig wiederholen: </w:t>
      </w:r>
      <w:r>
        <w:t xml:space="preserve">den Security Check nach größeren Änderungen erneut ausführen.</w:t>
      </w:r>
    </w:p>
    <w:p>
      <w:pPr>
        <w:pStyle w:val="Heading1"/>
      </w:pPr>
      <w:r>
        <w:t xml:space="preserve">Fazit</w:t>
      </w:r>
    </w:p>
    <w:p>
      <w:pPr>
        <w:spacing w:after="120" w:line="300"/>
      </w:pPr>
      <w:r>
        <w:t xml:space="preserve">Das Audit hat einen kritischen und zwei hohe Befunde aufgedeckt, die ohne Rechteprüfung nicht aufgefallen wären. Alle wurden kurzfristig, gründlich und mit Blick auf die Ursache behoben – einschließlich einer automatischen Prüfung, die eine Wiederholung verhindert. Der Datenzugriff von außen ist vollständig abgeschottet, die Anmeldung ist gehärtet, und die verbleibenden Warnungen betreffen die interne Rollentrennung oder sind Härtungshinweise. Die Anwendung ist damit aus unserer Sicht in einem guten, dem Schutzbedarf eines ERP-Systems angemessenen Sicherheitszustand.</w:t>
      </w:r>
    </w:p>
    <w:p>
      <w:pPr>
        <w:spacing w:after="120" w:line="300"/>
      </w:pPr>
      <w:r>
        <w:rPr>
          <w:color w:val="5F6B7A"/>
          <w:sz w:val="18"/>
          <w:szCs w:val="18"/>
        </w:rPr>
        <w:t xml:space="preserve">Hinweis: Die Prüfung beschreibt den Zustand zum Prüfzeitpunkt und ersetzt keinen vollständigen Penetrationstest (siehe Leistungsbeschreibung).</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A"/>
        <w:sz w:val="16"/>
        <w:szCs w:val="16"/>
      </w:rPr>
      <w:t xml:space="preserve">Seite </w:t>
    </w:r>
    <w:r>
      <w:rPr>
        <w:color w:val="5F6B7A"/>
        <w:sz w:val="16"/>
        <w:szCs w:val="16"/>
      </w:rPr>
      <w:fldChar w:fldCharType="begin"/>
      <w:instrText xml:space="preserve">PAGE</w:instrText>
      <w:fldChar w:fldCharType="separate"/>
      <w:fldChar w:fldCharType="end"/>
    </w:r>
  </w:p>
  <w:p>
    <w:pPr>
      <w:spacing w:before="60"/>
      <w:jc w:val="center"/>
    </w:pPr>
    <w:r>
      <w:rPr>
        <w:color w:val="5F6B7A"/>
        <w:sz w:val="13"/>
        <w:szCs w:val="13"/>
      </w:rPr>
      <w:t xml:space="preserve">Parlison Code Couture UG (haftungsbeschränkt) · Gutenbergstr. 14 · 28816 Stuhr · Geschäftsführer: Timo Külbel · Amtsgericht Walsrode HRB 213399 · USt-IdNr. DE460997977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Zusammenfassung – FERNAUPROD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Zusammenfassung – Supabase Security Audit FERNAUPROD</dc:title>
  <dc:creator>Parlison Code Couture UG (haftungsbeschränkt)</dc:creator>
  <cp:lastModifiedBy>Un-named</cp:lastModifiedBy>
  <cp:revision>1</cp:revision>
  <dcterms:created xsi:type="dcterms:W3CDTF">2026-09-24T14:23:11.995Z</dcterms:created>
  <dcterms:modified xsi:type="dcterms:W3CDTF">2026-09-24T14:23:12.003Z</dcterms:modified>
</cp:coreProperties>
</file>

<file path=docProps/custom.xml><?xml version="1.0" encoding="utf-8"?>
<Properties xmlns="http://schemas.openxmlformats.org/officeDocument/2006/custom-properties" xmlns:vt="http://schemas.openxmlformats.org/officeDocument/2006/docPropsVTypes"/>
</file>