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A70809">
        <w:rPr>
          <w:rFonts w:ascii="Times New Roman" w:eastAsia="Times New Roman" w:hAnsi="Times New Roman" w:cs="Times New Roman"/>
          <w:sz w:val="32"/>
          <w:szCs w:val="32"/>
        </w:rPr>
        <w:t xml:space="preserve"> 3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354A7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4A7D"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https://github.com/timosjr/PW4TB-32_Tymoshchenko_Vladyslav_Vadymovych.git</w:t>
      </w:r>
      <w:bookmarkStart w:id="1" w:name="_GoBack"/>
      <w:bookmarkEnd w:id="1"/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BE6321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№4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 xml:space="preserve">Внутрішньозаводське електропостачання — це система, яка забезпечує передачу і розподіл електричної енергії від головної підстанції до цехових трансформаторних підстанцій і безпосередньо до </w:t>
      </w:r>
      <w:proofErr w:type="spellStart"/>
      <w:r w:rsidRPr="00BE6321">
        <w:rPr>
          <w:rFonts w:ascii="Times New Roman" w:eastAsia="Times New Roman" w:hAnsi="Times New Roman" w:cs="Times New Roman"/>
          <w:sz w:val="28"/>
          <w:szCs w:val="24"/>
        </w:rPr>
        <w:t>електроприймачів</w:t>
      </w:r>
      <w:proofErr w:type="spellEnd"/>
      <w:r w:rsidRPr="00BE6321">
        <w:rPr>
          <w:rFonts w:ascii="Times New Roman" w:eastAsia="Times New Roman" w:hAnsi="Times New Roman" w:cs="Times New Roman"/>
          <w:sz w:val="28"/>
          <w:szCs w:val="24"/>
        </w:rPr>
        <w:t xml:space="preserve"> підприємства. Основними типами схем внутрішньозаводського електропостачання є радіальні, кільцеві та комбіновані. Радіальні схеми є найпростішими в реалізації, але мають низьку надійність, оскільки відмова одного елемента призводить до знеструмлення споживача. Кільцеві схеми дозволяють живити об’єкти з двох боків, що забезпечує підвищену надійність. Комбіновані схеми поєднують переваги обох підходів і часто використовуються на підприємствах середнього і великого розміру.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Вибір кабелів для системи електропостачання здійснюється з урахуванням допустимого тривалого струмового навантаження, умов прокладання, допустимого падіння напруги, струмів короткого замикання та вимог до термічної і динамічної стійкості. Кабель має витримувати як нормальний режим роботи, так і аварійні режими, пов’язані з короткими замиканнями. При виборі також враховують економічну доцільність і термін експлуатації.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Розрахунок струмів короткого замикання (КЗ) у мережах 10 (6) кВ проводиться для оцінки максимальних струмів, які можуть виникнути під час трифазного або однофазного КЗ. Трифазне коротке замикання вважається найважчим щодо термічного й динамічного впливу. Основними параметрами для розрахунку є напруга мережі, потужність трансформаторів, імпеданс ліній та трансформаторів, а також конфігурація схеми електропостачання. Такі розрахунки дозволяють обґрунтувати вибір апаратури, забезпечити захист обладнання та безпечну експлуатацію.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Перевірка кабелів на термічну та динамічну стійкість проводиться для того, щоб переконатися у здатності кабелю витримувати короткочасну дію струмів КЗ без пошкодження. Термічна стійкість характеризується допустимим перегрівом, а динамічна — механічною міцністю оболонки і жил кабелю при виникненні електродинамічних зусиль.</w:t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Веб калькулятор для розрахунку струму 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ифазного КЗ, струму однофазного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КЗ, та перевірки на термічну та динамічну стійкість у складі: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Вибрати кабелі для живлення </w:t>
      </w:r>
      <w:proofErr w:type="spellStart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двотрансформаторної</w:t>
      </w:r>
      <w:proofErr w:type="spellEnd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підстанції системи внутрішнього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електропостачання підприємства напругою 10 кВ (див. Приклад 7.1.);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2. Визначити струми КЗ на шинах 10 кВ ГПП (див. Приклад 7.2.);</w:t>
      </w:r>
    </w:p>
    <w:p w:rsidR="000C3A45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3. Визначити струми КЗ для підстанції Хмельниць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ких північних електричних мереж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режими: нормальний режим; мінімальний режим; аварійний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(див. Приклад 7.4.).</w:t>
      </w:r>
    </w:p>
    <w:p w:rsidR="00110432" w:rsidRPr="000C3A45" w:rsidRDefault="00110432" w:rsidP="00BE6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2F94" w:rsidRPr="00110432" w:rsidRDefault="0091007A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Опис програмної реалізації</w:t>
      </w: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</w:pPr>
      <w:r w:rsidRPr="00BE6321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5DA6BF36" wp14:editId="1C5E9130">
            <wp:extent cx="6120765" cy="4335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21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E6321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CEB46FB" wp14:editId="09B5FCE8">
            <wp:extent cx="6120765" cy="3900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E6321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BE6321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Потім реалізують методи для </w:t>
      </w:r>
      <w:r w:rsidR="00F01C88">
        <w:rPr>
          <w:rFonts w:ascii="Times New Roman" w:eastAsia="Times New Roman" w:hAnsi="Times New Roman" w:cs="Times New Roman"/>
          <w:color w:val="000000"/>
          <w:sz w:val="28"/>
          <w:szCs w:val="32"/>
        </w:rPr>
        <w:t>3 калькуляторів. В них отримуємо значення від користувача, перевіряємо чи усі значення введені, розраховуємо дані за формулами та виводимо результат: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FF6A7A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4393B9CC" wp14:editId="6D8314FE">
            <wp:extent cx="6120765" cy="3723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88" w:rsidRDefault="00F01C88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01C88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350143EB" wp14:editId="570741F4">
            <wp:extent cx="6120765" cy="273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88" w:rsidRDefault="00F01C88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01C88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lastRenderedPageBreak/>
        <w:drawing>
          <wp:inline distT="0" distB="0" distL="0" distR="0" wp14:anchorId="51EF039A" wp14:editId="78C04679">
            <wp:extent cx="6120765" cy="42589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Pr="00F01C88" w:rsidRDefault="000C3A45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110432" w:rsidRDefault="00F01C88" w:rsidP="00F01C8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7F43E5" w:rsidRP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Інтерфейс</w:t>
      </w:r>
    </w:p>
    <w:p w:rsidR="007F43E5" w:rsidRDefault="00F01C88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Калькулятори зроблені з  можливістю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прогортування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сторінки.</w:t>
      </w:r>
    </w:p>
    <w:p w:rsidR="00F01C88" w:rsidRDefault="00F01C88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F01C88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7C819EA0" wp14:editId="6E15258B">
            <wp:extent cx="3703320" cy="245312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49" cy="24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A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6DDE6B4" wp14:editId="62D90A99">
            <wp:extent cx="3665220" cy="153658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482" cy="15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A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6F467888" wp14:editId="4DAD96A5">
            <wp:extent cx="3798462" cy="3939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969" cy="39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 w:rsidR="009A19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контрольному прикладі</w:t>
      </w: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754E7389" wp14:editId="58BFA68C">
            <wp:extent cx="4511040" cy="360546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477" cy="36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3DE2879B" wp14:editId="7C54294D">
            <wp:extent cx="4488180" cy="2168891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132" cy="21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47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lastRenderedPageBreak/>
        <w:drawing>
          <wp:inline distT="0" distB="0" distL="0" distR="0" wp14:anchorId="4E094A49" wp14:editId="072BD2E9">
            <wp:extent cx="4105848" cy="731622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47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4465AE" w:rsidRDefault="004465AE" w:rsidP="00627AF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4638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вибору </w:t>
      </w:r>
      <w:proofErr w:type="spellStart"/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кабеля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живлення </w:t>
      </w:r>
      <w:proofErr w:type="spellStart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двотрансформаторної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підстанції системи внутрішнього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електропостачання підприємства напругою 10 кВ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, визначення струмів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КЗ на шинах 10 кВ ГПП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та визначення струмів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КЗ для підстанції Хмельниць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ких північних електричних мереж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spellStart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ХПнЕМ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), яка може мати три режими: нормальний режим; мінімальний режим; аварійний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режим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627AFF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Калькулятор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и були розроблені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 використання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4E62"/>
    <w:multiLevelType w:val="hybridMultilevel"/>
    <w:tmpl w:val="73CCE05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8398B"/>
    <w:multiLevelType w:val="hybridMultilevel"/>
    <w:tmpl w:val="8932A8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F061C"/>
    <w:multiLevelType w:val="hybridMultilevel"/>
    <w:tmpl w:val="28FCC5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3B413B"/>
    <w:multiLevelType w:val="hybridMultilevel"/>
    <w:tmpl w:val="73C244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110432"/>
    <w:rsid w:val="002210C2"/>
    <w:rsid w:val="00231B96"/>
    <w:rsid w:val="00253A06"/>
    <w:rsid w:val="00254126"/>
    <w:rsid w:val="00345669"/>
    <w:rsid w:val="00354A7D"/>
    <w:rsid w:val="00371085"/>
    <w:rsid w:val="00391609"/>
    <w:rsid w:val="004465AE"/>
    <w:rsid w:val="004638BB"/>
    <w:rsid w:val="004719E7"/>
    <w:rsid w:val="00494A4A"/>
    <w:rsid w:val="004A2F85"/>
    <w:rsid w:val="004C1CE1"/>
    <w:rsid w:val="0051482A"/>
    <w:rsid w:val="005C0E58"/>
    <w:rsid w:val="005C3F77"/>
    <w:rsid w:val="005F6B38"/>
    <w:rsid w:val="00627AFF"/>
    <w:rsid w:val="0067563F"/>
    <w:rsid w:val="006D533A"/>
    <w:rsid w:val="00726967"/>
    <w:rsid w:val="007937CD"/>
    <w:rsid w:val="007F43E5"/>
    <w:rsid w:val="008F7FCE"/>
    <w:rsid w:val="0091007A"/>
    <w:rsid w:val="00971247"/>
    <w:rsid w:val="009A1953"/>
    <w:rsid w:val="009B6EE5"/>
    <w:rsid w:val="00A32C47"/>
    <w:rsid w:val="00A70809"/>
    <w:rsid w:val="00B10455"/>
    <w:rsid w:val="00B23B63"/>
    <w:rsid w:val="00B801E1"/>
    <w:rsid w:val="00B97428"/>
    <w:rsid w:val="00BD66E4"/>
    <w:rsid w:val="00BE6321"/>
    <w:rsid w:val="00C113EF"/>
    <w:rsid w:val="00CC2F94"/>
    <w:rsid w:val="00DA4BD1"/>
    <w:rsid w:val="00EB0C6D"/>
    <w:rsid w:val="00F01C88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BE2A7-E0EB-45D5-B421-DE9E2555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2586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2025-03-29T16:25:00Z</dcterms:created>
  <dcterms:modified xsi:type="dcterms:W3CDTF">2025-05-16T09:11:00Z</dcterms:modified>
</cp:coreProperties>
</file>