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DC8B" w14:textId="13508857" w:rsidR="008C3F20" w:rsidRDefault="00766128" w:rsidP="00766128">
      <w:pPr>
        <w:jc w:val="center"/>
        <w:rPr>
          <w:rFonts w:ascii="Arial" w:hAnsi="Arial" w:cs="Arial"/>
          <w:sz w:val="22"/>
          <w:szCs w:val="22"/>
        </w:rPr>
      </w:pPr>
      <w:r>
        <w:rPr>
          <w:rFonts w:ascii="Arial" w:hAnsi="Arial" w:cs="Arial"/>
          <w:b/>
          <w:bCs/>
          <w:sz w:val="22"/>
          <w:szCs w:val="22"/>
        </w:rPr>
        <w:t>BMI 5332 Project Progress Report</w:t>
      </w:r>
    </w:p>
    <w:p w14:paraId="5CB5A151" w14:textId="729089CA" w:rsidR="00766128" w:rsidRDefault="00766128" w:rsidP="00766128">
      <w:pPr>
        <w:jc w:val="center"/>
        <w:rPr>
          <w:rFonts w:ascii="Arial" w:hAnsi="Arial" w:cs="Arial"/>
          <w:sz w:val="22"/>
          <w:szCs w:val="22"/>
        </w:rPr>
      </w:pPr>
      <w:r>
        <w:rPr>
          <w:rFonts w:ascii="Arial" w:hAnsi="Arial" w:cs="Arial"/>
          <w:sz w:val="22"/>
          <w:szCs w:val="22"/>
        </w:rPr>
        <w:t>Timothy Bi</w:t>
      </w:r>
    </w:p>
    <w:p w14:paraId="151FBCD4" w14:textId="77777777" w:rsidR="00766128" w:rsidRDefault="00766128" w:rsidP="00766128">
      <w:pPr>
        <w:rPr>
          <w:rFonts w:ascii="Arial" w:hAnsi="Arial" w:cs="Arial"/>
          <w:sz w:val="22"/>
          <w:szCs w:val="22"/>
        </w:rPr>
      </w:pPr>
    </w:p>
    <w:p w14:paraId="61B9D196" w14:textId="602B9FB2" w:rsidR="00311C79" w:rsidRDefault="00311C79" w:rsidP="00766128">
      <w:pPr>
        <w:rPr>
          <w:rFonts w:ascii="Arial" w:hAnsi="Arial" w:cs="Arial"/>
          <w:b/>
          <w:bCs/>
          <w:sz w:val="22"/>
          <w:szCs w:val="22"/>
        </w:rPr>
      </w:pPr>
      <w:r>
        <w:rPr>
          <w:rFonts w:ascii="Arial" w:hAnsi="Arial" w:cs="Arial"/>
          <w:b/>
          <w:bCs/>
          <w:sz w:val="22"/>
          <w:szCs w:val="22"/>
        </w:rPr>
        <w:t>Significance and Proposed Methods</w:t>
      </w:r>
    </w:p>
    <w:p w14:paraId="4DBFD18A" w14:textId="3B7EB309" w:rsidR="00311C79" w:rsidRDefault="00311C79" w:rsidP="00766128">
      <w:pPr>
        <w:rPr>
          <w:rFonts w:ascii="Arial" w:hAnsi="Arial" w:cs="Arial"/>
          <w:sz w:val="22"/>
          <w:szCs w:val="22"/>
        </w:rPr>
      </w:pPr>
      <w:r>
        <w:rPr>
          <w:rFonts w:ascii="Arial" w:hAnsi="Arial" w:cs="Arial"/>
          <w:sz w:val="22"/>
          <w:szCs w:val="22"/>
        </w:rPr>
        <w:t>Sample multiplexing is often used in single-cell sequencing experiments to reduce cost and account for technical batch effects</w:t>
      </w:r>
      <w:r w:rsidR="000E6C4B">
        <w:rPr>
          <w:rFonts w:ascii="Arial" w:hAnsi="Arial" w:cs="Arial"/>
          <w:sz w:val="22"/>
          <w:szCs w:val="22"/>
        </w:rPr>
        <w:fldChar w:fldCharType="begin"/>
      </w:r>
      <w:r w:rsidR="000E6C4B">
        <w:rPr>
          <w:rFonts w:ascii="Arial" w:hAnsi="Arial" w:cs="Arial"/>
          <w:sz w:val="22"/>
          <w:szCs w:val="22"/>
        </w:rPr>
        <w:instrText xml:space="preserve"> ADDIN ZOTERO_ITEM CSL_CITATION {"citationID":"aRWz8cRJ","properties":{"formattedCitation":"\\super 1\\uc0\\u8211{}3\\nosupersub{}","plainCitation":"1–3","noteIndex":0},"citationItems":[{"id":43,"uris":["http://zotero.org/users/3502237/items/37WGZFNQ"],"itemData":{"id":43,"type":"article-journal","abstract":"Next-generation sequencing technologies are quickly becoming the preferred approach for characterizing and quantifying entire genomes. Even though data  produced from these technologies are proving to be the most informative of any  thus far, very little attention has been paid to fundamental design aspects of  data collection and analysis, namely sampling, randomization, replication, and  blocking. We discuss these concepts in an RNA sequencing framework. Using  simulations we demonstrate the benefits of collecting replicated RNA sequencing  data according to well known statistical designs that partition the sources of  biological and technical variation. Examples of these designs and their  corresponding models are presented with the goal of testing differential  expression.","container-title":"Genetics","DOI":"10.1534/genetics.110.114983","ISSN":"1943-2631 0016-6731","issue":"2","journalAbbreviation":"Genetics","language":"eng","note":"publisher-place: United States\nPMID: 20439781 \nPMCID: PMC2881125","page":"405-416","title":"Statistical design and analysis of RNA sequencing data.","volume":"185","author":[{"family":"Auer","given":"Paul L."},{"family":"Doerge","given":"R. W."}],"issued":{"date-parts":[["2010",6]]}}},{"id":89,"uris":["http://zotero.org/users/3502237/items/USE44ECZ"],"itemData":{"id":89,"type":"article-journal","abstract":"Single-cell RNA sequencing (scRNA-Seq) has emerged as a powerful tool for understanding cellular heterogeneity and function. However the choice of sample multiplexing reagents can impact data quality and experimental outcomes. In this study, we compared various multiplexing reagents, including MULTI-Seq, Hashtag antibody, and CellPlex, across diverse sample types such as human peripheral blood mononuclear cells (PBMCs), mouse embryonic brain and patient-derived xenografts (PDXs). We found that all multiplexing reagents worked well in cell types robust to ex vivo manipulation but suffered from signal-to-noise issues in more delicate sample types. We compared multiple demultiplexing algorithms which differed in performance depending on data quality. We find that minor improvements to laboratory workflows such as titration and rapid processing are critical to optimal performance. We also compared the performance of fixed scRNA-Seq kits and highlight the advantages of the Parse Biosciences kit for fragile samples. Highly multiplexed scRNA-Seq experiments require more sequencing resources, therefore we evaluated CRISPR-based destruction of non-informative genes to enhance sequencing value. Our comprehensive analysis provides insights into the selection of appropriate sample multiplexing reagents and protocols for scRNA-Seq experiments, facilitating more accurate and cost-effective studies.","container-title":"Genomics","DOI":"10.1016/j.ygeno.2024.110793","ISSN":"0888-7543","issue":"2","journalAbbreviation":"Genomics","page":"110793","source":"ScienceDirect","title":"A risk-reward examination of sample multiplexing reagents for single cell RNA-Seq","volume":"116","author":[{"family":"Brown","given":"Daniel V."},{"family":"Anttila","given":"Casey J. A."},{"family":"Ling","given":"Ling"},{"family":"Grave","given":"Patrick"},{"family":"Baldwin","given":"Tracey M."},{"family":"Munnings","given":"Ryan"},{"family":"Farchione","given":"Anthony J."},{"family":"Bryant","given":"Vanessa L."},{"family":"Dunstone","given":"Amelia"},{"family":"Biben","given":"Christine"},{"family":"Taoudi","given":"Samir"},{"family":"Weber","given":"Tom S."},{"family":"Naik","given":"Shalin H."},{"family":"Hadla","given":"Anthony"},{"family":"Barker","given":"Holly E."},{"family":"Vandenberg","given":"Cassandra J."},{"family":"Dall","given":"Genevieve"},{"family":"Scott","given":"Clare L."},{"family":"Moore","given":"Zachery"},{"family":"Whittle","given":"James R."},{"family":"Freytag","given":"Saskia"},{"family":"Best","given":"Sarah A."},{"family":"Papenfuss","given":"Anthony T."},{"family":"Olechnowicz","given":"Sam W. Z."},{"family":"MacRaild","given":"Sarah E."},{"family":"Wilcox","given":"Stephen"},{"family":"Hickey","given":"Peter F."},{"family":"Amann-Zalcenstein","given":"Daniela"},{"family":"Bowden","given":"Rory"}],"issued":{"date-parts":[["2024",3,1]]}}},{"id":41,"uris":["http://zotero.org/users/3502237/items/BLD7JI7S"],"itemData":{"id":41,"type":"article-journal","abstract":"Single-cell sequencing is widely used in biological and medical studies. However, its application with multiple samples is hindered by inefficient sample processing, high experimental costs, ambiguous identification of true single cells, and technical batch effects. Here, we introduce sample-multiplexing approaches for single-cell sequencing in transcriptomics, epigenomics, genomics, and multiomics. In single-cell transcriptomics, sample multiplexing uses variants of native or artificial features as sample markers, enabling sample pooling and decoding. Such features include: (1) natural genetic variation, (2) nucleotide-barcode anchoring on cellular or nuclear membranes, (3) nucleotide-barcode internalization to the cytoplasm or nucleus, (4) vector-based barcode expression in cells, and (5) nucleotide-barcode incorporation during library construction. Other single-cell omics methods are based on similar concepts, particularly single-cell combinatorial indexing. These methods overcome current challenges, while enabling super-loading of single cells. Finally, selection guidelines are presented that can accelerate technological application.","container-title":"Cellular and Molecular Life Sciences","DOI":"10.1007/s00018-022-04482-0","ISSN":"1420-9071","issue":"8","journalAbbreviation":"Cellular and Molecular Life Sciences","page":"466","title":"Sample-multiplexing approaches for single-cell sequencing","volume":"79","author":[{"family":"Zhang","given":"Yulong"},{"family":"Xu","given":"Siwen"},{"family":"Wen","given":"Zebin"},{"family":"Gao","given":"Jinyu"},{"family":"Li","given":"Shuang"},{"family":"Weissman","given":"Sherman M."},{"family":"Pan","given":"Xinghua"}],"issued":{"date-parts":[["2022",8,5]]}}}],"schema":"https://github.com/citation-style-language/schema/raw/master/csl-citation.json"} </w:instrText>
      </w:r>
      <w:r w:rsidR="000E6C4B">
        <w:rPr>
          <w:rFonts w:ascii="Arial" w:hAnsi="Arial" w:cs="Arial"/>
          <w:sz w:val="22"/>
          <w:szCs w:val="22"/>
        </w:rPr>
        <w:fldChar w:fldCharType="separate"/>
      </w:r>
      <w:r w:rsidR="000E6C4B" w:rsidRPr="000E6C4B">
        <w:rPr>
          <w:rFonts w:ascii="Arial" w:hAnsi="Arial" w:cs="Arial"/>
          <w:kern w:val="0"/>
          <w:sz w:val="22"/>
          <w:vertAlign w:val="superscript"/>
        </w:rPr>
        <w:t>1–3</w:t>
      </w:r>
      <w:r w:rsidR="000E6C4B">
        <w:rPr>
          <w:rFonts w:ascii="Arial" w:hAnsi="Arial" w:cs="Arial"/>
          <w:sz w:val="22"/>
          <w:szCs w:val="22"/>
        </w:rPr>
        <w:fldChar w:fldCharType="end"/>
      </w:r>
      <w:r>
        <w:rPr>
          <w:rFonts w:ascii="Arial" w:hAnsi="Arial" w:cs="Arial"/>
          <w:sz w:val="22"/>
          <w:szCs w:val="22"/>
        </w:rPr>
        <w:t xml:space="preserve">. Two major technologies are used for sample multiplexing: staining with oligonucleotide-labeled monoclonal antibodies against ubiquitous cell surface markers (like </w:t>
      </w:r>
      <w:r>
        <w:rPr>
          <w:rFonts w:ascii="Arial" w:hAnsi="Arial" w:cs="Arial"/>
          <w:sz w:val="22"/>
          <w:szCs w:val="22"/>
        </w:rPr>
        <w:sym w:font="Symbol" w:char="F062"/>
      </w:r>
      <w:r>
        <w:rPr>
          <w:rFonts w:ascii="Arial" w:hAnsi="Arial" w:cs="Arial"/>
          <w:sz w:val="22"/>
          <w:szCs w:val="22"/>
        </w:rPr>
        <w:t>2 microglobulin)</w:t>
      </w:r>
      <w:r w:rsidR="000E6C4B">
        <w:rPr>
          <w:rFonts w:ascii="Arial" w:hAnsi="Arial" w:cs="Arial"/>
          <w:sz w:val="22"/>
          <w:szCs w:val="22"/>
        </w:rPr>
        <w:fldChar w:fldCharType="begin"/>
      </w:r>
      <w:r w:rsidR="000E6C4B">
        <w:rPr>
          <w:rFonts w:ascii="Arial" w:hAnsi="Arial" w:cs="Arial"/>
          <w:sz w:val="22"/>
          <w:szCs w:val="22"/>
        </w:rPr>
        <w:instrText xml:space="preserve"> ADDIN ZOTERO_ITEM CSL_CITATION {"citationID":"N3aU5Y9D","properties":{"formattedCitation":"\\super 4\\nosupersub{}","plainCitation":"4","noteIndex":0},"citationItems":[{"id":40,"uris":["http://zotero.org/users/3502237/items/LXZXTBPH"],"itemData":{"id":40,"type":"article-journal","abstract":"Despite rapid developments in single cell sequencing, sample-specific batch effects, detection of cell multiplets, and experimental costs remain outstanding challenges. Here, we introduce Cell Hashing, where oligo-tagged antibodies against ubiquitously expressed surface proteins uniquely label cells from distinct samples, which can be subsequently pooled. By sequencing these tags alongside the cellular transcriptome, we can assign each cell to its original sample, robustly identify cross-sample multiplets, and “super-load” commercial droplet-based systems for significant cost reduction. We validate our approach using a complementary genetic approach and demonstrate how hashing can generalize the benefits of single cell multiplexing to diverse samples and experimental designs.","container-title":"Genome Biology","DOI":"10.1186/s13059-018-1603-1","ISSN":"1474-760X","issue":"1","journalAbbreviation":"Genome Biology","page":"224","title":"Cell Hashing with barcoded antibodies enables multiplexing and doublet detection for single cell genomics","volume":"19","author":[{"family":"Stoeckius","given":"Marlon"},{"family":"Zheng","given":"Shiwei"},{"family":"Houck-Loomis","given":"Brian"},{"family":"Hao","given":"Stephanie"},{"family":"Yeung","given":"Bertrand Z."},{"family":"Mauck","given":"William M."},{"family":"Smibert","given":"Peter"},{"family":"Satija","given":"Rahul"}],"issued":{"date-parts":[["2018",12,19]]}}}],"schema":"https://github.com/citation-style-language/schema/raw/master/csl-citation.json"} </w:instrText>
      </w:r>
      <w:r w:rsidR="000E6C4B">
        <w:rPr>
          <w:rFonts w:ascii="Arial" w:hAnsi="Arial" w:cs="Arial"/>
          <w:sz w:val="22"/>
          <w:szCs w:val="22"/>
        </w:rPr>
        <w:fldChar w:fldCharType="separate"/>
      </w:r>
      <w:r w:rsidR="000E6C4B" w:rsidRPr="000E6C4B">
        <w:rPr>
          <w:rFonts w:ascii="Arial" w:hAnsi="Arial" w:cs="Arial"/>
          <w:kern w:val="0"/>
          <w:sz w:val="22"/>
          <w:vertAlign w:val="superscript"/>
        </w:rPr>
        <w:t>4</w:t>
      </w:r>
      <w:r w:rsidR="000E6C4B">
        <w:rPr>
          <w:rFonts w:ascii="Arial" w:hAnsi="Arial" w:cs="Arial"/>
          <w:sz w:val="22"/>
          <w:szCs w:val="22"/>
        </w:rPr>
        <w:fldChar w:fldCharType="end"/>
      </w:r>
      <w:r>
        <w:rPr>
          <w:rFonts w:ascii="Arial" w:hAnsi="Arial" w:cs="Arial"/>
          <w:sz w:val="22"/>
          <w:szCs w:val="22"/>
        </w:rPr>
        <w:t>; or with oligonucleotide-labeled lipids, which can spontaneously incorporate into cell plasma membranes</w:t>
      </w:r>
      <w:r w:rsidR="000E6C4B">
        <w:rPr>
          <w:rFonts w:ascii="Arial" w:hAnsi="Arial" w:cs="Arial"/>
          <w:sz w:val="22"/>
          <w:szCs w:val="22"/>
        </w:rPr>
        <w:fldChar w:fldCharType="begin"/>
      </w:r>
      <w:r w:rsidR="000E6C4B">
        <w:rPr>
          <w:rFonts w:ascii="Arial" w:hAnsi="Arial" w:cs="Arial"/>
          <w:sz w:val="22"/>
          <w:szCs w:val="22"/>
        </w:rPr>
        <w:instrText xml:space="preserve"> ADDIN ZOTERO_ITEM CSL_CITATION {"citationID":"UpzXiYDg","properties":{"formattedCitation":"\\super 5\\nosupersub{}","plainCitation":"5","noteIndex":0},"citationItems":[{"id":87,"uris":["http://zotero.org/users/3502237/items/CMNC23BU"],"itemData":{"id":87,"type":"article-journal","abstract":"Sample multiplexing facilitates scRNA-seq by reducing costs and identifying artifacts such as cell doublets. However, universal and scalable sample barcoding strategies have not been described. We therefore developed MULTI-seq: multiplexing using lipid-tagged indices for single-cell and single-nucleus RNA sequencing. MULTI-seq reagents can barcode any cell type or nucleus from any species with an accessible plasma membrane. The method involves minimal sample processing, thereby preserving cell viability and endogenous gene expression patterns. When cells are classified into sample groups using MULTI-seq barcode abundances, data quality is improved through doublet identification and recovery of cells with low RNA content that would otherwise be discarded by standard quality-control workflows. We use MULTI-seq to track the dynamics of T-cell activation, perform a 96-plex perturbation experiment with primary human mammary epithelial cells and multiplex cryopreserved tumors and metastatic sites isolated from a patient-derived xenograft mouse model of triple-negative breast cancer.","container-title":"Nature Methods","DOI":"10.1038/s41592-019-0433-8","ISSN":"1548-7105","issue":"7","journalAbbreviation":"Nat Methods","language":"en","license":"2019 The Author(s), under exclusive licence to Springer Nature America, Inc.","note":"number: 7\npublisher: Nature Publishing Group","page":"619-626","source":"www.nature.com","title":"MULTI-seq: sample multiplexing for single-cell RNA sequencing using lipid-tagged indices","title-short":"MULTI-seq","volume":"16","author":[{"family":"McGinnis","given":"Christopher S."},{"family":"Patterson","given":"David M."},{"family":"Winkler","given":"Juliane"},{"family":"Conrad","given":"Daniel N."},{"family":"Hein","given":"Marco Y."},{"family":"Srivastava","given":"Vasudha"},{"family":"Hu","given":"Jennifer L."},{"family":"Murrow","given":"Lyndsay M."},{"family":"Weissman","given":"Jonathan S."},{"family":"Werb","given":"Zena"},{"family":"Chow","given":"Eric D."},{"family":"Gartner","given":"Zev J."}],"issued":{"date-parts":[["2019",7]]}}}],"schema":"https://github.com/citation-style-language/schema/raw/master/csl-citation.json"} </w:instrText>
      </w:r>
      <w:r w:rsidR="000E6C4B">
        <w:rPr>
          <w:rFonts w:ascii="Arial" w:hAnsi="Arial" w:cs="Arial"/>
          <w:sz w:val="22"/>
          <w:szCs w:val="22"/>
        </w:rPr>
        <w:fldChar w:fldCharType="separate"/>
      </w:r>
      <w:r w:rsidR="000E6C4B" w:rsidRPr="000E6C4B">
        <w:rPr>
          <w:rFonts w:ascii="Arial" w:hAnsi="Arial" w:cs="Arial"/>
          <w:kern w:val="0"/>
          <w:sz w:val="22"/>
          <w:vertAlign w:val="superscript"/>
        </w:rPr>
        <w:t>5</w:t>
      </w:r>
      <w:r w:rsidR="000E6C4B">
        <w:rPr>
          <w:rFonts w:ascii="Arial" w:hAnsi="Arial" w:cs="Arial"/>
          <w:sz w:val="22"/>
          <w:szCs w:val="22"/>
        </w:rPr>
        <w:fldChar w:fldCharType="end"/>
      </w:r>
      <w:r>
        <w:rPr>
          <w:rFonts w:ascii="Arial" w:hAnsi="Arial" w:cs="Arial"/>
          <w:sz w:val="22"/>
          <w:szCs w:val="22"/>
        </w:rPr>
        <w:t xml:space="preserve">. </w:t>
      </w:r>
      <w:r w:rsidR="000E6C4B">
        <w:rPr>
          <w:rFonts w:ascii="Arial" w:hAnsi="Arial" w:cs="Arial"/>
          <w:sz w:val="22"/>
          <w:szCs w:val="22"/>
        </w:rPr>
        <w:t xml:space="preserve">Computational tools are necessary </w:t>
      </w:r>
      <w:r w:rsidR="003F3ECC">
        <w:rPr>
          <w:rFonts w:ascii="Arial" w:hAnsi="Arial" w:cs="Arial"/>
          <w:sz w:val="22"/>
          <w:szCs w:val="22"/>
        </w:rPr>
        <w:t>for accurate demultiplexing and downstream analysis, as well as cell population recovery. Because each tool has different underlying statistical assumptions, I hypothesized that each tool’s performance would vary under different experimental conditions; therefore, to better understand how various effects (such as sample size, multiplet rate, and staining quality) change demultiplexing performance, I proposed to formally benchmark six tools / algorithms: bimodal flexible fitting (BFF)</w:t>
      </w:r>
      <w:r w:rsidR="003F3ECC">
        <w:rPr>
          <w:rFonts w:ascii="Arial" w:hAnsi="Arial" w:cs="Arial"/>
          <w:sz w:val="22"/>
          <w:szCs w:val="22"/>
        </w:rPr>
        <w:fldChar w:fldCharType="begin"/>
      </w:r>
      <w:r w:rsidR="003F3ECC">
        <w:rPr>
          <w:rFonts w:ascii="Arial" w:hAnsi="Arial" w:cs="Arial"/>
          <w:sz w:val="22"/>
          <w:szCs w:val="22"/>
        </w:rPr>
        <w:instrText xml:space="preserve"> ADDIN ZOTERO_ITEM CSL_CITATION {"citationID":"zVuVRfRB","properties":{"formattedCitation":"\\super 6\\nosupersub{}","plainCitation":"6","noteIndex":0},"citationItems":[{"id":44,"uris":["http://zotero.org/users/3502237/items/2WWAPYN4"],"itemData":{"id":44,"type":"article-journal","abstract":"MOTIVATION: Single-cell sequencing methods provide previously impossible resolution into the transcriptome of individual cells. Cell hashing reduces  single-cell sequencing costs by increasing capacity on droplet-based platforms.  Cell hashing methods rely on demultiplexing algorithms to accurately classify  droplets; however, assumptions underlying these algorithms limit accuracy of  demultiplexing, ultimately impacting the quality of single-cell sequencing  analyses. RESULTS: We present Bimodal Flexible Fitting (BFF) demultiplexing  algorithms BFFcluster and BFFraw, a novel class of algorithms that rely on the  single inviolable assumption that barcode count distributions are bimodal. We  integrated these and other algorithms into cellhashR, a new R package that  provides integrated QC and a single command to execute and compare multiple  demultiplexing algorithms. We demonstrate that BFFcluster demultiplexing is both  tunable and insensitive to issues with poorly behaved data that can confound  other algorithms. Using two well-characterized reference datasets, we demonstrate  that demultiplexing with BFF algorithms is accurate and consistent for both  well-behaved and poorly behaved input data. AVAILABILITY AND IMPLEMENTATION:  cellhashR is available as an R package at https://github.com/BimberLab/cellhashR.  cellhashR version 1.0.3 was used for the analyses in this manuscript and is  archived on Zenodo at https://www.doi.org/10.5281/zenodo.6402477. SUPPLEMENTARY  INFORMATION: Supplementary data are available at Bioinformatics online.","container-title":"Bioinformatics (Oxford, England)","DOI":"10.1093/bioinformatics/btac213","ISSN":"1367-4811 1367-4803","issue":"10","journalAbbreviation":"Bioinformatics","language":"eng","license":"© The Author(s) 2022. Published by Oxford University Press. All rights reserved. For permissions, please e-mail: journals.permissions@oup.com.","note":"publisher-place: England\nPMID: 35561167 \nPMCID: PMC9113275","page":"2791-2801","title":"BFF and cellhashR: analysis tools for accurate demultiplexing of cell hashing data.","volume":"38","author":[{"family":"Boggy","given":"Gregory J."},{"family":"McElfresh","given":"G. W."},{"family":"Mahyari","given":"Eisa"},{"family":"Ventura","given":"Abigail B."},{"family":"Hansen","given":"Scott G."},{"family":"Picker","given":"Louis J."},{"family":"Bimber","given":"Benjamin N."}],"issued":{"date-parts":[["2022",5,13]]}}}],"schema":"https://github.com/citation-style-language/schema/raw/master/csl-citation.json"} </w:instrText>
      </w:r>
      <w:r w:rsidR="003F3ECC">
        <w:rPr>
          <w:rFonts w:ascii="Arial" w:hAnsi="Arial" w:cs="Arial"/>
          <w:sz w:val="22"/>
          <w:szCs w:val="22"/>
        </w:rPr>
        <w:fldChar w:fldCharType="separate"/>
      </w:r>
      <w:r w:rsidR="003F3ECC" w:rsidRPr="003F3ECC">
        <w:rPr>
          <w:rFonts w:ascii="Arial" w:hAnsi="Arial" w:cs="Arial"/>
          <w:kern w:val="0"/>
          <w:sz w:val="22"/>
          <w:vertAlign w:val="superscript"/>
        </w:rPr>
        <w:t>6</w:t>
      </w:r>
      <w:r w:rsidR="003F3ECC">
        <w:rPr>
          <w:rFonts w:ascii="Arial" w:hAnsi="Arial" w:cs="Arial"/>
          <w:sz w:val="22"/>
          <w:szCs w:val="22"/>
        </w:rPr>
        <w:fldChar w:fldCharType="end"/>
      </w:r>
      <w:r w:rsidR="003F3ECC">
        <w:rPr>
          <w:rFonts w:ascii="Arial" w:hAnsi="Arial" w:cs="Arial"/>
          <w:sz w:val="22"/>
          <w:szCs w:val="22"/>
        </w:rPr>
        <w:t>, HTODemux</w:t>
      </w:r>
      <w:r w:rsidR="003F3ECC">
        <w:rPr>
          <w:rFonts w:ascii="Arial" w:hAnsi="Arial" w:cs="Arial"/>
          <w:sz w:val="22"/>
          <w:szCs w:val="22"/>
        </w:rPr>
        <w:fldChar w:fldCharType="begin"/>
      </w:r>
      <w:r w:rsidR="005B0B44">
        <w:rPr>
          <w:rFonts w:ascii="Arial" w:hAnsi="Arial" w:cs="Arial"/>
          <w:sz w:val="22"/>
          <w:szCs w:val="22"/>
        </w:rPr>
        <w:instrText xml:space="preserve"> ADDIN ZOTERO_ITEM CSL_CITATION {"citationID":"tv4qKzmg","properties":{"formattedCitation":"\\super 7\\nosupersub{}","plainCitation":"7","noteIndex":0},"citationItems":[{"id":66,"uris":["http://zotero.org/users/3502237/items/VXG4L5WB"],"itemData":{"id":66,"type":"article-journal","abstract":"The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identity.","container-title":"Cell","DOI":"10.1016/j.cell.2021.04.048","ISSN":"1097-4172 0092-8674","issue":"13","journalAbbreviation":"Cell","language":"eng","license":"Copyright © 2021 The Authors. Published by Elsevier Inc. All rights reserved.","note":"publisher-place: United States\nPMID: 34062119 \nPMCID: PMC8238499","page":"3573-3587.e29","title":"Integrated analysis of multimodal single-cell data.","volume":"184","author":[{"family":"Hao","given":"Yuhan"},{"family":"Hao","given":"Stephanie"},{"family":"Andersen-Nissen","given":"Erica"},{"family":"Mauck","given":"William M. 3rd"},{"family":"Zheng","given":"Shiwei"},{"family":"Butler","given":"Andrew"},{"family":"Lee","given":"Maddie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A."},{"family":"Gottardo","given":"Raphael"},{"family":"Smibert","given":"Peter"},{"family":"Satija","given":"Rahul"}],"issued":{"date-parts":[["2021",6,24]]}}}],"schema":"https://github.com/citation-style-language/schema/raw/master/csl-citation.json"} </w:instrText>
      </w:r>
      <w:r w:rsidR="003F3ECC">
        <w:rPr>
          <w:rFonts w:ascii="Arial" w:hAnsi="Arial" w:cs="Arial"/>
          <w:sz w:val="22"/>
          <w:szCs w:val="22"/>
        </w:rPr>
        <w:fldChar w:fldCharType="separate"/>
      </w:r>
      <w:r w:rsidR="005B0B44" w:rsidRPr="005B0B44">
        <w:rPr>
          <w:rFonts w:ascii="Arial" w:hAnsi="Arial" w:cs="Arial"/>
          <w:kern w:val="0"/>
          <w:sz w:val="22"/>
          <w:vertAlign w:val="superscript"/>
        </w:rPr>
        <w:t>7</w:t>
      </w:r>
      <w:r w:rsidR="003F3ECC">
        <w:rPr>
          <w:rFonts w:ascii="Arial" w:hAnsi="Arial" w:cs="Arial"/>
          <w:sz w:val="22"/>
          <w:szCs w:val="22"/>
        </w:rPr>
        <w:fldChar w:fldCharType="end"/>
      </w:r>
      <w:r w:rsidR="003F3ECC">
        <w:rPr>
          <w:rFonts w:ascii="Arial" w:hAnsi="Arial" w:cs="Arial"/>
          <w:sz w:val="22"/>
          <w:szCs w:val="22"/>
        </w:rPr>
        <w:t>, hashedDrops</w:t>
      </w:r>
      <w:r w:rsidR="005B0B44">
        <w:rPr>
          <w:rFonts w:ascii="Arial" w:hAnsi="Arial" w:cs="Arial"/>
          <w:sz w:val="22"/>
          <w:szCs w:val="22"/>
        </w:rPr>
        <w:fldChar w:fldCharType="begin"/>
      </w:r>
      <w:r w:rsidR="005B0B44">
        <w:rPr>
          <w:rFonts w:ascii="Arial" w:hAnsi="Arial" w:cs="Arial"/>
          <w:sz w:val="22"/>
          <w:szCs w:val="22"/>
        </w:rPr>
        <w:instrText xml:space="preserve"> ADDIN ZOTERO_ITEM CSL_CITATION {"citationID":"6mBzF7re","properties":{"formattedCitation":"\\super 8\\nosupersub{}","plainCitation":"8","noteIndex":0},"citationItems":[{"id":45,"uris":["http://zotero.org/users/3502237/items/BXGC6TJ6"],"itemData":{"id":45,"type":"article-journal","abstract":"Droplet-based single-cell RNA sequencing protocols have dramatically increased the throughput of single-cell transcriptomics studies. A key computational  challenge when processing these data is to distinguish libraries for real cells  from empty droplets. Here, we describe a new statistical method for calling cells  from droplet-based data, based on detecting significant deviations from the  expression profile of the ambient solution. Using simulations, we demonstrate  that EmptyDrops has greater power than existing approaches while controlling the  false discovery rate among detected cells. Our method also retains distinct cell  types that would have been discarded by existing methods in several real data  sets.","container-title":"Genome biology","DOI":"10.1186/s13059-019-1662-y","ISSN":"1474-760X 1474-7596","issue":"1","journalAbbreviation":"Genome Biol","language":"eng","note":"publisher-place: England\nPMID: 30902100 \nPMCID: PMC6431044","page":"63","title":"EmptyDrops: distinguishing cells from empty droplets in droplet-based single-cell RNA sequencing data.","volume":"20","author":[{"family":"Lun","given":"Aaron T. L."},{"family":"Riesenfeld","given":"Samantha"},{"family":"Andrews","given":"Tallulah"},{"family":"Dao","given":"The Phuong"},{"family":"Gomes","given":"Tomas"},{"family":"Marioni","given":"John C."}],"issued":{"date-parts":[["2019",3,22]]}}}],"schema":"https://github.com/citation-style-language/schema/raw/master/csl-citation.json"} </w:instrText>
      </w:r>
      <w:r w:rsidR="005B0B44">
        <w:rPr>
          <w:rFonts w:ascii="Arial" w:hAnsi="Arial" w:cs="Arial"/>
          <w:sz w:val="22"/>
          <w:szCs w:val="22"/>
        </w:rPr>
        <w:fldChar w:fldCharType="separate"/>
      </w:r>
      <w:r w:rsidR="005B0B44" w:rsidRPr="005B0B44">
        <w:rPr>
          <w:rFonts w:ascii="Arial" w:hAnsi="Arial" w:cs="Arial"/>
          <w:kern w:val="0"/>
          <w:sz w:val="22"/>
          <w:vertAlign w:val="superscript"/>
        </w:rPr>
        <w:t>8</w:t>
      </w:r>
      <w:r w:rsidR="005B0B44">
        <w:rPr>
          <w:rFonts w:ascii="Arial" w:hAnsi="Arial" w:cs="Arial"/>
          <w:sz w:val="22"/>
          <w:szCs w:val="22"/>
        </w:rPr>
        <w:fldChar w:fldCharType="end"/>
      </w:r>
      <w:r w:rsidR="003F3ECC">
        <w:rPr>
          <w:rFonts w:ascii="Arial" w:hAnsi="Arial" w:cs="Arial"/>
          <w:sz w:val="22"/>
          <w:szCs w:val="22"/>
        </w:rPr>
        <w:t>, GMM-Demux</w:t>
      </w:r>
      <w:r w:rsidR="005B0B44">
        <w:rPr>
          <w:rFonts w:ascii="Arial" w:hAnsi="Arial" w:cs="Arial"/>
          <w:sz w:val="22"/>
          <w:szCs w:val="22"/>
        </w:rPr>
        <w:fldChar w:fldCharType="begin"/>
      </w:r>
      <w:r w:rsidR="005B0B44">
        <w:rPr>
          <w:rFonts w:ascii="Arial" w:hAnsi="Arial" w:cs="Arial"/>
          <w:sz w:val="22"/>
          <w:szCs w:val="22"/>
        </w:rPr>
        <w:instrText xml:space="preserve"> ADDIN ZOTERO_ITEM CSL_CITATION {"citationID":"3LN2TSnP","properties":{"formattedCitation":"\\super 9\\nosupersub{}","plainCitation":"9","noteIndex":0},"citationItems":[{"id":46,"uris":["http://zotero.org/users/3502237/items/7VSCWJQ4"],"itemData":{"id":46,"type":"article-journal","abstract":"Identifying and removing multiplets are essential to improving the scalability and the reliability of single cell RNA sequencing (scRNA-seq). Multiplets create  artificial cell types in the dataset. We propose a Gaussian mixture model-based  multiplet identification method, GMM-Demux. GMM-Demux accurately identifies and  removes multiplets through sample barcoding, including cell hashing and  MULTI-seq. GMM-Demux uses a droplet formation model to authenticate putative cell  types discovered from a scRNA-seq dataset. We generate two in-house cell-hashing  datasets and compared GMM-Demux against three state-of-the-art sample barcoding  classifiers. We show that GMM-Demux is stable and highly accurate and recognizes  9 multiplet-induced fake cell types in a PBMC dataset.","container-title":"Genome biology","DOI":"10.1186/s13059-020-02084-2","ISSN":"1474-760X 1474-7596","issue":"1","journalAbbreviation":"Genome Biol","language":"eng","note":"publisher-place: England\nPMID: 32731885 \nPMCID: PMC7393741","page":"188","title":"GMM-Demux: sample demultiplexing, multiplet detection, experiment planning, and novel cell-type verification in single cell sequencing.","volume":"21","author":[{"family":"Xin","given":"Hongyi"},{"family":"Lian","given":"Qiuyu"},{"family":"Jiang","given":"Yale"},{"family":"Luo","given":"Jiadi"},{"family":"Wang","given":"Xinjun"},{"family":"Erb","given":"Carla"},{"family":"Xu","given":"Zhongli"},{"family":"Zhang","given":"Xiaoyi"},{"family":"Heidrich-O'Hare","given":"Elisa"},{"family":"Yan","given":"Qi"},{"family":"Duerr","given":"Richard H."},{"family":"Chen","given":"Kong"},{"family":"Chen","given":"Wei"}],"issued":{"date-parts":[["2020",7,30]]}}}],"schema":"https://github.com/citation-style-language/schema/raw/master/csl-citation.json"} </w:instrText>
      </w:r>
      <w:r w:rsidR="005B0B44">
        <w:rPr>
          <w:rFonts w:ascii="Arial" w:hAnsi="Arial" w:cs="Arial"/>
          <w:sz w:val="22"/>
          <w:szCs w:val="22"/>
        </w:rPr>
        <w:fldChar w:fldCharType="separate"/>
      </w:r>
      <w:r w:rsidR="005B0B44" w:rsidRPr="005B0B44">
        <w:rPr>
          <w:rFonts w:ascii="Arial" w:hAnsi="Arial" w:cs="Arial"/>
          <w:kern w:val="0"/>
          <w:sz w:val="22"/>
          <w:vertAlign w:val="superscript"/>
        </w:rPr>
        <w:t>9</w:t>
      </w:r>
      <w:r w:rsidR="005B0B44">
        <w:rPr>
          <w:rFonts w:ascii="Arial" w:hAnsi="Arial" w:cs="Arial"/>
          <w:sz w:val="22"/>
          <w:szCs w:val="22"/>
        </w:rPr>
        <w:fldChar w:fldCharType="end"/>
      </w:r>
      <w:r w:rsidR="003F3ECC">
        <w:rPr>
          <w:rFonts w:ascii="Arial" w:hAnsi="Arial" w:cs="Arial"/>
          <w:sz w:val="22"/>
          <w:szCs w:val="22"/>
        </w:rPr>
        <w:t>, DemuxEM</w:t>
      </w:r>
      <w:r w:rsidR="005B0B44">
        <w:rPr>
          <w:rFonts w:ascii="Arial" w:hAnsi="Arial" w:cs="Arial"/>
          <w:sz w:val="22"/>
          <w:szCs w:val="22"/>
        </w:rPr>
        <w:fldChar w:fldCharType="begin"/>
      </w:r>
      <w:r w:rsidR="005B0B44">
        <w:rPr>
          <w:rFonts w:ascii="Arial" w:hAnsi="Arial" w:cs="Arial"/>
          <w:sz w:val="22"/>
          <w:szCs w:val="22"/>
        </w:rPr>
        <w:instrText xml:space="preserve"> ADDIN ZOTERO_ITEM CSL_CITATION {"citationID":"J8DchU9P","properties":{"formattedCitation":"\\super 10\\nosupersub{}","plainCitation":"10","noteIndex":0},"citationItems":[{"id":73,"uris":["http://zotero.org/users/3502237/items/65ELRFSW"],"itemData":{"id":73,"type":"article-journal","abstract":"Single-nucleus RNA-seq (snRNA-seq) enables the interrogation of cellular states in complex tissues that are challenging to dissociate or are frozen, and opens the way to human genetics studies, clinical trials, and precise cell atlases of large organs. However, such applications are currently limited by batch effects, processing, and costs. Here, we present an approach for multiplexing snRNA-seq, using sample-barcoded antibodies to uniquely label nuclei from distinct samples. Comparing human brain cortex samples profiled with or without hashing antibodies, we demonstrate that nucleus hashing does not significantly alter recovered profiles. We develop DemuxEM, a computational tool that detects inter-sample multiplets and assigns singlets to their sample of origin, and validate its accuracy using sex-specific gene expression, species-mixing and natural genetic variation. Our approach will facilitate tissue atlases of isogenic model organisms or from multiple biopsies or longitudinal samples of one donor, and large-scale perturbation screens.","container-title":"Nature Communications","DOI":"10.1038/s41467-019-10756-2","ISSN":"2041-1723","issue":"1","journalAbbreviation":"Nat Commun","language":"en","license":"2019 The Author(s)","note":"number: 1\npublisher: Nature Publishing Group","page":"2907","source":"www.nature.com","title":"Nuclei multiplexing with barcoded antibodies for single-nucleus genomics","volume":"10","author":[{"family":"Gaublomme","given":"Jellert T."},{"family":"Li","given":"Bo"},{"family":"McCabe","given":"Cristin"},{"family":"Knecht","given":"Abigail"},{"family":"Yang","given":"Yiming"},{"family":"Drokhlyansky","given":"Eugene"},{"family":"Van Wittenberghe","given":"Nicholas"},{"family":"Waldman","given":"Julia"},{"family":"Dionne","given":"Danielle"},{"family":"Nguyen","given":"Lan"},{"family":"De Jager","given":"Philip L."},{"family":"Yeung","given":"Bertrand"},{"family":"Zhao","given":"Xinfang"},{"family":"Habib","given":"Naomi"},{"family":"Rozenblatt-Rosen","given":"Orit"},{"family":"Regev","given":"Aviv"}],"issued":{"date-parts":[["2019",7,2]]}}}],"schema":"https://github.com/citation-style-language/schema/raw/master/csl-citation.json"} </w:instrText>
      </w:r>
      <w:r w:rsidR="005B0B44">
        <w:rPr>
          <w:rFonts w:ascii="Arial" w:hAnsi="Arial" w:cs="Arial"/>
          <w:sz w:val="22"/>
          <w:szCs w:val="22"/>
        </w:rPr>
        <w:fldChar w:fldCharType="separate"/>
      </w:r>
      <w:r w:rsidR="005B0B44" w:rsidRPr="005B0B44">
        <w:rPr>
          <w:rFonts w:ascii="Arial" w:hAnsi="Arial" w:cs="Arial"/>
          <w:kern w:val="0"/>
          <w:sz w:val="22"/>
          <w:vertAlign w:val="superscript"/>
        </w:rPr>
        <w:t>10</w:t>
      </w:r>
      <w:r w:rsidR="005B0B44">
        <w:rPr>
          <w:rFonts w:ascii="Arial" w:hAnsi="Arial" w:cs="Arial"/>
          <w:sz w:val="22"/>
          <w:szCs w:val="22"/>
        </w:rPr>
        <w:fldChar w:fldCharType="end"/>
      </w:r>
      <w:r w:rsidR="003F3ECC">
        <w:rPr>
          <w:rFonts w:ascii="Arial" w:hAnsi="Arial" w:cs="Arial"/>
          <w:sz w:val="22"/>
          <w:szCs w:val="22"/>
        </w:rPr>
        <w:t>, and demuxmix</w:t>
      </w:r>
      <w:r w:rsidR="005B0B44">
        <w:rPr>
          <w:rFonts w:ascii="Arial" w:hAnsi="Arial" w:cs="Arial"/>
          <w:sz w:val="22"/>
          <w:szCs w:val="22"/>
        </w:rPr>
        <w:fldChar w:fldCharType="begin"/>
      </w:r>
      <w:r w:rsidR="005B0B44">
        <w:rPr>
          <w:rFonts w:ascii="Arial" w:hAnsi="Arial" w:cs="Arial"/>
          <w:sz w:val="22"/>
          <w:szCs w:val="22"/>
        </w:rPr>
        <w:instrText xml:space="preserve"> ADDIN ZOTERO_ITEM CSL_CITATION {"citationID":"a9mPUIBO","properties":{"formattedCitation":"\\super 11\\nosupersub{}","plainCitation":"11","noteIndex":0},"citationItems":[{"id":48,"uris":["http://zotero.org/users/3502237/items/BTGHEVVS"],"itemData":{"id":48,"type":"article","abstract":"MOTIVATION: Droplet-based single-cell RNA sequencing (scRNA-seq) is widely used in biomedical research to interrogate the transcriptomes of single cells on a  large scale. Pooling and processing cells from different samples together can  reduce costs and batch effects. In order to pool cells, cells are often first  labeled with hashtag oligonucleotides (HTOs). These HTOs are sequenced along with  the cells' RNA in the droplets and are subsequently used to computationally  assign each droplet to its sample of origin, which is referred to as  demultiplexing. Accurate demultiplexing is crucial and can be challenging due to  background HTOs, low-quality cells/cell debris, and multiplets. RESULTS: A new  demultiplexing method, demuxmix, based on negative binomial regression mixture  models is introduced. The method implements two significant improvements. First,  demuxmix's probabilistic classification framework provides error probabilities  for droplet assignments that can be used to discard uncertain droplets and inform  about the quality of the HTO data and the demultiplexing success. Second,  demuxmix utilizes the positive association between detected genes in the RNA  library and HTO counts to explain parts of the variance in the HTO data resulting  in improved droplet assignments. The improved performance of demuxmix compared to  existing demultiplexing methods is assessed on real and simulated data. Finally,  the feasibility of accurately demultiplexing experimental designs where  non-labeled cells are pooled with labeled cells is demonstrated. AVAILABILITY:  R/Bioconductor package demuxmix ( https://doi.org/doi:10.18129/B9.bioc.demuxmix  ).","DOI":"10.1101/2023.01.27.525961","event-place":"United States","language":"eng","note":"journalAbbreviation: bioRxiv\npage: 2023.01.27.525961\ncontainer-title: bioRxiv : the preprint server for biology\nPMID: 36747615 \nPMCID: PMC9901175","publisher-place":"United States","title":"demuxmix: Demultiplexing oligonucleotide-barcoded single-cell RNA sequencing data with regression mixture models.","author":[{"family":"Klein","given":"Hans-Ulrich"}],"issued":{"date-parts":[["2023",1,29]]}}}],"schema":"https://github.com/citation-style-language/schema/raw/master/csl-citation.json"} </w:instrText>
      </w:r>
      <w:r w:rsidR="005B0B44">
        <w:rPr>
          <w:rFonts w:ascii="Arial" w:hAnsi="Arial" w:cs="Arial"/>
          <w:sz w:val="22"/>
          <w:szCs w:val="22"/>
        </w:rPr>
        <w:fldChar w:fldCharType="separate"/>
      </w:r>
      <w:r w:rsidR="005B0B44" w:rsidRPr="005B0B44">
        <w:rPr>
          <w:rFonts w:ascii="Arial" w:hAnsi="Arial" w:cs="Arial"/>
          <w:kern w:val="0"/>
          <w:sz w:val="22"/>
          <w:vertAlign w:val="superscript"/>
        </w:rPr>
        <w:t>11</w:t>
      </w:r>
      <w:r w:rsidR="005B0B44">
        <w:rPr>
          <w:rFonts w:ascii="Arial" w:hAnsi="Arial" w:cs="Arial"/>
          <w:sz w:val="22"/>
          <w:szCs w:val="22"/>
        </w:rPr>
        <w:fldChar w:fldCharType="end"/>
      </w:r>
      <w:r w:rsidR="003F3ECC">
        <w:rPr>
          <w:rFonts w:ascii="Arial" w:hAnsi="Arial" w:cs="Arial"/>
          <w:sz w:val="22"/>
          <w:szCs w:val="22"/>
        </w:rPr>
        <w:t>.</w:t>
      </w:r>
      <w:r w:rsidR="005B0B44">
        <w:rPr>
          <w:rFonts w:ascii="Arial" w:hAnsi="Arial" w:cs="Arial"/>
          <w:sz w:val="22"/>
          <w:szCs w:val="22"/>
        </w:rPr>
        <w:t xml:space="preserve"> Of these tools, BFF and GMM-Demux both assume a bimodal counts distribution; demuxmix assumes a negative binomial mixture model; DemuxEM uses an expectation-maximization algorithm; and HTODemux uses a clustering-based approach on center log ratio transformed values.</w:t>
      </w:r>
    </w:p>
    <w:p w14:paraId="0A2F70AA" w14:textId="77777777" w:rsidR="00311C79" w:rsidRDefault="00311C79" w:rsidP="00766128">
      <w:pPr>
        <w:rPr>
          <w:rFonts w:ascii="Arial" w:hAnsi="Arial" w:cs="Arial"/>
          <w:sz w:val="22"/>
          <w:szCs w:val="22"/>
        </w:rPr>
      </w:pPr>
    </w:p>
    <w:p w14:paraId="06FE3F7F" w14:textId="403FE79B" w:rsidR="00311C79" w:rsidRDefault="00311C79" w:rsidP="00766128">
      <w:pPr>
        <w:rPr>
          <w:rFonts w:ascii="Arial" w:hAnsi="Arial" w:cs="Arial"/>
          <w:sz w:val="22"/>
          <w:szCs w:val="22"/>
        </w:rPr>
      </w:pPr>
      <w:r>
        <w:rPr>
          <w:rFonts w:ascii="Arial" w:hAnsi="Arial" w:cs="Arial"/>
          <w:sz w:val="22"/>
          <w:szCs w:val="22"/>
        </w:rPr>
        <w:t xml:space="preserve">To </w:t>
      </w:r>
      <w:r w:rsidR="00DC0F41">
        <w:rPr>
          <w:rFonts w:ascii="Arial" w:hAnsi="Arial" w:cs="Arial"/>
          <w:sz w:val="22"/>
          <w:szCs w:val="22"/>
        </w:rPr>
        <w:t>benchmark these demultiplexing tools</w:t>
      </w:r>
      <w:r>
        <w:rPr>
          <w:rFonts w:ascii="Arial" w:hAnsi="Arial" w:cs="Arial"/>
          <w:sz w:val="22"/>
          <w:szCs w:val="22"/>
        </w:rPr>
        <w:t xml:space="preserve">, I </w:t>
      </w:r>
      <w:r w:rsidR="0012592A">
        <w:rPr>
          <w:rFonts w:ascii="Arial" w:hAnsi="Arial" w:cs="Arial"/>
          <w:sz w:val="22"/>
          <w:szCs w:val="22"/>
        </w:rPr>
        <w:t>proposed to simulate multiple experimental conditions of varying sample sizes</w:t>
      </w:r>
      <w:r w:rsidR="00DC0F41">
        <w:rPr>
          <w:rFonts w:ascii="Arial" w:hAnsi="Arial" w:cs="Arial"/>
          <w:sz w:val="22"/>
          <w:szCs w:val="22"/>
        </w:rPr>
        <w:t xml:space="preserve"> (three conditions – 4000, 8000, and 12000 cells)</w:t>
      </w:r>
      <w:r w:rsidR="0012592A">
        <w:rPr>
          <w:rFonts w:ascii="Arial" w:hAnsi="Arial" w:cs="Arial"/>
          <w:sz w:val="22"/>
          <w:szCs w:val="22"/>
        </w:rPr>
        <w:t xml:space="preserve"> and staining quality</w:t>
      </w:r>
      <w:r w:rsidR="00DC0F41">
        <w:rPr>
          <w:rFonts w:ascii="Arial" w:hAnsi="Arial" w:cs="Arial"/>
          <w:sz w:val="22"/>
          <w:szCs w:val="22"/>
        </w:rPr>
        <w:t xml:space="preserve"> (</w:t>
      </w:r>
      <w:r w:rsidR="00AD4914">
        <w:rPr>
          <w:rFonts w:ascii="Arial" w:hAnsi="Arial" w:cs="Arial"/>
          <w:sz w:val="22"/>
          <w:szCs w:val="22"/>
        </w:rPr>
        <w:t xml:space="preserve">“high”, “medium”, and “low”, </w:t>
      </w:r>
      <w:r w:rsidR="005C52E6">
        <w:rPr>
          <w:rFonts w:ascii="Arial" w:hAnsi="Arial" w:cs="Arial"/>
          <w:sz w:val="22"/>
          <w:szCs w:val="22"/>
        </w:rPr>
        <w:t>with a lower difference of means representing lower staining quality</w:t>
      </w:r>
      <w:r w:rsidR="00DC0F41">
        <w:rPr>
          <w:rFonts w:ascii="Arial" w:hAnsi="Arial" w:cs="Arial"/>
          <w:sz w:val="22"/>
          <w:szCs w:val="22"/>
        </w:rPr>
        <w:t>)</w:t>
      </w:r>
      <w:r w:rsidR="005C52E6">
        <w:rPr>
          <w:rFonts w:ascii="Arial" w:hAnsi="Arial" w:cs="Arial"/>
          <w:sz w:val="22"/>
          <w:szCs w:val="22"/>
        </w:rPr>
        <w:t>. This would be accomplished by modeling counts using two rounded normal distributions representing positive staining and negative staining. We would assume that each barcoded sample were evenly divided by eight hashtags</w:t>
      </w:r>
      <w:r w:rsidR="00866A57">
        <w:rPr>
          <w:rFonts w:ascii="Arial" w:hAnsi="Arial" w:cs="Arial"/>
          <w:sz w:val="22"/>
          <w:szCs w:val="22"/>
        </w:rPr>
        <w:t xml:space="preserve"> – thus, for </w:t>
      </w:r>
      <w:r w:rsidR="005C52E6">
        <w:rPr>
          <w:rFonts w:ascii="Arial" w:hAnsi="Arial" w:cs="Arial"/>
          <w:sz w:val="22"/>
          <w:szCs w:val="22"/>
        </w:rPr>
        <w:t xml:space="preserve">. Multiplet rate would be estimated from the calculator available </w:t>
      </w:r>
      <w:r w:rsidR="0073644A">
        <w:rPr>
          <w:rFonts w:ascii="Arial" w:hAnsi="Arial" w:cs="Arial"/>
          <w:sz w:val="22"/>
          <w:szCs w:val="22"/>
        </w:rPr>
        <w:t xml:space="preserve">at </w:t>
      </w:r>
      <w:hyperlink r:id="rId4" w:history="1">
        <w:r w:rsidR="0073644A" w:rsidRPr="00EC2C13">
          <w:rPr>
            <w:rStyle w:val="Hyperlink"/>
            <w:rFonts w:ascii="Arial" w:hAnsi="Arial" w:cs="Arial"/>
            <w:sz w:val="22"/>
            <w:szCs w:val="22"/>
          </w:rPr>
          <w:t>https://satijalab.org/costpercell/</w:t>
        </w:r>
      </w:hyperlink>
      <w:r w:rsidR="0073644A">
        <w:rPr>
          <w:rFonts w:ascii="Arial" w:hAnsi="Arial" w:cs="Arial"/>
          <w:sz w:val="22"/>
          <w:szCs w:val="22"/>
        </w:rPr>
        <w:t>, and counts for multiplets would be calculated by adding together</w:t>
      </w:r>
      <w:r w:rsidR="005B0B44">
        <w:rPr>
          <w:rFonts w:ascii="Arial" w:hAnsi="Arial" w:cs="Arial"/>
          <w:sz w:val="22"/>
          <w:szCs w:val="22"/>
        </w:rPr>
        <w:t xml:space="preserve"> the simulated counts for each cell in the multiplet. </w:t>
      </w:r>
      <w:r w:rsidR="00CB5431">
        <w:rPr>
          <w:rFonts w:ascii="Arial" w:hAnsi="Arial" w:cs="Arial"/>
          <w:sz w:val="22"/>
          <w:szCs w:val="22"/>
        </w:rPr>
        <w:t>Benchmark metrics include</w:t>
      </w:r>
      <w:r w:rsidR="005B0B44">
        <w:rPr>
          <w:rFonts w:ascii="Arial" w:hAnsi="Arial" w:cs="Arial"/>
          <w:sz w:val="22"/>
          <w:szCs w:val="22"/>
        </w:rPr>
        <w:t xml:space="preserve"> Type I and Type II error rates</w:t>
      </w:r>
      <w:r w:rsidR="00CB5431">
        <w:rPr>
          <w:rFonts w:ascii="Arial" w:hAnsi="Arial" w:cs="Arial"/>
          <w:sz w:val="22"/>
          <w:szCs w:val="22"/>
        </w:rPr>
        <w:t xml:space="preserve"> for both single cell and multiplets, as well as rates of </w:t>
      </w:r>
      <w:r w:rsidR="00440607">
        <w:rPr>
          <w:rFonts w:ascii="Arial" w:hAnsi="Arial" w:cs="Arial"/>
          <w:sz w:val="22"/>
          <w:szCs w:val="22"/>
        </w:rPr>
        <w:t>assignment uncertainty.</w:t>
      </w:r>
      <w:r w:rsidR="00CB5431">
        <w:rPr>
          <w:rFonts w:ascii="Arial" w:hAnsi="Arial" w:cs="Arial"/>
          <w:sz w:val="22"/>
          <w:szCs w:val="22"/>
        </w:rPr>
        <w:t xml:space="preserve"> </w:t>
      </w:r>
    </w:p>
    <w:p w14:paraId="77F2C142" w14:textId="77777777" w:rsidR="00311C79" w:rsidRDefault="00311C79" w:rsidP="00766128">
      <w:pPr>
        <w:rPr>
          <w:rFonts w:ascii="Arial" w:hAnsi="Arial" w:cs="Arial"/>
          <w:sz w:val="22"/>
          <w:szCs w:val="22"/>
        </w:rPr>
      </w:pPr>
    </w:p>
    <w:p w14:paraId="3A36D735" w14:textId="56D1ADB0" w:rsidR="00311C79" w:rsidRDefault="00311C79" w:rsidP="00766128">
      <w:pPr>
        <w:rPr>
          <w:rFonts w:ascii="Arial" w:hAnsi="Arial" w:cs="Arial"/>
          <w:sz w:val="22"/>
          <w:szCs w:val="22"/>
        </w:rPr>
      </w:pPr>
      <w:r>
        <w:rPr>
          <w:rFonts w:ascii="Arial" w:hAnsi="Arial" w:cs="Arial"/>
          <w:b/>
          <w:bCs/>
          <w:sz w:val="22"/>
          <w:szCs w:val="22"/>
        </w:rPr>
        <w:t>Expected Results and Current Results</w:t>
      </w:r>
    </w:p>
    <w:p w14:paraId="0FB57EFA" w14:textId="65A7165F" w:rsidR="00440607" w:rsidRDefault="00935CC9" w:rsidP="00766128">
      <w:pPr>
        <w:rPr>
          <w:rFonts w:ascii="Arial" w:hAnsi="Arial" w:cs="Arial"/>
          <w:sz w:val="22"/>
          <w:szCs w:val="22"/>
        </w:rPr>
      </w:pPr>
      <w:r>
        <w:rPr>
          <w:rFonts w:ascii="Arial" w:hAnsi="Arial" w:cs="Arial"/>
          <w:sz w:val="22"/>
          <w:szCs w:val="22"/>
        </w:rPr>
        <w:t>I anticipate</w:t>
      </w:r>
      <w:r w:rsidR="00440607">
        <w:rPr>
          <w:rFonts w:ascii="Arial" w:hAnsi="Arial" w:cs="Arial"/>
          <w:sz w:val="22"/>
          <w:szCs w:val="22"/>
        </w:rPr>
        <w:t xml:space="preserve"> </w:t>
      </w:r>
      <w:r>
        <w:rPr>
          <w:rFonts w:ascii="Arial" w:hAnsi="Arial" w:cs="Arial"/>
          <w:sz w:val="22"/>
          <w:szCs w:val="22"/>
        </w:rPr>
        <w:t xml:space="preserve">that our findings from this proposal will provide a comprehensive overview of how sample size and staining quality affect </w:t>
      </w:r>
      <w:r w:rsidR="002469ED">
        <w:rPr>
          <w:rFonts w:ascii="Arial" w:hAnsi="Arial" w:cs="Arial"/>
          <w:sz w:val="22"/>
          <w:szCs w:val="22"/>
        </w:rPr>
        <w:t xml:space="preserve">each tool’s ability to classify true singlets and true doublets. Specifically, I believe that </w:t>
      </w:r>
      <w:r w:rsidR="00D55BF1">
        <w:rPr>
          <w:rFonts w:ascii="Arial" w:hAnsi="Arial" w:cs="Arial"/>
          <w:sz w:val="22"/>
          <w:szCs w:val="22"/>
        </w:rPr>
        <w:t xml:space="preserve">this project will </w:t>
      </w:r>
      <w:r w:rsidR="00564F2C">
        <w:rPr>
          <w:rFonts w:ascii="Arial" w:hAnsi="Arial" w:cs="Arial"/>
          <w:sz w:val="22"/>
          <w:szCs w:val="22"/>
        </w:rPr>
        <w:t>help me</w:t>
      </w:r>
      <w:r w:rsidR="00D55BF1">
        <w:rPr>
          <w:rFonts w:ascii="Arial" w:hAnsi="Arial" w:cs="Arial"/>
          <w:sz w:val="22"/>
          <w:szCs w:val="22"/>
        </w:rPr>
        <w:t xml:space="preserve"> </w:t>
      </w:r>
      <w:r w:rsidR="00564F2C">
        <w:rPr>
          <w:rFonts w:ascii="Arial" w:hAnsi="Arial" w:cs="Arial"/>
          <w:sz w:val="22"/>
          <w:szCs w:val="22"/>
        </w:rPr>
        <w:t>understand</w:t>
      </w:r>
      <w:r w:rsidR="00D55BF1">
        <w:rPr>
          <w:rFonts w:ascii="Arial" w:hAnsi="Arial" w:cs="Arial"/>
          <w:sz w:val="22"/>
          <w:szCs w:val="22"/>
        </w:rPr>
        <w:t xml:space="preserve"> </w:t>
      </w:r>
      <w:r w:rsidR="00564F2C">
        <w:rPr>
          <w:rFonts w:ascii="Arial" w:hAnsi="Arial" w:cs="Arial"/>
          <w:sz w:val="22"/>
          <w:szCs w:val="22"/>
        </w:rPr>
        <w:t>which</w:t>
      </w:r>
      <w:r w:rsidR="00D55BF1">
        <w:rPr>
          <w:rFonts w:ascii="Arial" w:hAnsi="Arial" w:cs="Arial"/>
          <w:sz w:val="22"/>
          <w:szCs w:val="22"/>
        </w:rPr>
        <w:t xml:space="preserve"> statistical </w:t>
      </w:r>
      <w:r w:rsidR="00564F2C">
        <w:rPr>
          <w:rFonts w:ascii="Arial" w:hAnsi="Arial" w:cs="Arial"/>
          <w:sz w:val="22"/>
          <w:szCs w:val="22"/>
        </w:rPr>
        <w:t xml:space="preserve">models </w:t>
      </w:r>
      <w:r w:rsidR="008A2D27">
        <w:rPr>
          <w:rFonts w:ascii="Arial" w:hAnsi="Arial" w:cs="Arial"/>
          <w:sz w:val="22"/>
          <w:szCs w:val="22"/>
        </w:rPr>
        <w:t>are best suited for which conditions. I hypothesize that bimodal and simple thresholding methods will perform adequately for conditions of higher staining quality (greater separation between distributions) but will struggle when separation is less pronounced. I also hypothesize that HTODemux, the only clustering-based demultiplexing algorithm, will perform better as sample size increases due to increased cluster</w:t>
      </w:r>
      <w:r w:rsidR="004156FA">
        <w:rPr>
          <w:rFonts w:ascii="Arial" w:hAnsi="Arial" w:cs="Arial"/>
          <w:sz w:val="22"/>
          <w:szCs w:val="22"/>
        </w:rPr>
        <w:t xml:space="preserve"> sizes and resolution.</w:t>
      </w:r>
      <w:r w:rsidR="008A2D27">
        <w:rPr>
          <w:rFonts w:ascii="Arial" w:hAnsi="Arial" w:cs="Arial"/>
          <w:sz w:val="22"/>
          <w:szCs w:val="22"/>
        </w:rPr>
        <w:t xml:space="preserve"> </w:t>
      </w:r>
    </w:p>
    <w:p w14:paraId="463B4C73" w14:textId="77777777" w:rsidR="00440607" w:rsidRDefault="00440607" w:rsidP="00766128">
      <w:pPr>
        <w:rPr>
          <w:rFonts w:ascii="Arial" w:hAnsi="Arial" w:cs="Arial"/>
          <w:sz w:val="22"/>
          <w:szCs w:val="22"/>
        </w:rPr>
      </w:pPr>
    </w:p>
    <w:p w14:paraId="1B63698F" w14:textId="37A59491" w:rsidR="004156FA" w:rsidRDefault="005C52E6" w:rsidP="00766128">
      <w:pPr>
        <w:rPr>
          <w:rFonts w:ascii="Arial" w:hAnsi="Arial" w:cs="Arial"/>
          <w:sz w:val="22"/>
          <w:szCs w:val="22"/>
        </w:rPr>
      </w:pPr>
      <w:r>
        <w:rPr>
          <w:rFonts w:ascii="Arial" w:hAnsi="Arial" w:cs="Arial"/>
          <w:sz w:val="22"/>
          <w:szCs w:val="22"/>
        </w:rPr>
        <w:t>As of today</w:t>
      </w:r>
      <w:r w:rsidR="008E3D56">
        <w:rPr>
          <w:rFonts w:ascii="Arial" w:hAnsi="Arial" w:cs="Arial"/>
          <w:sz w:val="22"/>
          <w:szCs w:val="22"/>
        </w:rPr>
        <w:t xml:space="preserve">, I have successfully implemented </w:t>
      </w:r>
      <w:r w:rsidR="00866A57">
        <w:rPr>
          <w:rFonts w:ascii="Arial" w:hAnsi="Arial" w:cs="Arial"/>
          <w:sz w:val="22"/>
          <w:szCs w:val="22"/>
        </w:rPr>
        <w:t>a function in R for simulating the experimental data. Count data is modeled by sampling either a positive or a negative distribution. The negative distribution is defined as a negative binomial with mean of 20 and a dispersion parameter of 10. The positive distribution is defined as a negative binomial with a mean of 100, 80, or 60 for high, medium, or low staining quality respectively, and a dispersion parameter of 10.</w:t>
      </w:r>
      <w:r w:rsidR="00935CC9">
        <w:rPr>
          <w:rFonts w:ascii="Arial" w:hAnsi="Arial" w:cs="Arial"/>
          <w:sz w:val="22"/>
          <w:szCs w:val="22"/>
        </w:rPr>
        <w:t xml:space="preserve"> Histograms illustrating separation for hashtag 1 (HTO-1) across staining qualities</w:t>
      </w:r>
      <w:r w:rsidR="008B110D">
        <w:rPr>
          <w:rFonts w:ascii="Arial" w:hAnsi="Arial" w:cs="Arial"/>
          <w:sz w:val="22"/>
          <w:szCs w:val="22"/>
        </w:rPr>
        <w:t xml:space="preserve"> at 12,000 cells</w:t>
      </w:r>
      <w:r w:rsidR="00935CC9">
        <w:rPr>
          <w:rFonts w:ascii="Arial" w:hAnsi="Arial" w:cs="Arial"/>
          <w:sz w:val="22"/>
          <w:szCs w:val="22"/>
        </w:rPr>
        <w:t xml:space="preserve"> are shown below.</w:t>
      </w:r>
    </w:p>
    <w:p w14:paraId="0892ECE6" w14:textId="77777777" w:rsidR="004156FA" w:rsidRDefault="004156FA" w:rsidP="00766128">
      <w:pPr>
        <w:rPr>
          <w:rFonts w:ascii="Arial" w:hAnsi="Arial" w:cs="Arial"/>
          <w:sz w:val="22"/>
          <w:szCs w:val="22"/>
        </w:rPr>
      </w:pPr>
    </w:p>
    <w:p w14:paraId="4596A2C7" w14:textId="4D8AB806" w:rsidR="004156FA" w:rsidRDefault="004156FA" w:rsidP="00766128">
      <w:pPr>
        <w:rPr>
          <w:rFonts w:ascii="Arial" w:hAnsi="Arial" w:cs="Arial"/>
          <w:sz w:val="22"/>
          <w:szCs w:val="22"/>
        </w:rPr>
      </w:pPr>
      <w:r w:rsidRPr="004156FA">
        <w:rPr>
          <w:rFonts w:ascii="Arial" w:hAnsi="Arial" w:cs="Arial"/>
          <w:sz w:val="22"/>
          <w:szCs w:val="22"/>
        </w:rPr>
        <w:lastRenderedPageBreak/>
        <w:drawing>
          <wp:inline distT="0" distB="0" distL="0" distR="0" wp14:anchorId="5DC2ADF9" wp14:editId="10990399">
            <wp:extent cx="5803900" cy="2413000"/>
            <wp:effectExtent l="0" t="0" r="0" b="0"/>
            <wp:docPr id="695802812" name="Picture 1" descr="A graph of a number of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2812" name="Picture 1" descr="A graph of a number of different sizes&#10;&#10;Description automatically generated with medium confidence"/>
                    <pic:cNvPicPr/>
                  </pic:nvPicPr>
                  <pic:blipFill>
                    <a:blip r:embed="rId5"/>
                    <a:stretch>
                      <a:fillRect/>
                    </a:stretch>
                  </pic:blipFill>
                  <pic:spPr>
                    <a:xfrm>
                      <a:off x="0" y="0"/>
                      <a:ext cx="5803900" cy="2413000"/>
                    </a:xfrm>
                    <a:prstGeom prst="rect">
                      <a:avLst/>
                    </a:prstGeom>
                  </pic:spPr>
                </pic:pic>
              </a:graphicData>
            </a:graphic>
          </wp:inline>
        </w:drawing>
      </w:r>
    </w:p>
    <w:p w14:paraId="44B0EC5E" w14:textId="77777777" w:rsidR="004156FA" w:rsidRDefault="004156FA" w:rsidP="00766128">
      <w:pPr>
        <w:rPr>
          <w:rFonts w:ascii="Arial" w:hAnsi="Arial" w:cs="Arial"/>
          <w:sz w:val="22"/>
          <w:szCs w:val="22"/>
        </w:rPr>
      </w:pPr>
    </w:p>
    <w:p w14:paraId="52FF8208" w14:textId="701CB0CB" w:rsidR="008B110D" w:rsidRDefault="004156FA" w:rsidP="00766128">
      <w:pPr>
        <w:rPr>
          <w:rFonts w:ascii="Arial" w:hAnsi="Arial" w:cs="Arial"/>
          <w:sz w:val="22"/>
          <w:szCs w:val="22"/>
        </w:rPr>
      </w:pPr>
      <w:r>
        <w:rPr>
          <w:rFonts w:ascii="Arial" w:hAnsi="Arial" w:cs="Arial"/>
          <w:sz w:val="22"/>
          <w:szCs w:val="22"/>
        </w:rPr>
        <w:t>In the high- and medium-quality staining, it is apparent that there is a distinct population of cells that are positive for HTO-1, while the positive population for low-quality staining</w:t>
      </w:r>
      <w:r w:rsidR="008B110D">
        <w:rPr>
          <w:rFonts w:ascii="Arial" w:hAnsi="Arial" w:cs="Arial"/>
          <w:sz w:val="22"/>
          <w:szCs w:val="22"/>
        </w:rPr>
        <w:t xml:space="preserve"> is much less distinct.</w:t>
      </w:r>
    </w:p>
    <w:p w14:paraId="70FEA30F" w14:textId="77777777" w:rsidR="008B110D" w:rsidRDefault="008B110D" w:rsidP="00766128">
      <w:pPr>
        <w:rPr>
          <w:rFonts w:ascii="Arial" w:hAnsi="Arial" w:cs="Arial"/>
          <w:sz w:val="22"/>
          <w:szCs w:val="22"/>
        </w:rPr>
      </w:pPr>
    </w:p>
    <w:p w14:paraId="25A7D08B" w14:textId="35C7A754" w:rsidR="008B110D" w:rsidRDefault="008B110D" w:rsidP="00766128">
      <w:pPr>
        <w:rPr>
          <w:rFonts w:ascii="Arial" w:hAnsi="Arial" w:cs="Arial"/>
          <w:sz w:val="22"/>
          <w:szCs w:val="22"/>
        </w:rPr>
      </w:pPr>
      <w:r>
        <w:rPr>
          <w:rFonts w:ascii="Arial" w:hAnsi="Arial" w:cs="Arial"/>
          <w:sz w:val="22"/>
          <w:szCs w:val="22"/>
        </w:rPr>
        <w:t>We can also plot two simulated hashtags against each other to crudely visualize staining quality. See below example of HTO-1 vs. HTO-2, both raw and log-transformed:</w:t>
      </w:r>
    </w:p>
    <w:p w14:paraId="42E6757F" w14:textId="15B20992" w:rsidR="008B110D" w:rsidRDefault="00103D08" w:rsidP="008B110D">
      <w:pP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54944BB3" wp14:editId="5F15F9B8">
                <wp:simplePos x="0" y="0"/>
                <wp:positionH relativeFrom="column">
                  <wp:posOffset>1008123</wp:posOffset>
                </wp:positionH>
                <wp:positionV relativeFrom="paragraph">
                  <wp:posOffset>503105</wp:posOffset>
                </wp:positionV>
                <wp:extent cx="463550" cy="485011"/>
                <wp:effectExtent l="12700" t="12700" r="19050" b="10795"/>
                <wp:wrapNone/>
                <wp:docPr id="1476905955" name="Rectangle 1"/>
                <wp:cNvGraphicFramePr/>
                <a:graphic xmlns:a="http://schemas.openxmlformats.org/drawingml/2006/main">
                  <a:graphicData uri="http://schemas.microsoft.com/office/word/2010/wordprocessingShape">
                    <wps:wsp>
                      <wps:cNvSpPr/>
                      <wps:spPr>
                        <a:xfrm>
                          <a:off x="0" y="0"/>
                          <a:ext cx="463550" cy="485011"/>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151E6" id="Rectangle 1" o:spid="_x0000_s1026" style="position:absolute;margin-left:79.4pt;margin-top:39.6pt;width:36.5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" filled="f" strokecolor="red" strokeweight="1.5pt"/>
            </w:pict>
          </mc:Fallback>
        </mc:AlternateContent>
      </w:r>
      <w:r w:rsidR="008B110D">
        <w:rPr>
          <w:rFonts w:ascii="Arial" w:hAnsi="Arial" w:cs="Arial"/>
          <w:noProof/>
          <w:sz w:val="22"/>
          <w:szCs w:val="22"/>
        </w:rPr>
        <mc:AlternateContent>
          <mc:Choice Requires="wps">
            <w:drawing>
              <wp:anchor distT="0" distB="0" distL="114300" distR="114300" simplePos="0" relativeHeight="251663360" behindDoc="0" locked="0" layoutInCell="1" allowOverlap="1" wp14:anchorId="128AD3B5" wp14:editId="2E49452D">
                <wp:simplePos x="0" y="0"/>
                <wp:positionH relativeFrom="column">
                  <wp:posOffset>2372810</wp:posOffset>
                </wp:positionH>
                <wp:positionV relativeFrom="paragraph">
                  <wp:posOffset>1730021</wp:posOffset>
                </wp:positionV>
                <wp:extent cx="308144" cy="346666"/>
                <wp:effectExtent l="12700" t="12700" r="9525" b="9525"/>
                <wp:wrapNone/>
                <wp:docPr id="282517384" name="Rectangle 1"/>
                <wp:cNvGraphicFramePr/>
                <a:graphic xmlns:a="http://schemas.openxmlformats.org/drawingml/2006/main">
                  <a:graphicData uri="http://schemas.microsoft.com/office/word/2010/wordprocessingShape">
                    <wps:wsp>
                      <wps:cNvSpPr/>
                      <wps:spPr>
                        <a:xfrm>
                          <a:off x="0" y="0"/>
                          <a:ext cx="308144" cy="34666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15674" id="Rectangle 1" o:spid="_x0000_s1026" style="position:absolute;margin-left:186.85pt;margin-top:136.2pt;width:24.25pt;height:2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" filled="f" strokecolor="red" strokeweight="1.5pt"/>
            </w:pict>
          </mc:Fallback>
        </mc:AlternateContent>
      </w:r>
      <w:r w:rsidR="008B110D">
        <w:rPr>
          <w:rFonts w:ascii="Arial" w:hAnsi="Arial" w:cs="Arial"/>
          <w:noProof/>
          <w:sz w:val="22"/>
          <w:szCs w:val="22"/>
        </w:rPr>
        <mc:AlternateContent>
          <mc:Choice Requires="wps">
            <w:drawing>
              <wp:anchor distT="0" distB="0" distL="114300" distR="114300" simplePos="0" relativeHeight="251661312" behindDoc="0" locked="0" layoutInCell="1" allowOverlap="1" wp14:anchorId="314E497E" wp14:editId="57266AB7">
                <wp:simplePos x="0" y="0"/>
                <wp:positionH relativeFrom="column">
                  <wp:posOffset>1393059</wp:posOffset>
                </wp:positionH>
                <wp:positionV relativeFrom="paragraph">
                  <wp:posOffset>1362425</wp:posOffset>
                </wp:positionV>
                <wp:extent cx="306113" cy="346666"/>
                <wp:effectExtent l="12700" t="12700" r="11430" b="9525"/>
                <wp:wrapNone/>
                <wp:docPr id="397822229" name="Rectangle 1"/>
                <wp:cNvGraphicFramePr/>
                <a:graphic xmlns:a="http://schemas.openxmlformats.org/drawingml/2006/main">
                  <a:graphicData uri="http://schemas.microsoft.com/office/word/2010/wordprocessingShape">
                    <wps:wsp>
                      <wps:cNvSpPr/>
                      <wps:spPr>
                        <a:xfrm>
                          <a:off x="0" y="0"/>
                          <a:ext cx="306113" cy="34666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DB9FA" id="Rectangle 1" o:spid="_x0000_s1026" style="position:absolute;margin-left:109.7pt;margin-top:107.3pt;width:24.1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" filled="f" strokecolor="red" strokeweight="1.5pt"/>
            </w:pict>
          </mc:Fallback>
        </mc:AlternateContent>
      </w:r>
      <w:r w:rsidR="008B110D" w:rsidRPr="008B110D">
        <w:rPr>
          <w:rFonts w:ascii="Arial" w:hAnsi="Arial" w:cs="Arial"/>
          <w:sz w:val="22"/>
          <w:szCs w:val="22"/>
        </w:rPr>
        <w:drawing>
          <wp:inline distT="0" distB="0" distL="0" distR="0" wp14:anchorId="155E5B68" wp14:editId="5FE5587B">
            <wp:extent cx="2501900" cy="2717800"/>
            <wp:effectExtent l="0" t="0" r="0" b="0"/>
            <wp:docPr id="117487319" name="Picture 1" descr="A graph of a number of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7319" name="Picture 1" descr="A graph of a number of cells&#10;&#10;Description automatically generated"/>
                    <pic:cNvPicPr/>
                  </pic:nvPicPr>
                  <pic:blipFill>
                    <a:blip r:embed="rId6"/>
                    <a:stretch>
                      <a:fillRect/>
                    </a:stretch>
                  </pic:blipFill>
                  <pic:spPr>
                    <a:xfrm>
                      <a:off x="0" y="0"/>
                      <a:ext cx="2501900" cy="2717800"/>
                    </a:xfrm>
                    <a:prstGeom prst="rect">
                      <a:avLst/>
                    </a:prstGeom>
                  </pic:spPr>
                </pic:pic>
              </a:graphicData>
            </a:graphic>
          </wp:inline>
        </w:drawing>
      </w:r>
      <w:r w:rsidR="008B110D" w:rsidRPr="008B110D">
        <w:rPr>
          <w:rFonts w:ascii="Arial" w:hAnsi="Arial" w:cs="Arial"/>
          <w:sz w:val="22"/>
          <w:szCs w:val="22"/>
        </w:rPr>
        <w:t xml:space="preserve"> </w:t>
      </w:r>
      <w:r w:rsidR="008B110D" w:rsidRPr="008B110D">
        <w:rPr>
          <w:rFonts w:ascii="Arial" w:hAnsi="Arial" w:cs="Arial"/>
          <w:sz w:val="22"/>
          <w:szCs w:val="22"/>
        </w:rPr>
        <w:drawing>
          <wp:inline distT="0" distB="0" distL="0" distR="0" wp14:anchorId="122A5ACC" wp14:editId="1966CF2C">
            <wp:extent cx="2501900" cy="2717800"/>
            <wp:effectExtent l="0" t="0" r="0" b="0"/>
            <wp:docPr id="941264554" name="Picture 1" descr="A graph of a number of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64554" name="Picture 1" descr="A graph of a number of cells&#10;&#10;Description automatically generated"/>
                    <pic:cNvPicPr/>
                  </pic:nvPicPr>
                  <pic:blipFill>
                    <a:blip r:embed="rId7"/>
                    <a:stretch>
                      <a:fillRect/>
                    </a:stretch>
                  </pic:blipFill>
                  <pic:spPr>
                    <a:xfrm>
                      <a:off x="0" y="0"/>
                      <a:ext cx="2501900" cy="2717800"/>
                    </a:xfrm>
                    <a:prstGeom prst="rect">
                      <a:avLst/>
                    </a:prstGeom>
                  </pic:spPr>
                </pic:pic>
              </a:graphicData>
            </a:graphic>
          </wp:inline>
        </w:drawing>
      </w:r>
    </w:p>
    <w:p w14:paraId="298DEAD4" w14:textId="5242FD78" w:rsidR="008B110D" w:rsidRDefault="008B110D" w:rsidP="008B110D">
      <w:pPr>
        <w:rPr>
          <w:rFonts w:ascii="Arial" w:hAnsi="Arial" w:cs="Arial"/>
          <w:sz w:val="22"/>
          <w:szCs w:val="22"/>
        </w:rPr>
      </w:pPr>
      <w:r>
        <w:rPr>
          <w:rFonts w:ascii="Arial" w:hAnsi="Arial" w:cs="Arial"/>
          <w:sz w:val="22"/>
          <w:szCs w:val="22"/>
        </w:rPr>
        <w:t xml:space="preserve">We </w:t>
      </w:r>
      <w:r w:rsidR="00103D08">
        <w:rPr>
          <w:rFonts w:ascii="Arial" w:hAnsi="Arial" w:cs="Arial"/>
          <w:sz w:val="22"/>
          <w:szCs w:val="22"/>
        </w:rPr>
        <w:t>might hypothesize</w:t>
      </w:r>
      <w:r>
        <w:rPr>
          <w:rFonts w:ascii="Arial" w:hAnsi="Arial" w:cs="Arial"/>
          <w:sz w:val="22"/>
          <w:szCs w:val="22"/>
        </w:rPr>
        <w:t xml:space="preserve"> that cells highlighted by the red boxes above (drawn simply by eye) represent </w:t>
      </w:r>
      <w:r w:rsidR="00103D08">
        <w:rPr>
          <w:rFonts w:ascii="Arial" w:hAnsi="Arial" w:cs="Arial"/>
          <w:sz w:val="22"/>
          <w:szCs w:val="22"/>
        </w:rPr>
        <w:t>doublets</w:t>
      </w:r>
      <w:r>
        <w:rPr>
          <w:rFonts w:ascii="Arial" w:hAnsi="Arial" w:cs="Arial"/>
          <w:sz w:val="22"/>
          <w:szCs w:val="22"/>
        </w:rPr>
        <w:t xml:space="preserve"> that are either </w:t>
      </w:r>
      <w:r w:rsidR="00103D08">
        <w:rPr>
          <w:rFonts w:ascii="Arial" w:hAnsi="Arial" w:cs="Arial"/>
          <w:sz w:val="22"/>
          <w:szCs w:val="22"/>
        </w:rPr>
        <w:t>composed</w:t>
      </w:r>
      <w:r>
        <w:rPr>
          <w:rFonts w:ascii="Arial" w:hAnsi="Arial" w:cs="Arial"/>
          <w:sz w:val="22"/>
          <w:szCs w:val="22"/>
        </w:rPr>
        <w:t xml:space="preserve"> of two cells tagged with HTO-2, </w:t>
      </w:r>
      <w:r w:rsidR="00103D08">
        <w:rPr>
          <w:rFonts w:ascii="Arial" w:hAnsi="Arial" w:cs="Arial"/>
          <w:sz w:val="22"/>
          <w:szCs w:val="22"/>
        </w:rPr>
        <w:t xml:space="preserve">one cell tagged by HTO-1 and one cell tagged by HTO-2, or two cells tagged with HTO-1 (from left to right on the untransformed plot) due to their higher levels of expression. If we color that same plot by said multiplets, however, we observe that </w:t>
      </w:r>
      <w:r w:rsidR="00B95D72">
        <w:rPr>
          <w:rFonts w:ascii="Arial" w:hAnsi="Arial" w:cs="Arial"/>
          <w:sz w:val="22"/>
          <w:szCs w:val="22"/>
        </w:rPr>
        <w:t>actual classification of multiplets can be much trickier than it seems (and that simpler algorithms like the simple threshold used by HashedDrops will perform worse in discriminating between singlets and doublets).</w:t>
      </w:r>
    </w:p>
    <w:p w14:paraId="536DEBA7" w14:textId="77777777" w:rsidR="00C43DA0" w:rsidRDefault="00C43DA0" w:rsidP="008B110D">
      <w:pPr>
        <w:rPr>
          <w:rFonts w:ascii="Arial" w:hAnsi="Arial" w:cs="Arial"/>
          <w:sz w:val="22"/>
          <w:szCs w:val="22"/>
        </w:rPr>
      </w:pPr>
    </w:p>
    <w:p w14:paraId="1D56174E" w14:textId="43E4DB04" w:rsidR="00935CC9" w:rsidRDefault="00C43DA0" w:rsidP="00C43DA0">
      <w:pPr>
        <w:jc w:val="center"/>
        <w:rPr>
          <w:rFonts w:ascii="Arial" w:hAnsi="Arial" w:cs="Arial"/>
          <w:sz w:val="22"/>
          <w:szCs w:val="22"/>
        </w:rPr>
      </w:pPr>
      <w:r w:rsidRPr="00C43DA0">
        <w:rPr>
          <w:rFonts w:ascii="Arial" w:hAnsi="Arial" w:cs="Arial"/>
          <w:sz w:val="22"/>
          <w:szCs w:val="22"/>
        </w:rPr>
        <w:lastRenderedPageBreak/>
        <w:drawing>
          <wp:inline distT="0" distB="0" distL="0" distR="0" wp14:anchorId="763E0E94" wp14:editId="0D9B2282">
            <wp:extent cx="2501900" cy="2717800"/>
            <wp:effectExtent l="0" t="0" r="0" b="0"/>
            <wp:docPr id="1276260687" name="Picture 1" descr="A graph of a number of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60687" name="Picture 1" descr="A graph of a number of cells&#10;&#10;Description automatically generated"/>
                    <pic:cNvPicPr/>
                  </pic:nvPicPr>
                  <pic:blipFill>
                    <a:blip r:embed="rId8"/>
                    <a:stretch>
                      <a:fillRect/>
                    </a:stretch>
                  </pic:blipFill>
                  <pic:spPr>
                    <a:xfrm>
                      <a:off x="0" y="0"/>
                      <a:ext cx="2501900" cy="2717800"/>
                    </a:xfrm>
                    <a:prstGeom prst="rect">
                      <a:avLst/>
                    </a:prstGeom>
                  </pic:spPr>
                </pic:pic>
              </a:graphicData>
            </a:graphic>
          </wp:inline>
        </w:drawing>
      </w:r>
      <w:r w:rsidRPr="00C43DA0">
        <w:rPr>
          <w:rFonts w:ascii="Arial" w:hAnsi="Arial" w:cs="Arial"/>
          <w:sz w:val="22"/>
          <w:szCs w:val="22"/>
        </w:rPr>
        <w:drawing>
          <wp:inline distT="0" distB="0" distL="0" distR="0" wp14:anchorId="7058B02D" wp14:editId="156BAE8E">
            <wp:extent cx="2501900" cy="2717800"/>
            <wp:effectExtent l="0" t="0" r="0" b="0"/>
            <wp:docPr id="1487142068" name="Picture 1" descr="A graph of a number of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42068" name="Picture 1" descr="A graph of a number of cells&#10;&#10;Description automatically generated"/>
                    <pic:cNvPicPr/>
                  </pic:nvPicPr>
                  <pic:blipFill>
                    <a:blip r:embed="rId9"/>
                    <a:stretch>
                      <a:fillRect/>
                    </a:stretch>
                  </pic:blipFill>
                  <pic:spPr>
                    <a:xfrm>
                      <a:off x="0" y="0"/>
                      <a:ext cx="2501900" cy="2717800"/>
                    </a:xfrm>
                    <a:prstGeom prst="rect">
                      <a:avLst/>
                    </a:prstGeom>
                  </pic:spPr>
                </pic:pic>
              </a:graphicData>
            </a:graphic>
          </wp:inline>
        </w:drawing>
      </w:r>
    </w:p>
    <w:p w14:paraId="3512EC93" w14:textId="35E3A681" w:rsidR="005C52E6" w:rsidRDefault="005C52E6" w:rsidP="00766128">
      <w:pPr>
        <w:rPr>
          <w:rFonts w:ascii="Arial" w:hAnsi="Arial" w:cs="Arial"/>
          <w:b/>
          <w:bCs/>
          <w:sz w:val="22"/>
          <w:szCs w:val="22"/>
        </w:rPr>
      </w:pPr>
      <w:r>
        <w:rPr>
          <w:rFonts w:ascii="Arial" w:hAnsi="Arial" w:cs="Arial"/>
          <w:b/>
          <w:bCs/>
          <w:sz w:val="22"/>
          <w:szCs w:val="22"/>
        </w:rPr>
        <w:t>Deviations from the Original Proposal and Future Directions</w:t>
      </w:r>
    </w:p>
    <w:p w14:paraId="78903034" w14:textId="47F0161C" w:rsidR="00440607" w:rsidRDefault="00440607" w:rsidP="00766128">
      <w:pPr>
        <w:rPr>
          <w:rFonts w:ascii="Arial" w:hAnsi="Arial" w:cs="Arial"/>
          <w:sz w:val="22"/>
          <w:szCs w:val="22"/>
        </w:rPr>
      </w:pPr>
      <w:r>
        <w:rPr>
          <w:rFonts w:ascii="Arial" w:hAnsi="Arial" w:cs="Arial"/>
          <w:sz w:val="22"/>
          <w:szCs w:val="22"/>
        </w:rPr>
        <w:t xml:space="preserve">In the original proposal, we </w:t>
      </w:r>
      <w:r w:rsidR="00842562">
        <w:rPr>
          <w:rFonts w:ascii="Arial" w:hAnsi="Arial" w:cs="Arial"/>
          <w:sz w:val="22"/>
          <w:szCs w:val="22"/>
        </w:rPr>
        <w:t>proposed</w:t>
      </w:r>
      <w:r>
        <w:rPr>
          <w:rFonts w:ascii="Arial" w:hAnsi="Arial" w:cs="Arial"/>
          <w:sz w:val="22"/>
          <w:szCs w:val="22"/>
        </w:rPr>
        <w:t xml:space="preserve"> to model </w:t>
      </w:r>
      <w:r w:rsidR="008E3D56">
        <w:rPr>
          <w:rFonts w:ascii="Arial" w:hAnsi="Arial" w:cs="Arial"/>
          <w:sz w:val="22"/>
          <w:szCs w:val="22"/>
        </w:rPr>
        <w:t xml:space="preserve">counts data by sampling a normal distribution and rounding </w:t>
      </w:r>
      <w:r w:rsidR="00842562">
        <w:rPr>
          <w:rFonts w:ascii="Arial" w:hAnsi="Arial" w:cs="Arial"/>
          <w:sz w:val="22"/>
          <w:szCs w:val="22"/>
        </w:rPr>
        <w:t xml:space="preserve">the resulting data to approximate integer count data. Instead, I am using the negative binomial distribution, which is able to more closely approximate real-life HTO count data and which bypasses the necessity of rounding. Otherwise, my approach has not deviated from the original proposal thus far. </w:t>
      </w:r>
    </w:p>
    <w:p w14:paraId="64FF7940" w14:textId="77777777" w:rsidR="00842562" w:rsidRDefault="00842562" w:rsidP="00766128">
      <w:pPr>
        <w:rPr>
          <w:rFonts w:ascii="Arial" w:hAnsi="Arial" w:cs="Arial"/>
          <w:sz w:val="22"/>
          <w:szCs w:val="22"/>
        </w:rPr>
      </w:pPr>
    </w:p>
    <w:p w14:paraId="79F90EB8" w14:textId="6272A901" w:rsidR="00842562" w:rsidRDefault="00842562" w:rsidP="00766128">
      <w:pPr>
        <w:rPr>
          <w:rFonts w:ascii="Arial" w:hAnsi="Arial" w:cs="Arial"/>
          <w:sz w:val="22"/>
          <w:szCs w:val="22"/>
        </w:rPr>
      </w:pPr>
      <w:r>
        <w:rPr>
          <w:rFonts w:ascii="Arial" w:hAnsi="Arial" w:cs="Arial"/>
          <w:sz w:val="22"/>
          <w:szCs w:val="22"/>
        </w:rPr>
        <w:t xml:space="preserve">For the future, I will begin to implement each of the benchmarking tools and assess their performance across the nine simulated datasets I have generated thus far (low_4k, low_8k, low_12k; med_4k, med_8k, med_12k; and high_4k, high_8k, and high_12k; with “low”, “medium”, or “high” corresponding to different staining qualities, and “4k”, “8k”, and “12k” corresponding to the number of thousands of cells in the sample). I will analyze trends in Type I and Type II error rates across staining quality and sample size to better assess </w:t>
      </w:r>
      <w:r w:rsidR="00CE2ABF">
        <w:rPr>
          <w:rFonts w:ascii="Arial" w:hAnsi="Arial" w:cs="Arial"/>
          <w:sz w:val="22"/>
          <w:szCs w:val="22"/>
        </w:rPr>
        <w:t>tool behavior under different experimental conditions.</w:t>
      </w:r>
    </w:p>
    <w:p w14:paraId="5F845352" w14:textId="77777777" w:rsidR="00440607" w:rsidRDefault="00440607" w:rsidP="00766128">
      <w:pPr>
        <w:rPr>
          <w:rFonts w:ascii="Arial" w:hAnsi="Arial" w:cs="Arial"/>
          <w:sz w:val="22"/>
          <w:szCs w:val="22"/>
        </w:rPr>
      </w:pPr>
    </w:p>
    <w:p w14:paraId="33B14F30" w14:textId="5BFAF27D" w:rsidR="00440607" w:rsidRPr="00440607" w:rsidRDefault="00440607" w:rsidP="00766128">
      <w:pPr>
        <w:rPr>
          <w:rFonts w:ascii="Arial" w:hAnsi="Arial" w:cs="Arial"/>
          <w:b/>
          <w:bCs/>
          <w:sz w:val="22"/>
          <w:szCs w:val="22"/>
        </w:rPr>
      </w:pPr>
      <w:r>
        <w:rPr>
          <w:rFonts w:ascii="Arial" w:hAnsi="Arial" w:cs="Arial"/>
          <w:b/>
          <w:bCs/>
          <w:sz w:val="22"/>
          <w:szCs w:val="22"/>
        </w:rPr>
        <w:t>References</w:t>
      </w:r>
    </w:p>
    <w:p w14:paraId="2E39DA39" w14:textId="77777777" w:rsidR="00440607" w:rsidRPr="00440607" w:rsidRDefault="00440607" w:rsidP="00440607">
      <w:pPr>
        <w:pStyle w:val="Bibliography"/>
        <w:spacing w:after="0"/>
        <w:rPr>
          <w:rFonts w:ascii="Arial" w:hAnsi="Arial" w:cs="Arial"/>
          <w:sz w:val="22"/>
        </w:rPr>
      </w:pPr>
      <w:r>
        <w:rPr>
          <w:rFonts w:ascii="Arial" w:hAnsi="Arial" w:cs="Arial"/>
          <w:sz w:val="22"/>
          <w:szCs w:val="22"/>
        </w:rPr>
        <w:fldChar w:fldCharType="begin"/>
      </w:r>
      <w:r>
        <w:rPr>
          <w:rFonts w:ascii="Arial" w:hAnsi="Arial" w:cs="Arial"/>
          <w:sz w:val="22"/>
          <w:szCs w:val="22"/>
        </w:rPr>
        <w:instrText xml:space="preserve"> ADDIN ZOTERO_BIBL {"uncited":[],"omitted":[],"custom":[]} CSL_BIBLIOGRAPHY </w:instrText>
      </w:r>
      <w:r>
        <w:rPr>
          <w:rFonts w:ascii="Arial" w:hAnsi="Arial" w:cs="Arial"/>
          <w:sz w:val="22"/>
          <w:szCs w:val="22"/>
        </w:rPr>
        <w:fldChar w:fldCharType="separate"/>
      </w:r>
      <w:r w:rsidRPr="00440607">
        <w:rPr>
          <w:rFonts w:ascii="Arial" w:hAnsi="Arial" w:cs="Arial"/>
          <w:sz w:val="22"/>
        </w:rPr>
        <w:t>1.</w:t>
      </w:r>
      <w:r w:rsidRPr="00440607">
        <w:rPr>
          <w:rFonts w:ascii="Arial" w:hAnsi="Arial" w:cs="Arial"/>
          <w:sz w:val="22"/>
        </w:rPr>
        <w:tab/>
        <w:t xml:space="preserve">Auer PL, Doerge RW. Statistical design and analysis of RNA sequencing data. </w:t>
      </w:r>
      <w:r w:rsidRPr="00440607">
        <w:rPr>
          <w:rFonts w:ascii="Arial" w:hAnsi="Arial" w:cs="Arial"/>
          <w:i/>
          <w:iCs/>
          <w:sz w:val="22"/>
        </w:rPr>
        <w:t>Genetics</w:t>
      </w:r>
      <w:r w:rsidRPr="00440607">
        <w:rPr>
          <w:rFonts w:ascii="Arial" w:hAnsi="Arial" w:cs="Arial"/>
          <w:sz w:val="22"/>
        </w:rPr>
        <w:t>. 2010;185(2):405-416. doi:10.1534/genetics.110.114983</w:t>
      </w:r>
    </w:p>
    <w:p w14:paraId="7C757D97"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t>2.</w:t>
      </w:r>
      <w:r w:rsidRPr="00440607">
        <w:rPr>
          <w:rFonts w:ascii="Arial" w:hAnsi="Arial" w:cs="Arial"/>
          <w:sz w:val="22"/>
        </w:rPr>
        <w:tab/>
        <w:t xml:space="preserve">Brown DV, Anttila CJA, Ling L, et al. A risk-reward examination of sample multiplexing reagents for single cell RNA-Seq. </w:t>
      </w:r>
      <w:r w:rsidRPr="00440607">
        <w:rPr>
          <w:rFonts w:ascii="Arial" w:hAnsi="Arial" w:cs="Arial"/>
          <w:i/>
          <w:iCs/>
          <w:sz w:val="22"/>
        </w:rPr>
        <w:t>Genomics</w:t>
      </w:r>
      <w:r w:rsidRPr="00440607">
        <w:rPr>
          <w:rFonts w:ascii="Arial" w:hAnsi="Arial" w:cs="Arial"/>
          <w:sz w:val="22"/>
        </w:rPr>
        <w:t>. 2024;116(2):110793. doi:10.1016/j.ygeno.2024.110793</w:t>
      </w:r>
    </w:p>
    <w:p w14:paraId="42601599"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t>3.</w:t>
      </w:r>
      <w:r w:rsidRPr="00440607">
        <w:rPr>
          <w:rFonts w:ascii="Arial" w:hAnsi="Arial" w:cs="Arial"/>
          <w:sz w:val="22"/>
        </w:rPr>
        <w:tab/>
        <w:t xml:space="preserve">Zhang Y, Xu S, Wen Z, et al. Sample-multiplexing approaches for single-cell sequencing. </w:t>
      </w:r>
      <w:r w:rsidRPr="00440607">
        <w:rPr>
          <w:rFonts w:ascii="Arial" w:hAnsi="Arial" w:cs="Arial"/>
          <w:i/>
          <w:iCs/>
          <w:sz w:val="22"/>
        </w:rPr>
        <w:t>Cell Mol Life Sci</w:t>
      </w:r>
      <w:r w:rsidRPr="00440607">
        <w:rPr>
          <w:rFonts w:ascii="Arial" w:hAnsi="Arial" w:cs="Arial"/>
          <w:sz w:val="22"/>
        </w:rPr>
        <w:t>. 2022;79(8):466. doi:10.1007/s00018-022-04482-0</w:t>
      </w:r>
    </w:p>
    <w:p w14:paraId="7B295F47"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t>4.</w:t>
      </w:r>
      <w:r w:rsidRPr="00440607">
        <w:rPr>
          <w:rFonts w:ascii="Arial" w:hAnsi="Arial" w:cs="Arial"/>
          <w:sz w:val="22"/>
        </w:rPr>
        <w:tab/>
        <w:t xml:space="preserve">Stoeckius M, Zheng S, Houck-Loomis B, et al. Cell Hashing with barcoded antibodies enables multiplexing and doublet detection for single cell genomics. </w:t>
      </w:r>
      <w:r w:rsidRPr="00440607">
        <w:rPr>
          <w:rFonts w:ascii="Arial" w:hAnsi="Arial" w:cs="Arial"/>
          <w:i/>
          <w:iCs/>
          <w:sz w:val="22"/>
        </w:rPr>
        <w:t>Genome Biol</w:t>
      </w:r>
      <w:r w:rsidRPr="00440607">
        <w:rPr>
          <w:rFonts w:ascii="Arial" w:hAnsi="Arial" w:cs="Arial"/>
          <w:sz w:val="22"/>
        </w:rPr>
        <w:t>. 2018;19(1):224. doi:10.1186/s13059-018-1603-1</w:t>
      </w:r>
    </w:p>
    <w:p w14:paraId="7D3918AE"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t>5.</w:t>
      </w:r>
      <w:r w:rsidRPr="00440607">
        <w:rPr>
          <w:rFonts w:ascii="Arial" w:hAnsi="Arial" w:cs="Arial"/>
          <w:sz w:val="22"/>
        </w:rPr>
        <w:tab/>
        <w:t xml:space="preserve">McGinnis CS, Patterson DM, Winkler J, et al. MULTI-seq: sample multiplexing for single-cell RNA sequencing using lipid-tagged indices. </w:t>
      </w:r>
      <w:r w:rsidRPr="00440607">
        <w:rPr>
          <w:rFonts w:ascii="Arial" w:hAnsi="Arial" w:cs="Arial"/>
          <w:i/>
          <w:iCs/>
          <w:sz w:val="22"/>
        </w:rPr>
        <w:t>Nat Methods</w:t>
      </w:r>
      <w:r w:rsidRPr="00440607">
        <w:rPr>
          <w:rFonts w:ascii="Arial" w:hAnsi="Arial" w:cs="Arial"/>
          <w:sz w:val="22"/>
        </w:rPr>
        <w:t>. 2019;16(7):619-626. doi:10.1038/s41592-019-0433-8</w:t>
      </w:r>
    </w:p>
    <w:p w14:paraId="1274CF03"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t>6.</w:t>
      </w:r>
      <w:r w:rsidRPr="00440607">
        <w:rPr>
          <w:rFonts w:ascii="Arial" w:hAnsi="Arial" w:cs="Arial"/>
          <w:sz w:val="22"/>
        </w:rPr>
        <w:tab/>
        <w:t xml:space="preserve">Boggy GJ, McElfresh GW, Mahyari E, et al. BFF and cellhashR: analysis tools for accurate demultiplexing of cell hashing data. </w:t>
      </w:r>
      <w:r w:rsidRPr="00440607">
        <w:rPr>
          <w:rFonts w:ascii="Arial" w:hAnsi="Arial" w:cs="Arial"/>
          <w:i/>
          <w:iCs/>
          <w:sz w:val="22"/>
        </w:rPr>
        <w:t>Bioinforma Oxf Engl</w:t>
      </w:r>
      <w:r w:rsidRPr="00440607">
        <w:rPr>
          <w:rFonts w:ascii="Arial" w:hAnsi="Arial" w:cs="Arial"/>
          <w:sz w:val="22"/>
        </w:rPr>
        <w:t>. 2022;38(10):2791-2801. doi:10.1093/bioinformatics/btac213</w:t>
      </w:r>
    </w:p>
    <w:p w14:paraId="26366D0D"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t>7.</w:t>
      </w:r>
      <w:r w:rsidRPr="00440607">
        <w:rPr>
          <w:rFonts w:ascii="Arial" w:hAnsi="Arial" w:cs="Arial"/>
          <w:sz w:val="22"/>
        </w:rPr>
        <w:tab/>
        <w:t xml:space="preserve">Hao Y, Hao S, Andersen-Nissen E, et al. Integrated analysis of multimodal single-cell data. </w:t>
      </w:r>
      <w:r w:rsidRPr="00440607">
        <w:rPr>
          <w:rFonts w:ascii="Arial" w:hAnsi="Arial" w:cs="Arial"/>
          <w:i/>
          <w:iCs/>
          <w:sz w:val="22"/>
        </w:rPr>
        <w:t>Cell</w:t>
      </w:r>
      <w:r w:rsidRPr="00440607">
        <w:rPr>
          <w:rFonts w:ascii="Arial" w:hAnsi="Arial" w:cs="Arial"/>
          <w:sz w:val="22"/>
        </w:rPr>
        <w:t>. 2021;184(13):3573-3587.e29. doi:10.1016/j.cell.2021.04.048</w:t>
      </w:r>
    </w:p>
    <w:p w14:paraId="11023FBA"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lastRenderedPageBreak/>
        <w:t>8.</w:t>
      </w:r>
      <w:r w:rsidRPr="00440607">
        <w:rPr>
          <w:rFonts w:ascii="Arial" w:hAnsi="Arial" w:cs="Arial"/>
          <w:sz w:val="22"/>
        </w:rPr>
        <w:tab/>
        <w:t xml:space="preserve">Lun ATL, Riesenfeld S, Andrews T, Dao TP, Gomes T, Marioni JC. EmptyDrops: distinguishing cells from empty droplets in droplet-based single-cell RNA sequencing data. </w:t>
      </w:r>
      <w:r w:rsidRPr="00440607">
        <w:rPr>
          <w:rFonts w:ascii="Arial" w:hAnsi="Arial" w:cs="Arial"/>
          <w:i/>
          <w:iCs/>
          <w:sz w:val="22"/>
        </w:rPr>
        <w:t>Genome Biol</w:t>
      </w:r>
      <w:r w:rsidRPr="00440607">
        <w:rPr>
          <w:rFonts w:ascii="Arial" w:hAnsi="Arial" w:cs="Arial"/>
          <w:sz w:val="22"/>
        </w:rPr>
        <w:t>. 2019;20(1):63. doi:10.1186/s13059-019-1662-y</w:t>
      </w:r>
    </w:p>
    <w:p w14:paraId="1E53784C"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t>9.</w:t>
      </w:r>
      <w:r w:rsidRPr="00440607">
        <w:rPr>
          <w:rFonts w:ascii="Arial" w:hAnsi="Arial" w:cs="Arial"/>
          <w:sz w:val="22"/>
        </w:rPr>
        <w:tab/>
        <w:t xml:space="preserve">Xin H, Lian Q, Jiang Y, et al. GMM-Demux: sample demultiplexing, multiplet detection, experiment planning, and novel cell-type verification in single cell sequencing. </w:t>
      </w:r>
      <w:r w:rsidRPr="00440607">
        <w:rPr>
          <w:rFonts w:ascii="Arial" w:hAnsi="Arial" w:cs="Arial"/>
          <w:i/>
          <w:iCs/>
          <w:sz w:val="22"/>
        </w:rPr>
        <w:t>Genome Biol</w:t>
      </w:r>
      <w:r w:rsidRPr="00440607">
        <w:rPr>
          <w:rFonts w:ascii="Arial" w:hAnsi="Arial" w:cs="Arial"/>
          <w:sz w:val="22"/>
        </w:rPr>
        <w:t>. 2020;21(1):188. doi:10.1186/s13059-020-02084-2</w:t>
      </w:r>
    </w:p>
    <w:p w14:paraId="033AB828"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t>10.</w:t>
      </w:r>
      <w:r w:rsidRPr="00440607">
        <w:rPr>
          <w:rFonts w:ascii="Arial" w:hAnsi="Arial" w:cs="Arial"/>
          <w:sz w:val="22"/>
        </w:rPr>
        <w:tab/>
        <w:t xml:space="preserve">Gaublomme JT, Li B, McCabe C, et al. Nuclei multiplexing with barcoded antibodies for single-nucleus genomics. </w:t>
      </w:r>
      <w:r w:rsidRPr="00440607">
        <w:rPr>
          <w:rFonts w:ascii="Arial" w:hAnsi="Arial" w:cs="Arial"/>
          <w:i/>
          <w:iCs/>
          <w:sz w:val="22"/>
        </w:rPr>
        <w:t>Nat Commun</w:t>
      </w:r>
      <w:r w:rsidRPr="00440607">
        <w:rPr>
          <w:rFonts w:ascii="Arial" w:hAnsi="Arial" w:cs="Arial"/>
          <w:sz w:val="22"/>
        </w:rPr>
        <w:t>. 2019;10(1):2907. doi:10.1038/s41467-019-10756-2</w:t>
      </w:r>
    </w:p>
    <w:p w14:paraId="7EB78103" w14:textId="77777777" w:rsidR="00440607" w:rsidRPr="00440607" w:rsidRDefault="00440607" w:rsidP="00440607">
      <w:pPr>
        <w:pStyle w:val="Bibliography"/>
        <w:spacing w:after="0"/>
        <w:rPr>
          <w:rFonts w:ascii="Arial" w:hAnsi="Arial" w:cs="Arial"/>
          <w:sz w:val="22"/>
        </w:rPr>
      </w:pPr>
      <w:r w:rsidRPr="00440607">
        <w:rPr>
          <w:rFonts w:ascii="Arial" w:hAnsi="Arial" w:cs="Arial"/>
          <w:sz w:val="22"/>
        </w:rPr>
        <w:t>11.</w:t>
      </w:r>
      <w:r w:rsidRPr="00440607">
        <w:rPr>
          <w:rFonts w:ascii="Arial" w:hAnsi="Arial" w:cs="Arial"/>
          <w:sz w:val="22"/>
        </w:rPr>
        <w:tab/>
        <w:t xml:space="preserve">Klein HU. demuxmix: Demultiplexing oligonucleotide-barcoded single-cell RNA sequencing data with regression mixture models. </w:t>
      </w:r>
      <w:r w:rsidRPr="00440607">
        <w:rPr>
          <w:rFonts w:ascii="Arial" w:hAnsi="Arial" w:cs="Arial"/>
          <w:i/>
          <w:iCs/>
          <w:sz w:val="22"/>
        </w:rPr>
        <w:t>BioRxiv Prepr Serv Biol</w:t>
      </w:r>
      <w:r w:rsidRPr="00440607">
        <w:rPr>
          <w:rFonts w:ascii="Arial" w:hAnsi="Arial" w:cs="Arial"/>
          <w:sz w:val="22"/>
        </w:rPr>
        <w:t>. Published online January 29, 2023:2023.01.27.525961. doi:10.1101/2023.01.27.525961</w:t>
      </w:r>
    </w:p>
    <w:p w14:paraId="5915A0C4" w14:textId="254FD67F" w:rsidR="00440607" w:rsidRPr="00440607" w:rsidRDefault="00440607" w:rsidP="00440607">
      <w:pPr>
        <w:rPr>
          <w:rFonts w:ascii="Arial" w:hAnsi="Arial" w:cs="Arial"/>
          <w:sz w:val="22"/>
          <w:szCs w:val="22"/>
        </w:rPr>
      </w:pPr>
      <w:r>
        <w:rPr>
          <w:rFonts w:ascii="Arial" w:hAnsi="Arial" w:cs="Arial"/>
          <w:sz w:val="22"/>
          <w:szCs w:val="22"/>
        </w:rPr>
        <w:fldChar w:fldCharType="end"/>
      </w:r>
    </w:p>
    <w:sectPr w:rsidR="00440607" w:rsidRPr="0044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28"/>
    <w:rsid w:val="000478E0"/>
    <w:rsid w:val="000E6C4B"/>
    <w:rsid w:val="00103D08"/>
    <w:rsid w:val="0012592A"/>
    <w:rsid w:val="002469ED"/>
    <w:rsid w:val="00311C79"/>
    <w:rsid w:val="003F3ECC"/>
    <w:rsid w:val="004156FA"/>
    <w:rsid w:val="00440607"/>
    <w:rsid w:val="00444408"/>
    <w:rsid w:val="00564F2C"/>
    <w:rsid w:val="005B0B44"/>
    <w:rsid w:val="005C52E6"/>
    <w:rsid w:val="007167DD"/>
    <w:rsid w:val="0073644A"/>
    <w:rsid w:val="00766128"/>
    <w:rsid w:val="007F3824"/>
    <w:rsid w:val="00842562"/>
    <w:rsid w:val="00866A57"/>
    <w:rsid w:val="008A2D27"/>
    <w:rsid w:val="008B110D"/>
    <w:rsid w:val="008C3F20"/>
    <w:rsid w:val="008E3D56"/>
    <w:rsid w:val="00935CC9"/>
    <w:rsid w:val="00963573"/>
    <w:rsid w:val="00AD4914"/>
    <w:rsid w:val="00B40F24"/>
    <w:rsid w:val="00B95D72"/>
    <w:rsid w:val="00BE4A45"/>
    <w:rsid w:val="00C43DA0"/>
    <w:rsid w:val="00CB5431"/>
    <w:rsid w:val="00CE2ABF"/>
    <w:rsid w:val="00D55BF1"/>
    <w:rsid w:val="00DC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D7D2"/>
  <w15:chartTrackingRefBased/>
  <w15:docId w15:val="{1AA305AD-EFB4-984A-AB96-05160F49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1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1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1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1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128"/>
    <w:rPr>
      <w:rFonts w:eastAsiaTheme="majorEastAsia" w:cstheme="majorBidi"/>
      <w:color w:val="272727" w:themeColor="text1" w:themeTint="D8"/>
    </w:rPr>
  </w:style>
  <w:style w:type="paragraph" w:styleId="Title">
    <w:name w:val="Title"/>
    <w:basedOn w:val="Normal"/>
    <w:next w:val="Normal"/>
    <w:link w:val="TitleChar"/>
    <w:uiPriority w:val="10"/>
    <w:qFormat/>
    <w:rsid w:val="007661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1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1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6128"/>
    <w:rPr>
      <w:i/>
      <w:iCs/>
      <w:color w:val="404040" w:themeColor="text1" w:themeTint="BF"/>
    </w:rPr>
  </w:style>
  <w:style w:type="paragraph" w:styleId="ListParagraph">
    <w:name w:val="List Paragraph"/>
    <w:basedOn w:val="Normal"/>
    <w:uiPriority w:val="34"/>
    <w:qFormat/>
    <w:rsid w:val="00766128"/>
    <w:pPr>
      <w:ind w:left="720"/>
      <w:contextualSpacing/>
    </w:pPr>
  </w:style>
  <w:style w:type="character" w:styleId="IntenseEmphasis">
    <w:name w:val="Intense Emphasis"/>
    <w:basedOn w:val="DefaultParagraphFont"/>
    <w:uiPriority w:val="21"/>
    <w:qFormat/>
    <w:rsid w:val="00766128"/>
    <w:rPr>
      <w:i/>
      <w:iCs/>
      <w:color w:val="0F4761" w:themeColor="accent1" w:themeShade="BF"/>
    </w:rPr>
  </w:style>
  <w:style w:type="paragraph" w:styleId="IntenseQuote">
    <w:name w:val="Intense Quote"/>
    <w:basedOn w:val="Normal"/>
    <w:next w:val="Normal"/>
    <w:link w:val="IntenseQuoteChar"/>
    <w:uiPriority w:val="30"/>
    <w:qFormat/>
    <w:rsid w:val="00766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128"/>
    <w:rPr>
      <w:i/>
      <w:iCs/>
      <w:color w:val="0F4761" w:themeColor="accent1" w:themeShade="BF"/>
    </w:rPr>
  </w:style>
  <w:style w:type="character" w:styleId="IntenseReference">
    <w:name w:val="Intense Reference"/>
    <w:basedOn w:val="DefaultParagraphFont"/>
    <w:uiPriority w:val="32"/>
    <w:qFormat/>
    <w:rsid w:val="00766128"/>
    <w:rPr>
      <w:b/>
      <w:bCs/>
      <w:smallCaps/>
      <w:color w:val="0F4761" w:themeColor="accent1" w:themeShade="BF"/>
      <w:spacing w:val="5"/>
    </w:rPr>
  </w:style>
  <w:style w:type="character" w:styleId="Hyperlink">
    <w:name w:val="Hyperlink"/>
    <w:basedOn w:val="DefaultParagraphFont"/>
    <w:uiPriority w:val="99"/>
    <w:unhideWhenUsed/>
    <w:rsid w:val="00444408"/>
    <w:rPr>
      <w:color w:val="467886" w:themeColor="hyperlink"/>
      <w:u w:val="single"/>
    </w:rPr>
  </w:style>
  <w:style w:type="character" w:styleId="UnresolvedMention">
    <w:name w:val="Unresolved Mention"/>
    <w:basedOn w:val="DefaultParagraphFont"/>
    <w:uiPriority w:val="99"/>
    <w:semiHidden/>
    <w:unhideWhenUsed/>
    <w:rsid w:val="00444408"/>
    <w:rPr>
      <w:color w:val="605E5C"/>
      <w:shd w:val="clear" w:color="auto" w:fill="E1DFDD"/>
    </w:rPr>
  </w:style>
  <w:style w:type="paragraph" w:styleId="Bibliography">
    <w:name w:val="Bibliography"/>
    <w:basedOn w:val="Normal"/>
    <w:next w:val="Normal"/>
    <w:uiPriority w:val="37"/>
    <w:unhideWhenUsed/>
    <w:rsid w:val="00440607"/>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satijalab.org/costpercel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4</Pages>
  <Words>4997</Words>
  <Characters>28488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Bi,Timothy Mark</dc:creator>
  <cp:keywords/>
  <dc:description/>
  <cp:lastModifiedBy>Timothy Bi</cp:lastModifiedBy>
  <cp:revision>12</cp:revision>
  <dcterms:created xsi:type="dcterms:W3CDTF">2024-03-27T20:18:00Z</dcterms:created>
  <dcterms:modified xsi:type="dcterms:W3CDTF">2024-03-28T23:24:00Z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zotero-version="6.0.32"&gt;&lt;session id="qmZ7vKNh"/&gt;&lt;style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