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Changer le format de la balance</w:t>
      </w:r>
    </w:p>
    <w:p>
      <w:pPr>
        <w:pStyle w:val="BodyText"/>
        <w:bidi w:val="0"/>
        <w:jc w:val="left"/>
        <w:rPr/>
      </w:pPr>
      <w:r>
        <w:rPr/>
        <w:t xml:space="preserve">Avant de commencer, </w:t>
      </w:r>
      <w:r>
        <w:rPr>
          <w:b/>
        </w:rPr>
        <w:t>couper l'alimentation</w:t>
      </w:r>
      <w:r>
        <w:rPr/>
        <w:t xml:space="preserve"> et </w:t>
      </w:r>
      <w:r>
        <w:rPr>
          <w:i/>
        </w:rPr>
        <w:t>vérifier</w:t>
      </w:r>
      <w:r>
        <w:rPr/>
        <w:t xml:space="preserve"> l'étiqueteuse.</w:t>
      </w:r>
    </w:p>
    <w:p>
      <w:pPr>
        <w:pStyle w:val="Heading2"/>
        <w:bidi w:val="0"/>
        <w:jc w:val="left"/>
        <w:rPr/>
      </w:pPr>
      <w:r>
        <w:rPr/>
        <w:t>Étapes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Ouvrir le menu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Choisir </w:t>
      </w:r>
      <w:r>
        <w:rPr>
          <w:u w:val="single"/>
        </w:rPr>
        <w:t>Format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>60 x 40 mm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>80 x 50 mm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Valider</w:t>
      </w:r>
    </w:p>
    <w:tbl>
      <w:tblPr>
        <w:tblW w:w="1791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950"/>
      </w:tblGrid>
      <w:tr>
        <w:trPr/>
        <w:tc>
          <w:tcPr>
            <w:tcW w:w="84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Format</w:t>
            </w:r>
          </w:p>
        </w:tc>
        <w:tc>
          <w:tcPr>
            <w:tcW w:w="95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Rouleau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60 x 40</w:t>
            </w:r>
          </w:p>
        </w:tc>
        <w:tc>
          <w:tcPr>
            <w:tcW w:w="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R-12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Aide : </w:t>
      </w:r>
      <w:hyperlink r:id="rId2">
        <w:r>
          <w:rPr>
            <w:rStyle w:val="Hyperlink"/>
          </w:rPr>
          <w:t>notice du fabricant</w:t>
        </w:r>
      </w:hyperlink>
      <w:r>
        <w:rPr/>
        <w:t xml:space="preserve"> — </w:t>
      </w:r>
      <w:r>
        <w:rPr>
          <w:strike/>
        </w:rPr>
        <w:t>ancienne méthode</w:t>
      </w:r>
    </w:p>
    <w:p>
      <w:pPr>
        <w:pStyle w:val="BodyText"/>
        <w:bidi w:val="0"/>
        <w:spacing w:before="0" w:after="283"/>
        <w:jc w:val="left"/>
        <w:rPr/>
      </w:pPr>
      <w:r>
        <w:rPr/>
        <w:drawing>
          <wp:inline distT="0" distB="0" distL="0" distR="0">
            <wp:extent cx="381000" cy="190500"/>
            <wp:effectExtent l="0" t="0" r="0" b="0"/>
            <wp:docPr id="1" name="Image1" descr="sché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chéma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resdenotedefin">
    <w:name w:val="Caractères de note de fin"/>
    <w:qFormat/>
    <w:rPr/>
  </w:style>
  <w:style w:type="character" w:styleId="Caractresdenotedebasdepage">
    <w:name w:val="Caractères de note de bas de page"/>
    <w:qFormat/>
    <w:rPr/>
  </w:style>
  <w:style w:type="character" w:styleId="Hyperlink">
    <w:name w:val="Hyperlink"/>
    <w:rPr>
      <w:color w:val="000080"/>
      <w:u w:val="single"/>
    </w:rPr>
  </w:style>
  <w:style w:type="character" w:styleId="Caractresdenumrotation">
    <w:name w:val="Caractères de numérotation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Lignehorizontale">
    <w:name w:val="Ligne horizontal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udetableau">
    <w:name w:val="Contenu de tableau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itre">
    <w:name w:val="Titre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emple.fr/aide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