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Audit complet du notebook BUPA_benchmark.ipynb</w:t>
      </w:r>
    </w:p>
    <w:p>
      <w:pPr>
        <w:pStyle w:val="Subtitle"/>
        <w:jc w:val="center"/>
      </w:pPr>
      <w:r>
        <w:t>Revue technique, méthodologique et opérationnelle du pipeline FHIR -&gt; notes cliniques -&gt; reconstruction -&gt; benchmark</w:t>
      </w:r>
    </w:p>
    <w:p/>
    <w:tbl>
      <w:tblPr>
        <w:tblStyle w:val="TableGrid"/>
        <w:tblW w:type="auto" w:w="0"/>
        <w:jc w:val="center"/>
        <w:tblLayout w:type="fixed"/>
        <w:tblLook w:firstColumn="1" w:firstRow="1" w:lastColumn="0" w:lastRow="0" w:noHBand="0" w:noVBand="1" w:val="04A0"/>
      </w:tblPr>
      <w:tblGrid>
        <w:gridCol w:w="4873"/>
        <w:gridCol w:w="4873"/>
      </w:tblGrid>
      <w:tr>
        <w:tc>
          <w:tcPr>
            <w:tcW w:type="dxa" w:w="2381"/>
            <w:vAlign w:val="center"/>
            <w:shd w:fill="5B9BD5"/>
          </w:tcPr>
          <w:p>
            <w:r/>
            <w:r>
              <w:rPr>
                <w:rFonts w:ascii="Aptos" w:hAnsi="Aptos"/>
                <w:b/>
                <w:color w:val="FFFFFF"/>
                <w:sz w:val="20"/>
              </w:rPr>
              <w:t>Champ</w:t>
            </w:r>
          </w:p>
        </w:tc>
        <w:tc>
          <w:tcPr>
            <w:tcW w:type="dxa" w:w="6236"/>
            <w:vAlign w:val="center"/>
            <w:shd w:fill="5B9BD5"/>
          </w:tcPr>
          <w:p>
            <w:r/>
            <w:r>
              <w:rPr>
                <w:rFonts w:ascii="Aptos" w:hAnsi="Aptos"/>
                <w:b/>
                <w:color w:val="FFFFFF"/>
                <w:sz w:val="20"/>
              </w:rPr>
              <w:t>Valeur</w:t>
            </w:r>
          </w:p>
        </w:tc>
      </w:tr>
      <w:tr>
        <w:tc>
          <w:tcPr>
            <w:tcW w:type="dxa" w:w="2381"/>
            <w:vAlign w:val="center"/>
          </w:tcPr>
          <w:p>
            <w:r/>
            <w:r>
              <w:rPr>
                <w:rFonts w:ascii="Aptos" w:hAnsi="Aptos"/>
                <w:b w:val="0"/>
                <w:sz w:val="18"/>
              </w:rPr>
              <w:t>Notebook audité</w:t>
            </w:r>
          </w:p>
        </w:tc>
        <w:tc>
          <w:tcPr>
            <w:tcW w:type="dxa" w:w="6236"/>
            <w:vAlign w:val="center"/>
          </w:tcPr>
          <w:p>
            <w:r/>
            <w:r>
              <w:rPr>
                <w:rFonts w:ascii="Aptos" w:hAnsi="Aptos"/>
                <w:b w:val="0"/>
                <w:sz w:val="18"/>
              </w:rPr>
              <w:t>BUPA_benchmark.ipynb</w:t>
            </w:r>
          </w:p>
        </w:tc>
      </w:tr>
      <w:tr>
        <w:tc>
          <w:tcPr>
            <w:tcW w:type="dxa" w:w="2381"/>
            <w:vAlign w:val="center"/>
          </w:tcPr>
          <w:p>
            <w:r/>
            <w:r>
              <w:rPr>
                <w:rFonts w:ascii="Aptos" w:hAnsi="Aptos"/>
                <w:b w:val="0"/>
                <w:sz w:val="18"/>
              </w:rPr>
              <w:t>Nature du livrable</w:t>
            </w:r>
          </w:p>
        </w:tc>
        <w:tc>
          <w:tcPr>
            <w:tcW w:type="dxa" w:w="6236"/>
            <w:vAlign w:val="center"/>
          </w:tcPr>
          <w:p>
            <w:r/>
            <w:r>
              <w:rPr>
                <w:rFonts w:ascii="Aptos" w:hAnsi="Aptos"/>
                <w:b w:val="0"/>
                <w:sz w:val="18"/>
              </w:rPr>
              <w:t>Audit technique indépendant du notebook</w:t>
            </w:r>
          </w:p>
        </w:tc>
      </w:tr>
      <w:tr>
        <w:tc>
          <w:tcPr>
            <w:tcW w:type="dxa" w:w="2381"/>
            <w:vAlign w:val="center"/>
          </w:tcPr>
          <w:p>
            <w:r/>
            <w:r>
              <w:rPr>
                <w:rFonts w:ascii="Aptos" w:hAnsi="Aptos"/>
                <w:b w:val="0"/>
                <w:sz w:val="18"/>
              </w:rPr>
              <w:t>Méthode</w:t>
            </w:r>
          </w:p>
        </w:tc>
        <w:tc>
          <w:tcPr>
            <w:tcW w:type="dxa" w:w="6236"/>
            <w:vAlign w:val="center"/>
          </w:tcPr>
          <w:p>
            <w:r/>
            <w:r>
              <w:rPr>
                <w:rFonts w:ascii="Aptos" w:hAnsi="Aptos"/>
                <w:b w:val="0"/>
                <w:sz w:val="18"/>
              </w:rPr>
              <w:t>Lecture structurée du code, de la configuration, des sections et des exports attendus</w:t>
            </w:r>
          </w:p>
        </w:tc>
      </w:tr>
      <w:tr>
        <w:tc>
          <w:tcPr>
            <w:tcW w:type="dxa" w:w="2381"/>
            <w:vAlign w:val="center"/>
          </w:tcPr>
          <w:p>
            <w:r/>
            <w:r>
              <w:rPr>
                <w:rFonts w:ascii="Aptos" w:hAnsi="Aptos"/>
                <w:b w:val="0"/>
                <w:sz w:val="18"/>
              </w:rPr>
              <w:t>Portée</w:t>
            </w:r>
          </w:p>
        </w:tc>
        <w:tc>
          <w:tcPr>
            <w:tcW w:type="dxa" w:w="6236"/>
            <w:vAlign w:val="center"/>
          </w:tcPr>
          <w:p>
            <w:r/>
            <w:r>
              <w:rPr>
                <w:rFonts w:ascii="Aptos" w:hAnsi="Aptos"/>
                <w:b w:val="0"/>
                <w:sz w:val="18"/>
              </w:rPr>
              <w:t>Architecture, robustesse, lisibilité, logique métier, scoring, vérification, taxonomie, exports, préparation benchmark</w:t>
            </w:r>
          </w:p>
        </w:tc>
      </w:tr>
      <w:tr>
        <w:tc>
          <w:tcPr>
            <w:tcW w:type="dxa" w:w="2381"/>
            <w:vAlign w:val="center"/>
          </w:tcPr>
          <w:p>
            <w:r/>
            <w:r>
              <w:rPr>
                <w:rFonts w:ascii="Aptos" w:hAnsi="Aptos"/>
                <w:b w:val="0"/>
                <w:sz w:val="18"/>
              </w:rPr>
              <w:t>Volume</w:t>
            </w:r>
          </w:p>
        </w:tc>
        <w:tc>
          <w:tcPr>
            <w:tcW w:type="dxa" w:w="6236"/>
            <w:vAlign w:val="center"/>
          </w:tcPr>
          <w:p>
            <w:r/>
            <w:r>
              <w:rPr>
                <w:rFonts w:ascii="Aptos" w:hAnsi="Aptos"/>
                <w:b w:val="0"/>
                <w:sz w:val="18"/>
              </w:rPr>
              <w:t>46 cellules, dont 20 cellules de code, environ 3421 lignes de code</w:t>
            </w:r>
          </w:p>
        </w:tc>
      </w:tr>
    </w:tbl>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Positionnement du document</w:t>
              <w:br/>
            </w:r>
            <w:r>
              <w:rPr>
                <w:sz w:val="20"/>
              </w:rPr>
              <w:t>Ce document n'est pas une exécution clinique du pipeline. Il s'agit d'un audit de code et de structure. Il évalue la qualité de l'implémentation, la cohérence méthodologique, les risques de benchmark, et les améliorations encore pertinentes avant ou après un run final.</w:t>
            </w:r>
          </w:p>
        </w:tc>
      </w:tr>
    </w:tbl>
    <w:p>
      <w:r>
        <w:br w:type="page"/>
      </w:r>
    </w:p>
    <w:p>
      <w:pPr>
        <w:pStyle w:val="Heading1"/>
      </w:pPr>
      <w:r>
        <w:t>Résumé exécutif</w:t>
      </w:r>
    </w:p>
    <w:p>
      <w:r>
        <w:t>Le notebook BUPA_benchmark.ipynb est un prototype avancé de benchmark appliqué. Il met en place une chaîne complète et crédible : téléchargement de données FHIR synthétiques, filtrage déterministe, filtre LLM ciblé, génération de plusieurs styles de notes, reconstruction structurée, scoring exact et sémantique, vérification LLM, taxonomie d'erreurs, synthèses globales et exports finaux.</w:t>
      </w:r>
    </w:p>
    <w:p>
      <w:r>
        <w:t>Sur le plan méthodologique, cette version est mature. Elle est largement supérieure à un simple notebook exploratoire. Elle fournit une base défendable pour un benchmark final, sous réserve de l'exécuter dans un environnement propre et de ne plus modifier les prompts, la configuration ou la logique juste avant le run.</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268"/>
            <w:vAlign w:val="center"/>
            <w:shd w:fill="5B9BD5"/>
          </w:tcPr>
          <w:p>
            <w:r/>
            <w:r>
              <w:rPr>
                <w:rFonts w:ascii="Aptos" w:hAnsi="Aptos"/>
                <w:b/>
                <w:color w:val="FFFFFF"/>
                <w:sz w:val="20"/>
              </w:rPr>
              <w:t>Dimension</w:t>
            </w:r>
          </w:p>
        </w:tc>
        <w:tc>
          <w:tcPr>
            <w:tcW w:type="dxa" w:w="1701"/>
            <w:vAlign w:val="center"/>
            <w:shd w:fill="5B9BD5"/>
          </w:tcPr>
          <w:p>
            <w:r/>
            <w:r>
              <w:rPr>
                <w:rFonts w:ascii="Aptos" w:hAnsi="Aptos"/>
                <w:b/>
                <w:color w:val="FFFFFF"/>
                <w:sz w:val="20"/>
              </w:rPr>
              <w:t>Appréciation</w:t>
            </w:r>
          </w:p>
        </w:tc>
        <w:tc>
          <w:tcPr>
            <w:tcW w:type="dxa" w:w="4535"/>
            <w:vAlign w:val="center"/>
            <w:shd w:fill="5B9BD5"/>
          </w:tcPr>
          <w:p>
            <w:r/>
            <w:r>
              <w:rPr>
                <w:rFonts w:ascii="Aptos" w:hAnsi="Aptos"/>
                <w:b/>
                <w:color w:val="FFFFFF"/>
                <w:sz w:val="20"/>
              </w:rPr>
              <w:t>Commentaire</w:t>
            </w:r>
          </w:p>
        </w:tc>
      </w:tr>
      <w:tr>
        <w:tc>
          <w:tcPr>
            <w:tcW w:type="dxa" w:w="2268"/>
            <w:vAlign w:val="center"/>
          </w:tcPr>
          <w:p>
            <w:r/>
            <w:r>
              <w:rPr>
                <w:rFonts w:ascii="Aptos" w:hAnsi="Aptos"/>
                <w:b w:val="0"/>
                <w:sz w:val="18"/>
              </w:rPr>
              <w:t>Problem fit</w:t>
            </w:r>
          </w:p>
        </w:tc>
        <w:tc>
          <w:tcPr>
            <w:tcW w:type="dxa" w:w="1701"/>
            <w:vAlign w:val="center"/>
          </w:tcPr>
          <w:p>
            <w:r/>
            <w:r>
              <w:rPr>
                <w:rFonts w:ascii="Aptos" w:hAnsi="Aptos"/>
                <w:b w:val="0"/>
                <w:sz w:val="18"/>
              </w:rPr>
              <w:t>Very good</w:t>
            </w:r>
          </w:p>
        </w:tc>
        <w:tc>
          <w:tcPr>
            <w:tcW w:type="dxa" w:w="4535"/>
            <w:vAlign w:val="center"/>
          </w:tcPr>
          <w:p>
            <w:r/>
            <w:r>
              <w:rPr>
                <w:rFonts w:ascii="Aptos" w:hAnsi="Aptos"/>
                <w:b w:val="0"/>
                <w:sz w:val="18"/>
              </w:rPr>
              <w:t>The notebook matches the intended FHIR -&gt; note -&gt; reconstruction -&gt; evaluation workflow.</w:t>
            </w:r>
          </w:p>
        </w:tc>
      </w:tr>
      <w:tr>
        <w:tc>
          <w:tcPr>
            <w:tcW w:type="dxa" w:w="2268"/>
            <w:vAlign w:val="center"/>
          </w:tcPr>
          <w:p>
            <w:r/>
            <w:r>
              <w:rPr>
                <w:rFonts w:ascii="Aptos" w:hAnsi="Aptos"/>
                <w:b w:val="0"/>
                <w:sz w:val="18"/>
              </w:rPr>
              <w:t>Clarity and pedagogy</w:t>
            </w:r>
          </w:p>
        </w:tc>
        <w:tc>
          <w:tcPr>
            <w:tcW w:type="dxa" w:w="1701"/>
            <w:vAlign w:val="center"/>
          </w:tcPr>
          <w:p>
            <w:r/>
            <w:r>
              <w:rPr>
                <w:rFonts w:ascii="Aptos" w:hAnsi="Aptos"/>
                <w:b w:val="0"/>
                <w:sz w:val="18"/>
              </w:rPr>
              <w:t>Very good</w:t>
            </w:r>
          </w:p>
        </w:tc>
        <w:tc>
          <w:tcPr>
            <w:tcW w:type="dxa" w:w="4535"/>
            <w:vAlign w:val="center"/>
          </w:tcPr>
          <w:p>
            <w:r/>
            <w:r>
              <w:rPr>
                <w:rFonts w:ascii="Aptos" w:hAnsi="Aptos"/>
                <w:b w:val="0"/>
                <w:sz w:val="18"/>
              </w:rPr>
              <w:t>The notebook uses many markdown sections, readable names, and explicit datasets.</w:t>
            </w:r>
          </w:p>
        </w:tc>
      </w:tr>
      <w:tr>
        <w:tc>
          <w:tcPr>
            <w:tcW w:type="dxa" w:w="2268"/>
            <w:vAlign w:val="center"/>
          </w:tcPr>
          <w:p>
            <w:r/>
            <w:r>
              <w:rPr>
                <w:rFonts w:ascii="Aptos" w:hAnsi="Aptos"/>
                <w:b w:val="0"/>
                <w:sz w:val="18"/>
              </w:rPr>
              <w:t>Methodological maturity</w:t>
            </w:r>
          </w:p>
        </w:tc>
        <w:tc>
          <w:tcPr>
            <w:tcW w:type="dxa" w:w="1701"/>
            <w:vAlign w:val="center"/>
          </w:tcPr>
          <w:p>
            <w:r/>
            <w:r>
              <w:rPr>
                <w:rFonts w:ascii="Aptos" w:hAnsi="Aptos"/>
                <w:b w:val="0"/>
                <w:sz w:val="18"/>
              </w:rPr>
              <w:t>Good</w:t>
            </w:r>
          </w:p>
        </w:tc>
        <w:tc>
          <w:tcPr>
            <w:tcW w:type="dxa" w:w="4535"/>
            <w:vAlign w:val="center"/>
          </w:tcPr>
          <w:p>
            <w:r/>
            <w:r>
              <w:rPr>
                <w:rFonts w:ascii="Aptos" w:hAnsi="Aptos"/>
                <w:b w:val="0"/>
                <w:sz w:val="18"/>
              </w:rPr>
              <w:t>It includes multiple note styles, official and secondary scoring, verification, and error taxonomy.</w:t>
            </w:r>
          </w:p>
        </w:tc>
      </w:tr>
      <w:tr>
        <w:tc>
          <w:tcPr>
            <w:tcW w:type="dxa" w:w="2268"/>
            <w:vAlign w:val="center"/>
          </w:tcPr>
          <w:p>
            <w:r/>
            <w:r>
              <w:rPr>
                <w:rFonts w:ascii="Aptos" w:hAnsi="Aptos"/>
                <w:b w:val="0"/>
                <w:sz w:val="18"/>
              </w:rPr>
              <w:t>Robustness</w:t>
            </w:r>
          </w:p>
        </w:tc>
        <w:tc>
          <w:tcPr>
            <w:tcW w:type="dxa" w:w="1701"/>
            <w:vAlign w:val="center"/>
          </w:tcPr>
          <w:p>
            <w:r/>
            <w:r>
              <w:rPr>
                <w:rFonts w:ascii="Aptos" w:hAnsi="Aptos"/>
                <w:b w:val="0"/>
                <w:sz w:val="18"/>
              </w:rPr>
              <w:t>Good but not production-grade</w:t>
            </w:r>
          </w:p>
        </w:tc>
        <w:tc>
          <w:tcPr>
            <w:tcW w:type="dxa" w:w="4535"/>
            <w:vAlign w:val="center"/>
          </w:tcPr>
          <w:p>
            <w:r/>
            <w:r>
              <w:rPr>
                <w:rFonts w:ascii="Aptos" w:hAnsi="Aptos"/>
                <w:b w:val="0"/>
                <w:sz w:val="18"/>
              </w:rPr>
              <w:t>Several safety nets exist, but the pipeline still depends on runtime state, model behavior, and cache discipline.</w:t>
            </w:r>
          </w:p>
        </w:tc>
      </w:tr>
      <w:tr>
        <w:tc>
          <w:tcPr>
            <w:tcW w:type="dxa" w:w="2268"/>
            <w:vAlign w:val="center"/>
          </w:tcPr>
          <w:p>
            <w:r/>
            <w:r>
              <w:rPr>
                <w:rFonts w:ascii="Aptos" w:hAnsi="Aptos"/>
                <w:b w:val="0"/>
                <w:sz w:val="18"/>
              </w:rPr>
              <w:t>Maintainability</w:t>
            </w:r>
          </w:p>
        </w:tc>
        <w:tc>
          <w:tcPr>
            <w:tcW w:type="dxa" w:w="1701"/>
            <w:vAlign w:val="center"/>
          </w:tcPr>
          <w:p>
            <w:r/>
            <w:r>
              <w:rPr>
                <w:rFonts w:ascii="Aptos" w:hAnsi="Aptos"/>
                <w:b w:val="0"/>
                <w:sz w:val="18"/>
              </w:rPr>
              <w:t>Medium to good</w:t>
            </w:r>
          </w:p>
        </w:tc>
        <w:tc>
          <w:tcPr>
            <w:tcW w:type="dxa" w:w="4535"/>
            <w:vAlign w:val="center"/>
          </w:tcPr>
          <w:p>
            <w:r/>
            <w:r>
              <w:rPr>
                <w:rFonts w:ascii="Aptos" w:hAnsi="Aptos"/>
                <w:b w:val="0"/>
                <w:sz w:val="18"/>
              </w:rPr>
              <w:t>Logic is organized, but the notebook remains large and still mixes orchestration with implementation.</w:t>
            </w:r>
          </w:p>
        </w:tc>
      </w:tr>
      <w:tr>
        <w:tc>
          <w:tcPr>
            <w:tcW w:type="dxa" w:w="2268"/>
            <w:vAlign w:val="center"/>
          </w:tcPr>
          <w:p>
            <w:r/>
            <w:r>
              <w:rPr>
                <w:rFonts w:ascii="Aptos" w:hAnsi="Aptos"/>
                <w:b w:val="0"/>
                <w:sz w:val="18"/>
              </w:rPr>
              <w:t>Benchmark readiness</w:t>
            </w:r>
          </w:p>
        </w:tc>
        <w:tc>
          <w:tcPr>
            <w:tcW w:type="dxa" w:w="1701"/>
            <w:vAlign w:val="center"/>
          </w:tcPr>
          <w:p>
            <w:r/>
            <w:r>
              <w:rPr>
                <w:rFonts w:ascii="Aptos" w:hAnsi="Aptos"/>
                <w:b w:val="0"/>
                <w:sz w:val="18"/>
              </w:rPr>
              <w:t>Good</w:t>
            </w:r>
          </w:p>
        </w:tc>
        <w:tc>
          <w:tcPr>
            <w:tcW w:type="dxa" w:w="4535"/>
            <w:vAlign w:val="center"/>
          </w:tcPr>
          <w:p>
            <w:r/>
            <w:r>
              <w:rPr>
                <w:rFonts w:ascii="Aptos" w:hAnsi="Aptos"/>
                <w:b w:val="0"/>
                <w:sz w:val="18"/>
              </w:rPr>
              <w:t>This version is suitable for a final benchmark if run from a clean state and monitored carefully.</w:t>
            </w:r>
          </w:p>
        </w:tc>
      </w:tr>
    </w:tbl>
    <w:p>
      <w:pPr>
        <w:pStyle w:val="Heading1"/>
      </w:pPr>
      <w:r>
        <w:t>1. Méthodologie d'audit</w:t>
      </w:r>
    </w:p>
    <w:p>
      <w:r>
        <w:t>L'audit repose sur une lecture structurée du notebook, de sa configuration, de ses principales fonctions, de sa logique de sortie et de la cohérence entre calculs, affichages et exports. Il ne prétend pas mesurer la qualité médicale intrinsèque du modèle ; il juge la qualité du cadre expérimental et du code qui l'organise.</w:t>
      </w:r>
    </w:p>
    <w:p>
      <w:pPr>
        <w:pStyle w:val="ListBullet"/>
      </w:pPr>
      <w:r>
        <w:t>Analyse de la structure globale du notebook et de la séparation des responsabilités.</w:t>
      </w:r>
    </w:p>
    <w:p>
      <w:pPr>
        <w:pStyle w:val="ListBullet"/>
      </w:pPr>
      <w:r>
        <w:t>Examen des étapes critiques : filtrage, génération, reconstruction, scoring, vérification, taxonomie, score summaries, export final.</w:t>
      </w:r>
    </w:p>
    <w:p>
      <w:pPr>
        <w:pStyle w:val="ListBullet"/>
      </w:pPr>
      <w:r>
        <w:t>Analyse des choix de configuration qui impactent le benchmark final.</w:t>
      </w:r>
    </w:p>
    <w:p>
      <w:pPr>
        <w:pStyle w:val="ListBullet"/>
      </w:pPr>
      <w:r>
        <w:t>Lecture des forces, faiblesses, risques et ajustements encore utiles.</w:t>
      </w:r>
    </w:p>
    <w:p>
      <w:pPr>
        <w:pStyle w:val="Heading1"/>
      </w:pPr>
      <w:r>
        <w:t>2. Carte d'identité technique du notebook</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494"/>
            <w:vAlign w:val="center"/>
            <w:shd w:fill="5B9BD5"/>
          </w:tcPr>
          <w:p>
            <w:r/>
            <w:r>
              <w:rPr>
                <w:rFonts w:ascii="Aptos" w:hAnsi="Aptos"/>
                <w:b/>
                <w:color w:val="FFFFFF"/>
                <w:sz w:val="20"/>
              </w:rPr>
              <w:t>Paramètre</w:t>
            </w:r>
          </w:p>
        </w:tc>
        <w:tc>
          <w:tcPr>
            <w:tcW w:type="dxa" w:w="1587"/>
            <w:vAlign w:val="center"/>
            <w:shd w:fill="5B9BD5"/>
          </w:tcPr>
          <w:p>
            <w:r/>
            <w:r>
              <w:rPr>
                <w:rFonts w:ascii="Aptos" w:hAnsi="Aptos"/>
                <w:b/>
                <w:color w:val="FFFFFF"/>
                <w:sz w:val="20"/>
              </w:rPr>
              <w:t>Valeur</w:t>
            </w:r>
          </w:p>
        </w:tc>
        <w:tc>
          <w:tcPr>
            <w:tcW w:type="dxa" w:w="4422"/>
            <w:vAlign w:val="center"/>
            <w:shd w:fill="5B9BD5"/>
          </w:tcPr>
          <w:p>
            <w:r/>
            <w:r>
              <w:rPr>
                <w:rFonts w:ascii="Aptos" w:hAnsi="Aptos"/>
                <w:b/>
                <w:color w:val="FFFFFF"/>
                <w:sz w:val="20"/>
              </w:rPr>
              <w:t>Pourquoi c'est important</w:t>
            </w:r>
          </w:p>
        </w:tc>
      </w:tr>
      <w:tr>
        <w:tc>
          <w:tcPr>
            <w:tcW w:type="dxa" w:w="2494"/>
            <w:vAlign w:val="center"/>
          </w:tcPr>
          <w:p>
            <w:r/>
            <w:r>
              <w:rPr>
                <w:rFonts w:ascii="Aptos" w:hAnsi="Aptos"/>
                <w:b w:val="0"/>
                <w:sz w:val="18"/>
              </w:rPr>
              <w:t>Model</w:t>
            </w:r>
          </w:p>
        </w:tc>
        <w:tc>
          <w:tcPr>
            <w:tcW w:type="dxa" w:w="1587"/>
            <w:vAlign w:val="center"/>
          </w:tcPr>
          <w:p>
            <w:r/>
            <w:r>
              <w:rPr>
                <w:rFonts w:ascii="Aptos" w:hAnsi="Aptos"/>
                <w:b w:val="0"/>
                <w:sz w:val="18"/>
              </w:rPr>
              <w:t>google/medgemma-4b-it</w:t>
            </w:r>
          </w:p>
        </w:tc>
        <w:tc>
          <w:tcPr>
            <w:tcW w:type="dxa" w:w="4422"/>
            <w:vAlign w:val="center"/>
          </w:tcPr>
          <w:p>
            <w:r/>
            <w:r>
              <w:rPr>
                <w:rFonts w:ascii="Aptos" w:hAnsi="Aptos"/>
                <w:b w:val="0"/>
                <w:sz w:val="18"/>
              </w:rPr>
              <w:t>Main shared model used for filtering, generation, reconstruction, scoring, and verification.</w:t>
            </w:r>
          </w:p>
        </w:tc>
      </w:tr>
      <w:tr>
        <w:tc>
          <w:tcPr>
            <w:tcW w:type="dxa" w:w="2494"/>
            <w:vAlign w:val="center"/>
          </w:tcPr>
          <w:p>
            <w:r/>
            <w:r>
              <w:rPr>
                <w:rFonts w:ascii="Aptos" w:hAnsi="Aptos"/>
                <w:b w:val="0"/>
                <w:sz w:val="18"/>
              </w:rPr>
              <w:t>Benchmark sample size</w:t>
            </w:r>
          </w:p>
        </w:tc>
        <w:tc>
          <w:tcPr>
            <w:tcW w:type="dxa" w:w="1587"/>
            <w:vAlign w:val="center"/>
          </w:tcPr>
          <w:p>
            <w:r/>
            <w:r>
              <w:rPr>
                <w:rFonts w:ascii="Aptos" w:hAnsi="Aptos"/>
                <w:b w:val="0"/>
                <w:sz w:val="18"/>
              </w:rPr>
              <w:t>40</w:t>
            </w:r>
          </w:p>
        </w:tc>
        <w:tc>
          <w:tcPr>
            <w:tcW w:type="dxa" w:w="4422"/>
            <w:vAlign w:val="center"/>
          </w:tcPr>
          <w:p>
            <w:r/>
            <w:r>
              <w:rPr>
                <w:rFonts w:ascii="Aptos" w:hAnsi="Aptos"/>
                <w:b w:val="0"/>
                <w:sz w:val="18"/>
              </w:rPr>
              <w:t>Number of patients selected for the benchmark run in this notebook version.</w:t>
            </w:r>
          </w:p>
        </w:tc>
      </w:tr>
      <w:tr>
        <w:tc>
          <w:tcPr>
            <w:tcW w:type="dxa" w:w="2494"/>
            <w:vAlign w:val="center"/>
          </w:tcPr>
          <w:p>
            <w:r/>
            <w:r>
              <w:rPr>
                <w:rFonts w:ascii="Aptos" w:hAnsi="Aptos"/>
                <w:b w:val="0"/>
                <w:sz w:val="18"/>
              </w:rPr>
              <w:t>Random seed</w:t>
            </w:r>
          </w:p>
        </w:tc>
        <w:tc>
          <w:tcPr>
            <w:tcW w:type="dxa" w:w="1587"/>
            <w:vAlign w:val="center"/>
          </w:tcPr>
          <w:p>
            <w:r/>
            <w:r>
              <w:rPr>
                <w:rFonts w:ascii="Aptos" w:hAnsi="Aptos"/>
                <w:b w:val="0"/>
                <w:sz w:val="18"/>
              </w:rPr>
              <w:t>150</w:t>
            </w:r>
          </w:p>
        </w:tc>
        <w:tc>
          <w:tcPr>
            <w:tcW w:type="dxa" w:w="4422"/>
            <w:vAlign w:val="center"/>
          </w:tcPr>
          <w:p>
            <w:r/>
            <w:r>
              <w:rPr>
                <w:rFonts w:ascii="Aptos" w:hAnsi="Aptos"/>
                <w:b w:val="0"/>
                <w:sz w:val="18"/>
              </w:rPr>
              <w:t>Keeps patient sampling and style allocation reproducible.</w:t>
            </w:r>
          </w:p>
        </w:tc>
      </w:tr>
      <w:tr>
        <w:tc>
          <w:tcPr>
            <w:tcW w:type="dxa" w:w="2494"/>
            <w:vAlign w:val="center"/>
          </w:tcPr>
          <w:p>
            <w:r/>
            <w:r>
              <w:rPr>
                <w:rFonts w:ascii="Aptos" w:hAnsi="Aptos"/>
                <w:b w:val="0"/>
                <w:sz w:val="18"/>
              </w:rPr>
              <w:t>Preview size</w:t>
            </w:r>
          </w:p>
        </w:tc>
        <w:tc>
          <w:tcPr>
            <w:tcW w:type="dxa" w:w="1587"/>
            <w:vAlign w:val="center"/>
          </w:tcPr>
          <w:p>
            <w:r/>
            <w:r>
              <w:rPr>
                <w:rFonts w:ascii="Aptos" w:hAnsi="Aptos"/>
                <w:b w:val="0"/>
                <w:sz w:val="18"/>
              </w:rPr>
              <w:t>6</w:t>
            </w:r>
          </w:p>
        </w:tc>
        <w:tc>
          <w:tcPr>
            <w:tcW w:type="dxa" w:w="4422"/>
            <w:vAlign w:val="center"/>
          </w:tcPr>
          <w:p>
            <w:r/>
            <w:r>
              <w:rPr>
                <w:rFonts w:ascii="Aptos" w:hAnsi="Aptos"/>
                <w:b w:val="0"/>
                <w:sz w:val="18"/>
              </w:rPr>
              <w:t>Number of items shown in preview columns.</w:t>
            </w:r>
          </w:p>
        </w:tc>
      </w:tr>
      <w:tr>
        <w:tc>
          <w:tcPr>
            <w:tcW w:type="dxa" w:w="2494"/>
            <w:vAlign w:val="center"/>
          </w:tcPr>
          <w:p>
            <w:r/>
            <w:r>
              <w:rPr>
                <w:rFonts w:ascii="Aptos" w:hAnsi="Aptos"/>
                <w:b w:val="0"/>
                <w:sz w:val="18"/>
              </w:rPr>
              <w:t>Prefilter max conditions</w:t>
            </w:r>
          </w:p>
        </w:tc>
        <w:tc>
          <w:tcPr>
            <w:tcW w:type="dxa" w:w="1587"/>
            <w:vAlign w:val="center"/>
          </w:tcPr>
          <w:p>
            <w:r/>
            <w:r>
              <w:rPr>
                <w:rFonts w:ascii="Aptos" w:hAnsi="Aptos"/>
                <w:b w:val="0"/>
                <w:sz w:val="18"/>
              </w:rPr>
              <w:t>80</w:t>
            </w:r>
          </w:p>
        </w:tc>
        <w:tc>
          <w:tcPr>
            <w:tcW w:type="dxa" w:w="4422"/>
            <w:vAlign w:val="center"/>
          </w:tcPr>
          <w:p>
            <w:r/>
            <w:r>
              <w:rPr>
                <w:rFonts w:ascii="Aptos" w:hAnsi="Aptos"/>
                <w:b w:val="0"/>
                <w:sz w:val="18"/>
              </w:rPr>
              <w:t>Upper bound on raw candidate conditions before final pruning.</w:t>
            </w:r>
          </w:p>
        </w:tc>
      </w:tr>
      <w:tr>
        <w:tc>
          <w:tcPr>
            <w:tcW w:type="dxa" w:w="2494"/>
            <w:vAlign w:val="center"/>
          </w:tcPr>
          <w:p>
            <w:r/>
            <w:r>
              <w:rPr>
                <w:rFonts w:ascii="Aptos" w:hAnsi="Aptos"/>
                <w:b w:val="0"/>
                <w:sz w:val="18"/>
              </w:rPr>
              <w:t>Prefilter max medications</w:t>
            </w:r>
          </w:p>
        </w:tc>
        <w:tc>
          <w:tcPr>
            <w:tcW w:type="dxa" w:w="1587"/>
            <w:vAlign w:val="center"/>
          </w:tcPr>
          <w:p>
            <w:r/>
            <w:r>
              <w:rPr>
                <w:rFonts w:ascii="Aptos" w:hAnsi="Aptos"/>
                <w:b w:val="0"/>
                <w:sz w:val="18"/>
              </w:rPr>
              <w:t>40</w:t>
            </w:r>
          </w:p>
        </w:tc>
        <w:tc>
          <w:tcPr>
            <w:tcW w:type="dxa" w:w="4422"/>
            <w:vAlign w:val="center"/>
          </w:tcPr>
          <w:p>
            <w:r/>
            <w:r>
              <w:rPr>
                <w:rFonts w:ascii="Aptos" w:hAnsi="Aptos"/>
                <w:b w:val="0"/>
                <w:sz w:val="18"/>
              </w:rPr>
              <w:t>Upper bound on medication candidates before final pruning.</w:t>
            </w:r>
          </w:p>
        </w:tc>
      </w:tr>
      <w:tr>
        <w:tc>
          <w:tcPr>
            <w:tcW w:type="dxa" w:w="2494"/>
            <w:vAlign w:val="center"/>
          </w:tcPr>
          <w:p>
            <w:r/>
            <w:r>
              <w:rPr>
                <w:rFonts w:ascii="Aptos" w:hAnsi="Aptos"/>
                <w:b w:val="0"/>
                <w:sz w:val="18"/>
              </w:rPr>
              <w:t>Final max conditions</w:t>
            </w:r>
          </w:p>
        </w:tc>
        <w:tc>
          <w:tcPr>
            <w:tcW w:type="dxa" w:w="1587"/>
            <w:vAlign w:val="center"/>
          </w:tcPr>
          <w:p>
            <w:r/>
            <w:r>
              <w:rPr>
                <w:rFonts w:ascii="Aptos" w:hAnsi="Aptos"/>
                <w:b w:val="0"/>
                <w:sz w:val="18"/>
              </w:rPr>
              <w:t>12</w:t>
            </w:r>
          </w:p>
        </w:tc>
        <w:tc>
          <w:tcPr>
            <w:tcW w:type="dxa" w:w="4422"/>
            <w:vAlign w:val="center"/>
          </w:tcPr>
          <w:p>
            <w:r/>
            <w:r>
              <w:rPr>
                <w:rFonts w:ascii="Aptos" w:hAnsi="Aptos"/>
                <w:b w:val="0"/>
                <w:sz w:val="18"/>
              </w:rPr>
              <w:t>Number of conditions retained per patient after filtering.</w:t>
            </w:r>
          </w:p>
        </w:tc>
      </w:tr>
      <w:tr>
        <w:tc>
          <w:tcPr>
            <w:tcW w:type="dxa" w:w="2494"/>
            <w:vAlign w:val="center"/>
          </w:tcPr>
          <w:p>
            <w:r/>
            <w:r>
              <w:rPr>
                <w:rFonts w:ascii="Aptos" w:hAnsi="Aptos"/>
                <w:b w:val="0"/>
                <w:sz w:val="18"/>
              </w:rPr>
              <w:t>Final max medications</w:t>
            </w:r>
          </w:p>
        </w:tc>
        <w:tc>
          <w:tcPr>
            <w:tcW w:type="dxa" w:w="1587"/>
            <w:vAlign w:val="center"/>
          </w:tcPr>
          <w:p>
            <w:r/>
            <w:r>
              <w:rPr>
                <w:rFonts w:ascii="Aptos" w:hAnsi="Aptos"/>
                <w:b w:val="0"/>
                <w:sz w:val="18"/>
              </w:rPr>
              <w:t>12</w:t>
            </w:r>
          </w:p>
        </w:tc>
        <w:tc>
          <w:tcPr>
            <w:tcW w:type="dxa" w:w="4422"/>
            <w:vAlign w:val="center"/>
          </w:tcPr>
          <w:p>
            <w:r/>
            <w:r>
              <w:rPr>
                <w:rFonts w:ascii="Aptos" w:hAnsi="Aptos"/>
                <w:b w:val="0"/>
                <w:sz w:val="18"/>
              </w:rPr>
              <w:t>Number of medication requests retained per patient.</w:t>
            </w:r>
          </w:p>
        </w:tc>
      </w:tr>
      <w:tr>
        <w:tc>
          <w:tcPr>
            <w:tcW w:type="dxa" w:w="2494"/>
            <w:vAlign w:val="center"/>
          </w:tcPr>
          <w:p>
            <w:r/>
            <w:r>
              <w:rPr>
                <w:rFonts w:ascii="Aptos" w:hAnsi="Aptos"/>
                <w:b w:val="0"/>
                <w:sz w:val="18"/>
              </w:rPr>
              <w:t>Note generation tokens</w:t>
            </w:r>
          </w:p>
        </w:tc>
        <w:tc>
          <w:tcPr>
            <w:tcW w:type="dxa" w:w="1587"/>
            <w:vAlign w:val="center"/>
          </w:tcPr>
          <w:p>
            <w:r/>
            <w:r>
              <w:rPr>
                <w:rFonts w:ascii="Aptos" w:hAnsi="Aptos"/>
                <w:b w:val="0"/>
                <w:sz w:val="18"/>
              </w:rPr>
              <w:t>320</w:t>
            </w:r>
          </w:p>
        </w:tc>
        <w:tc>
          <w:tcPr>
            <w:tcW w:type="dxa" w:w="4422"/>
            <w:vAlign w:val="center"/>
          </w:tcPr>
          <w:p>
            <w:r/>
            <w:r>
              <w:rPr>
                <w:rFonts w:ascii="Aptos" w:hAnsi="Aptos"/>
                <w:b w:val="0"/>
                <w:sz w:val="18"/>
              </w:rPr>
              <w:t>Generation budget for free-text note creation.</w:t>
            </w:r>
          </w:p>
        </w:tc>
      </w:tr>
      <w:tr>
        <w:tc>
          <w:tcPr>
            <w:tcW w:type="dxa" w:w="2494"/>
            <w:vAlign w:val="center"/>
          </w:tcPr>
          <w:p>
            <w:r/>
            <w:r>
              <w:rPr>
                <w:rFonts w:ascii="Aptos" w:hAnsi="Aptos"/>
                <w:b w:val="0"/>
                <w:sz w:val="18"/>
              </w:rPr>
              <w:t>Reconstruction extraction tokens</w:t>
            </w:r>
          </w:p>
        </w:tc>
        <w:tc>
          <w:tcPr>
            <w:tcW w:type="dxa" w:w="1587"/>
            <w:vAlign w:val="center"/>
          </w:tcPr>
          <w:p>
            <w:r/>
            <w:r>
              <w:rPr>
                <w:rFonts w:ascii="Aptos" w:hAnsi="Aptos"/>
                <w:b w:val="0"/>
                <w:sz w:val="18"/>
              </w:rPr>
              <w:t>220</w:t>
            </w:r>
          </w:p>
        </w:tc>
        <w:tc>
          <w:tcPr>
            <w:tcW w:type="dxa" w:w="4422"/>
            <w:vAlign w:val="center"/>
          </w:tcPr>
          <w:p>
            <w:r/>
            <w:r>
              <w:rPr>
                <w:rFonts w:ascii="Aptos" w:hAnsi="Aptos"/>
                <w:b w:val="0"/>
                <w:sz w:val="18"/>
              </w:rPr>
              <w:t>Budget for JSON extraction from notes.</w:t>
            </w:r>
          </w:p>
        </w:tc>
      </w:tr>
      <w:tr>
        <w:tc>
          <w:tcPr>
            <w:tcW w:type="dxa" w:w="2494"/>
            <w:vAlign w:val="center"/>
          </w:tcPr>
          <w:p>
            <w:r/>
            <w:r>
              <w:rPr>
                <w:rFonts w:ascii="Aptos" w:hAnsi="Aptos"/>
                <w:b w:val="0"/>
                <w:sz w:val="18"/>
              </w:rPr>
              <w:t>Semantic match tokens</w:t>
            </w:r>
          </w:p>
        </w:tc>
        <w:tc>
          <w:tcPr>
            <w:tcW w:type="dxa" w:w="1587"/>
            <w:vAlign w:val="center"/>
          </w:tcPr>
          <w:p>
            <w:r/>
            <w:r>
              <w:rPr>
                <w:rFonts w:ascii="Aptos" w:hAnsi="Aptos"/>
                <w:b w:val="0"/>
                <w:sz w:val="18"/>
              </w:rPr>
              <w:t>96</w:t>
            </w:r>
          </w:p>
        </w:tc>
        <w:tc>
          <w:tcPr>
            <w:tcW w:type="dxa" w:w="4422"/>
            <w:vAlign w:val="center"/>
          </w:tcPr>
          <w:p>
            <w:r/>
            <w:r>
              <w:rPr>
                <w:rFonts w:ascii="Aptos" w:hAnsi="Aptos"/>
                <w:b w:val="0"/>
                <w:sz w:val="18"/>
              </w:rPr>
              <w:t>Budget for small semantic matching judgments.</w:t>
            </w:r>
          </w:p>
        </w:tc>
      </w:tr>
      <w:tr>
        <w:tc>
          <w:tcPr>
            <w:tcW w:type="dxa" w:w="2494"/>
            <w:vAlign w:val="center"/>
          </w:tcPr>
          <w:p>
            <w:r/>
            <w:r>
              <w:rPr>
                <w:rFonts w:ascii="Aptos" w:hAnsi="Aptos"/>
                <w:b w:val="0"/>
                <w:sz w:val="18"/>
              </w:rPr>
              <w:t>Verification tokens</w:t>
            </w:r>
          </w:p>
        </w:tc>
        <w:tc>
          <w:tcPr>
            <w:tcW w:type="dxa" w:w="1587"/>
            <w:vAlign w:val="center"/>
          </w:tcPr>
          <w:p>
            <w:r/>
            <w:r>
              <w:rPr>
                <w:rFonts w:ascii="Aptos" w:hAnsi="Aptos"/>
                <w:b w:val="0"/>
                <w:sz w:val="18"/>
              </w:rPr>
              <w:t>256</w:t>
            </w:r>
          </w:p>
        </w:tc>
        <w:tc>
          <w:tcPr>
            <w:tcW w:type="dxa" w:w="4422"/>
            <w:vAlign w:val="center"/>
          </w:tcPr>
          <w:p>
            <w:r/>
            <w:r>
              <w:rPr>
                <w:rFonts w:ascii="Aptos" w:hAnsi="Aptos"/>
                <w:b w:val="0"/>
                <w:sz w:val="18"/>
              </w:rPr>
              <w:t>Budget for the final LLM verification layer.</w:t>
            </w:r>
          </w:p>
        </w:tc>
      </w:tr>
    </w:tbl>
    <w:p>
      <w:pPr>
        <w:pStyle w:val="Heading1"/>
      </w:pPr>
      <w:r>
        <w:t>3. Architecture générale du pipeline</w:t>
      </w:r>
    </w:p>
    <w:p>
      <w:r>
        <w:t>Le notebook suit une architecture séquentielle, mais lisible. Chaque grande étape construit des fichiers intermédiaires sur disque, ce qui améliore la traçabilité et le debug. Cette décision est très forte : en cas de problème, l'utilisateur peut inspecter le gold, les notes, la reconstruction, les scores et la vérification sans devoir raisonner uniquement sur des objets mémoire.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268"/>
            <w:vAlign w:val="center"/>
            <w:shd w:fill="5B9BD5"/>
          </w:tcPr>
          <w:p>
            <w:r/>
            <w:r>
              <w:rPr>
                <w:rFonts w:ascii="Aptos" w:hAnsi="Aptos"/>
                <w:b/>
                <w:color w:val="FFFFFF"/>
                <w:sz w:val="20"/>
              </w:rPr>
              <w:t>Bloc</w:t>
            </w:r>
          </w:p>
        </w:tc>
        <w:tc>
          <w:tcPr>
            <w:tcW w:type="dxa" w:w="5102"/>
            <w:vAlign w:val="center"/>
            <w:shd w:fill="5B9BD5"/>
          </w:tcPr>
          <w:p>
            <w:r/>
            <w:r>
              <w:rPr>
                <w:rFonts w:ascii="Aptos" w:hAnsi="Aptos"/>
                <w:b/>
                <w:color w:val="FFFFFF"/>
                <w:sz w:val="20"/>
              </w:rPr>
              <w:t>Rôle</w:t>
            </w:r>
          </w:p>
        </w:tc>
        <w:tc>
          <w:tcPr>
            <w:tcW w:type="dxa" w:w="2268"/>
            <w:vAlign w:val="center"/>
            <w:shd w:fill="5B9BD5"/>
          </w:tcPr>
          <w:p>
            <w:r/>
            <w:r>
              <w:rPr>
                <w:rFonts w:ascii="Aptos" w:hAnsi="Aptos"/>
                <w:b/>
                <w:color w:val="FFFFFF"/>
                <w:sz w:val="20"/>
              </w:rPr>
              <w:t>Appréciation audit</w:t>
            </w:r>
          </w:p>
        </w:tc>
      </w:tr>
      <w:tr>
        <w:tc>
          <w:tcPr>
            <w:tcW w:type="dxa" w:w="2268"/>
            <w:vAlign w:val="center"/>
          </w:tcPr>
          <w:p>
            <w:r/>
            <w:r>
              <w:rPr>
                <w:rFonts w:ascii="Aptos" w:hAnsi="Aptos"/>
                <w:b w:val="0"/>
                <w:sz w:val="17"/>
              </w:rPr>
              <w:t>0. Preparation and environment</w:t>
            </w:r>
          </w:p>
        </w:tc>
        <w:tc>
          <w:tcPr>
            <w:tcW w:type="dxa" w:w="5102"/>
            <w:vAlign w:val="center"/>
          </w:tcPr>
          <w:p>
            <w:r/>
            <w:r>
              <w:rPr>
                <w:rFonts w:ascii="Aptos" w:hAnsi="Aptos"/>
                <w:b w:val="0"/>
                <w:sz w:val="17"/>
              </w:rPr>
              <w:t>Cells 1 to 7 prepare the runtime, install dependencies, authenticate Hugging Face when needed, define directories, and centralize all major configuration values.</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1. Readability guide</w:t>
            </w:r>
          </w:p>
        </w:tc>
        <w:tc>
          <w:tcPr>
            <w:tcW w:type="dxa" w:w="5102"/>
            <w:vAlign w:val="center"/>
          </w:tcPr>
          <w:p>
            <w:r/>
            <w:r>
              <w:rPr>
                <w:rFonts w:ascii="Aptos" w:hAnsi="Aptos"/>
                <w:b w:val="0"/>
                <w:sz w:val="17"/>
              </w:rPr>
              <w:t>Cells 8 to 9 explain the notebook structure and introduce the local Synthea download phase.</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2. Download and extraction of Synthea</w:t>
            </w:r>
          </w:p>
        </w:tc>
        <w:tc>
          <w:tcPr>
            <w:tcW w:type="dxa" w:w="5102"/>
            <w:vAlign w:val="center"/>
          </w:tcPr>
          <w:p>
            <w:r/>
            <w:r>
              <w:rPr>
                <w:rFonts w:ascii="Aptos" w:hAnsi="Aptos"/>
                <w:b w:val="0"/>
                <w:sz w:val="17"/>
              </w:rPr>
              <w:t>Cell 10 downloads the synthetic FHIR dataset, handles fallback URLs, and extracts the archive locally.</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3. Deterministic prefiltering</w:t>
            </w:r>
          </w:p>
        </w:tc>
        <w:tc>
          <w:tcPr>
            <w:tcW w:type="dxa" w:w="5102"/>
            <w:vAlign w:val="center"/>
          </w:tcPr>
          <w:p>
            <w:r/>
            <w:r>
              <w:rPr>
                <w:rFonts w:ascii="Aptos" w:hAnsi="Aptos"/>
                <w:b w:val="0"/>
                <w:sz w:val="17"/>
              </w:rPr>
              <w:t>Cells 11 to 17 define helper functions, filter noisy FHIR content in a single pass, and build an index of filtered patients.</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4. Gold source construction</w:t>
            </w:r>
          </w:p>
        </w:tc>
        <w:tc>
          <w:tcPr>
            <w:tcW w:type="dxa" w:w="5102"/>
            <w:vAlign w:val="center"/>
          </w:tcPr>
          <w:p>
            <w:r/>
            <w:r>
              <w:rPr>
                <w:rFonts w:ascii="Aptos" w:hAnsi="Aptos"/>
                <w:b w:val="0"/>
                <w:sz w:val="17"/>
              </w:rPr>
              <w:t>Cells 18 to 27 build the structured source of truth that will be turned into notes. This includes patient extraction, sample selection, model loading, and an LLM filter on condition candidates.</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5. Note generation</w:t>
            </w:r>
          </w:p>
        </w:tc>
        <w:tc>
          <w:tcPr>
            <w:tcW w:type="dxa" w:w="5102"/>
            <w:vAlign w:val="center"/>
          </w:tcPr>
          <w:p>
            <w:r/>
            <w:r>
              <w:rPr>
                <w:rFonts w:ascii="Aptos" w:hAnsi="Aptos"/>
                <w:b w:val="0"/>
                <w:sz w:val="17"/>
              </w:rPr>
              <w:t>Cells 28 to 29 generate multiple styles of unstructured clinical notes, keep raw and clean versions, and save the note datasets.</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6. Reconstruction</w:t>
            </w:r>
          </w:p>
        </w:tc>
        <w:tc>
          <w:tcPr>
            <w:tcW w:type="dxa" w:w="5102"/>
            <w:vAlign w:val="center"/>
          </w:tcPr>
          <w:p>
            <w:r/>
            <w:r>
              <w:rPr>
                <w:rFonts w:ascii="Aptos" w:hAnsi="Aptos"/>
                <w:b w:val="0"/>
                <w:sz w:val="17"/>
              </w:rPr>
              <w:t>Cells 30 to 31 convert note_text back into structured JSON, then clean and store the reconstruction outputs.</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7. Scoring</w:t>
            </w:r>
          </w:p>
        </w:tc>
        <w:tc>
          <w:tcPr>
            <w:tcW w:type="dxa" w:w="5102"/>
            <w:vAlign w:val="center"/>
          </w:tcPr>
          <w:p>
            <w:r/>
            <w:r>
              <w:rPr>
                <w:rFonts w:ascii="Aptos" w:hAnsi="Aptos"/>
                <w:b w:val="0"/>
                <w:sz w:val="17"/>
              </w:rPr>
              <w:t>Cells 32 to 33 compute official note-vs-recon metrics, secondary source-vs-recon metrics, exact and semantic metrics, and score tables by patient.</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8. Verification</w:t>
            </w:r>
          </w:p>
        </w:tc>
        <w:tc>
          <w:tcPr>
            <w:tcW w:type="dxa" w:w="5102"/>
            <w:vAlign w:val="center"/>
          </w:tcPr>
          <w:p>
            <w:r/>
            <w:r>
              <w:rPr>
                <w:rFonts w:ascii="Aptos" w:hAnsi="Aptos"/>
                <w:b w:val="0"/>
                <w:sz w:val="17"/>
              </w:rPr>
              <w:t>Cells 34 to 35 run an additional LLM review layer that judges whether the reconstructed data is consistent with the note.</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9. Error analysis and summaries</w:t>
            </w:r>
          </w:p>
        </w:tc>
        <w:tc>
          <w:tcPr>
            <w:tcW w:type="dxa" w:w="5102"/>
            <w:vAlign w:val="center"/>
          </w:tcPr>
          <w:p>
            <w:r/>
            <w:r>
              <w:rPr>
                <w:rFonts w:ascii="Aptos" w:hAnsi="Aptos"/>
                <w:b w:val="0"/>
                <w:sz w:val="17"/>
              </w:rPr>
              <w:t>Cells 36 to 39 classify errors, summarize score distributions overall and by note style, and build hard-case tables.</w:t>
            </w:r>
          </w:p>
        </w:tc>
        <w:tc>
          <w:tcPr>
            <w:tcW w:type="dxa" w:w="2268"/>
            <w:vAlign w:val="center"/>
          </w:tcPr>
          <w:p>
            <w:r/>
            <w:r>
              <w:rPr>
                <w:rFonts w:ascii="Aptos" w:hAnsi="Aptos"/>
                <w:b w:val="0"/>
                <w:sz w:val="17"/>
              </w:rPr>
              <w:t>Cohérent et bien justifié</w:t>
            </w:r>
          </w:p>
        </w:tc>
      </w:tr>
      <w:tr>
        <w:tc>
          <w:tcPr>
            <w:tcW w:type="dxa" w:w="2268"/>
            <w:vAlign w:val="center"/>
          </w:tcPr>
          <w:p>
            <w:r/>
            <w:r>
              <w:rPr>
                <w:rFonts w:ascii="Aptos" w:hAnsi="Aptos"/>
                <w:b w:val="0"/>
                <w:sz w:val="17"/>
              </w:rPr>
              <w:t>10. Output control and final export</w:t>
            </w:r>
          </w:p>
        </w:tc>
        <w:tc>
          <w:tcPr>
            <w:tcW w:type="dxa" w:w="5102"/>
            <w:vAlign w:val="center"/>
          </w:tcPr>
          <w:p>
            <w:r/>
            <w:r>
              <w:rPr>
                <w:rFonts w:ascii="Aptos" w:hAnsi="Aptos"/>
                <w:b w:val="0"/>
                <w:sz w:val="17"/>
              </w:rPr>
              <w:t>Cells 40 to 45 document produced files, optionally clear previous benchmark outputs, and rebuild all final datasets from cache for export.</w:t>
            </w:r>
          </w:p>
        </w:tc>
        <w:tc>
          <w:tcPr>
            <w:tcW w:type="dxa" w:w="2268"/>
            <w:vAlign w:val="center"/>
          </w:tcPr>
          <w:p>
            <w:r/>
            <w:r>
              <w:rPr>
                <w:rFonts w:ascii="Aptos" w:hAnsi="Aptos"/>
                <w:b w:val="0"/>
                <w:sz w:val="17"/>
              </w:rPr>
              <w:t>Cohérent et bien justifié</w:t>
            </w:r>
          </w:p>
        </w:tc>
      </w:tr>
    </w:tbl>
    <w:p>
      <w:pPr>
        <w:pStyle w:val="Heading1"/>
      </w:pPr>
      <w:r>
        <w:t>4. Forces majeures</w:t>
      </w:r>
    </w:p>
    <w:tbl>
      <w:tblPr>
        <w:tblStyle w:val="TableGrid"/>
        <w:tblW w:type="auto" w:w="0"/>
        <w:jc w:val="center"/>
        <w:tblLayout w:type="fixed"/>
        <w:tblLook w:firstColumn="1" w:firstRow="1" w:lastColumn="0" w:lastRow="0" w:noHBand="0" w:noVBand="1" w:val="04A0"/>
      </w:tblPr>
      <w:tblGrid>
        <w:gridCol w:w="4873"/>
        <w:gridCol w:w="4873"/>
      </w:tblGrid>
      <w:tr>
        <w:tc>
          <w:tcPr>
            <w:tcW w:type="dxa" w:w="2948"/>
            <w:vAlign w:val="center"/>
            <w:shd w:fill="5B9BD5"/>
          </w:tcPr>
          <w:p>
            <w:r/>
            <w:r>
              <w:rPr>
                <w:rFonts w:ascii="Aptos" w:hAnsi="Aptos"/>
                <w:b/>
                <w:color w:val="FFFFFF"/>
                <w:sz w:val="20"/>
              </w:rPr>
              <w:t>Point fort</w:t>
            </w:r>
          </w:p>
        </w:tc>
        <w:tc>
          <w:tcPr>
            <w:tcW w:type="dxa" w:w="6236"/>
            <w:vAlign w:val="center"/>
            <w:shd w:fill="5B9BD5"/>
          </w:tcPr>
          <w:p>
            <w:r/>
            <w:r>
              <w:rPr>
                <w:rFonts w:ascii="Aptos" w:hAnsi="Aptos"/>
                <w:b/>
                <w:color w:val="FFFFFF"/>
                <w:sz w:val="20"/>
              </w:rPr>
              <w:t>Pourquoi c'est important</w:t>
            </w:r>
          </w:p>
        </w:tc>
      </w:tr>
      <w:tr>
        <w:tc>
          <w:tcPr>
            <w:tcW w:type="dxa" w:w="2948"/>
            <w:vAlign w:val="center"/>
          </w:tcPr>
          <w:p>
            <w:r/>
            <w:r>
              <w:rPr>
                <w:rFonts w:ascii="Aptos" w:hAnsi="Aptos"/>
                <w:b w:val="0"/>
                <w:sz w:val="18"/>
              </w:rPr>
              <w:t>Structured naming</w:t>
            </w:r>
          </w:p>
        </w:tc>
        <w:tc>
          <w:tcPr>
            <w:tcW w:type="dxa" w:w="6236"/>
            <w:vAlign w:val="center"/>
          </w:tcPr>
          <w:p>
            <w:r/>
            <w:r>
              <w:rPr>
                <w:rFonts w:ascii="Aptos" w:hAnsi="Aptos"/>
                <w:b w:val="0"/>
                <w:sz w:val="18"/>
              </w:rPr>
              <w:t>The notebook distinguishes gold source, note text, reconstruction, verification, taxonomy, and score summaries.</w:t>
            </w:r>
          </w:p>
        </w:tc>
      </w:tr>
      <w:tr>
        <w:tc>
          <w:tcPr>
            <w:tcW w:type="dxa" w:w="2948"/>
            <w:vAlign w:val="center"/>
          </w:tcPr>
          <w:p>
            <w:r/>
            <w:r>
              <w:rPr>
                <w:rFonts w:ascii="Aptos" w:hAnsi="Aptos"/>
                <w:b w:val="0"/>
                <w:sz w:val="18"/>
              </w:rPr>
              <w:t>Multi-layer evaluation</w:t>
            </w:r>
          </w:p>
        </w:tc>
        <w:tc>
          <w:tcPr>
            <w:tcW w:type="dxa" w:w="6236"/>
            <w:vAlign w:val="center"/>
          </w:tcPr>
          <w:p>
            <w:r/>
            <w:r>
              <w:rPr>
                <w:rFonts w:ascii="Aptos" w:hAnsi="Aptos"/>
                <w:b w:val="0"/>
                <w:sz w:val="18"/>
              </w:rPr>
              <w:t>It does not rely on a single metric; it combines exact, semantic, verification, taxonomy, and style-based summaries.</w:t>
            </w:r>
          </w:p>
        </w:tc>
      </w:tr>
      <w:tr>
        <w:tc>
          <w:tcPr>
            <w:tcW w:type="dxa" w:w="2948"/>
            <w:vAlign w:val="center"/>
          </w:tcPr>
          <w:p>
            <w:r/>
            <w:r>
              <w:rPr>
                <w:rFonts w:ascii="Aptos" w:hAnsi="Aptos"/>
                <w:b w:val="0"/>
                <w:sz w:val="18"/>
              </w:rPr>
              <w:t>Debug visibility</w:t>
            </w:r>
          </w:p>
        </w:tc>
        <w:tc>
          <w:tcPr>
            <w:tcW w:type="dxa" w:w="6236"/>
            <w:vAlign w:val="center"/>
          </w:tcPr>
          <w:p>
            <w:r/>
            <w:r>
              <w:rPr>
                <w:rFonts w:ascii="Aptos" w:hAnsi="Aptos"/>
                <w:b w:val="0"/>
                <w:sz w:val="18"/>
              </w:rPr>
              <w:t>Raw notes, cleaned notes, raw reconstruction, clean reconstruction, and per-style hard cases are all available.</w:t>
            </w:r>
          </w:p>
        </w:tc>
      </w:tr>
      <w:tr>
        <w:tc>
          <w:tcPr>
            <w:tcW w:type="dxa" w:w="2948"/>
            <w:vAlign w:val="center"/>
          </w:tcPr>
          <w:p>
            <w:r/>
            <w:r>
              <w:rPr>
                <w:rFonts w:ascii="Aptos" w:hAnsi="Aptos"/>
                <w:b w:val="0"/>
                <w:sz w:val="18"/>
              </w:rPr>
              <w:t>Controlled variability</w:t>
            </w:r>
          </w:p>
        </w:tc>
        <w:tc>
          <w:tcPr>
            <w:tcW w:type="dxa" w:w="6236"/>
            <w:vAlign w:val="center"/>
          </w:tcPr>
          <w:p>
            <w:r/>
            <w:r>
              <w:rPr>
                <w:rFonts w:ascii="Aptos" w:hAnsi="Aptos"/>
                <w:b w:val="0"/>
                <w:sz w:val="18"/>
              </w:rPr>
              <w:t>Note style variation is explicit and balanced rather than purely random.</w:t>
            </w:r>
          </w:p>
        </w:tc>
      </w:tr>
      <w:tr>
        <w:tc>
          <w:tcPr>
            <w:tcW w:type="dxa" w:w="2948"/>
            <w:vAlign w:val="center"/>
          </w:tcPr>
          <w:p>
            <w:r/>
            <w:r>
              <w:rPr>
                <w:rFonts w:ascii="Aptos" w:hAnsi="Aptos"/>
                <w:b w:val="0"/>
                <w:sz w:val="18"/>
              </w:rPr>
              <w:t>Benchmark safeguards</w:t>
            </w:r>
          </w:p>
        </w:tc>
        <w:tc>
          <w:tcPr>
            <w:tcW w:type="dxa" w:w="6236"/>
            <w:vAlign w:val="center"/>
          </w:tcPr>
          <w:p>
            <w:r/>
            <w:r>
              <w:rPr>
                <w:rFonts w:ascii="Aptos" w:hAnsi="Aptos"/>
                <w:b w:val="0"/>
                <w:sz w:val="18"/>
              </w:rPr>
              <w:t>The notebook now includes a safe clean-up cell and final export review.</w:t>
            </w:r>
          </w:p>
        </w:tc>
      </w:tr>
    </w:tbl>
    <w:p>
      <w:pPr>
        <w:pStyle w:val="Heading1"/>
      </w:pPr>
      <w:r>
        <w:t>5. Risques et points de vigilance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1020"/>
            <w:vAlign w:val="center"/>
            <w:shd w:fill="5B9BD5"/>
          </w:tcPr>
          <w:p>
            <w:r/>
            <w:r>
              <w:rPr>
                <w:rFonts w:ascii="Aptos" w:hAnsi="Aptos"/>
                <w:b/>
                <w:color w:val="FFFFFF"/>
                <w:sz w:val="20"/>
              </w:rPr>
              <w:t>Priorité</w:t>
            </w:r>
          </w:p>
        </w:tc>
        <w:tc>
          <w:tcPr>
            <w:tcW w:type="dxa" w:w="2835"/>
            <w:vAlign w:val="center"/>
            <w:shd w:fill="5B9BD5"/>
          </w:tcPr>
          <w:p>
            <w:r/>
            <w:r>
              <w:rPr>
                <w:rFonts w:ascii="Aptos" w:hAnsi="Aptos"/>
                <w:b/>
                <w:color w:val="FFFFFF"/>
                <w:sz w:val="20"/>
              </w:rPr>
              <w:t>Constat</w:t>
            </w:r>
          </w:p>
        </w:tc>
        <w:tc>
          <w:tcPr>
            <w:tcW w:type="dxa" w:w="2608"/>
            <w:vAlign w:val="center"/>
            <w:shd w:fill="5B9BD5"/>
          </w:tcPr>
          <w:p>
            <w:r/>
            <w:r>
              <w:rPr>
                <w:rFonts w:ascii="Aptos" w:hAnsi="Aptos"/>
                <w:b/>
                <w:color w:val="FFFFFF"/>
                <w:sz w:val="20"/>
              </w:rPr>
              <w:t>Impact</w:t>
            </w:r>
          </w:p>
        </w:tc>
        <w:tc>
          <w:tcPr>
            <w:tcW w:type="dxa" w:w="2721"/>
            <w:vAlign w:val="center"/>
            <w:shd w:fill="5B9BD5"/>
          </w:tcPr>
          <w:p>
            <w:r/>
            <w:r>
              <w:rPr>
                <w:rFonts w:ascii="Aptos" w:hAnsi="Aptos"/>
                <w:b/>
                <w:color w:val="FFFFFF"/>
                <w:sz w:val="20"/>
              </w:rPr>
              <w:t>Réponse recommandée</w:t>
            </w:r>
          </w:p>
        </w:tc>
      </w:tr>
      <w:tr>
        <w:tc>
          <w:tcPr>
            <w:tcW w:type="dxa" w:w="1020"/>
            <w:vAlign w:val="center"/>
          </w:tcPr>
          <w:p>
            <w:r/>
            <w:r>
              <w:rPr>
                <w:rFonts w:ascii="Aptos" w:hAnsi="Aptos"/>
                <w:b w:val="0"/>
                <w:sz w:val="17"/>
              </w:rPr>
              <w:t>High</w:t>
            </w:r>
          </w:p>
        </w:tc>
        <w:tc>
          <w:tcPr>
            <w:tcW w:type="dxa" w:w="2835"/>
            <w:vAlign w:val="center"/>
          </w:tcPr>
          <w:p>
            <w:r/>
            <w:r>
              <w:rPr>
                <w:rFonts w:ascii="Aptos" w:hAnsi="Aptos"/>
                <w:b w:val="0"/>
                <w:sz w:val="17"/>
              </w:rPr>
              <w:t>Long runtime and expensive end-to-end execution</w:t>
            </w:r>
          </w:p>
        </w:tc>
        <w:tc>
          <w:tcPr>
            <w:tcW w:type="dxa" w:w="2608"/>
            <w:vAlign w:val="center"/>
          </w:tcPr>
          <w:p>
            <w:r/>
            <w:r>
              <w:rPr>
                <w:rFonts w:ascii="Aptos" w:hAnsi="Aptos"/>
                <w:b w:val="0"/>
                <w:sz w:val="17"/>
              </w:rPr>
              <w:t>A failed long run wastes time and compute.</w:t>
            </w:r>
          </w:p>
        </w:tc>
        <w:tc>
          <w:tcPr>
            <w:tcW w:type="dxa" w:w="2721"/>
            <w:vAlign w:val="center"/>
          </w:tcPr>
          <w:p>
            <w:r/>
            <w:r>
              <w:rPr>
                <w:rFonts w:ascii="Aptos" w:hAnsi="Aptos"/>
                <w:b w:val="0"/>
                <w:sz w:val="17"/>
              </w:rPr>
              <w:t>Always use the reset-output cell before the final run and monitor the environment.</w:t>
            </w:r>
          </w:p>
        </w:tc>
      </w:tr>
      <w:tr>
        <w:tc>
          <w:tcPr>
            <w:tcW w:type="dxa" w:w="1020"/>
            <w:vAlign w:val="center"/>
          </w:tcPr>
          <w:p>
            <w:r/>
            <w:r>
              <w:rPr>
                <w:rFonts w:ascii="Aptos" w:hAnsi="Aptos"/>
                <w:b w:val="0"/>
                <w:sz w:val="17"/>
              </w:rPr>
              <w:t>High</w:t>
            </w:r>
          </w:p>
        </w:tc>
        <w:tc>
          <w:tcPr>
            <w:tcW w:type="dxa" w:w="2835"/>
            <w:vAlign w:val="center"/>
          </w:tcPr>
          <w:p>
            <w:r/>
            <w:r>
              <w:rPr>
                <w:rFonts w:ascii="Aptos" w:hAnsi="Aptos"/>
                <w:b w:val="0"/>
                <w:sz w:val="17"/>
              </w:rPr>
              <w:t>Dependence on LLM behavior</w:t>
            </w:r>
          </w:p>
        </w:tc>
        <w:tc>
          <w:tcPr>
            <w:tcW w:type="dxa" w:w="2608"/>
            <w:vAlign w:val="center"/>
          </w:tcPr>
          <w:p>
            <w:r/>
            <w:r>
              <w:rPr>
                <w:rFonts w:ascii="Aptos" w:hAnsi="Aptos"/>
                <w:b w:val="0"/>
                <w:sz w:val="17"/>
              </w:rPr>
              <w:t>Model drift or unstable generations can change results.</w:t>
            </w:r>
          </w:p>
        </w:tc>
        <w:tc>
          <w:tcPr>
            <w:tcW w:type="dxa" w:w="2721"/>
            <w:vAlign w:val="center"/>
          </w:tcPr>
          <w:p>
            <w:r/>
            <w:r>
              <w:rPr>
                <w:rFonts w:ascii="Aptos" w:hAnsi="Aptos"/>
                <w:b w:val="0"/>
                <w:sz w:val="17"/>
              </w:rPr>
              <w:t>Keep model, prompts, and config frozen during benchmark execution.</w:t>
            </w:r>
          </w:p>
        </w:tc>
      </w:tr>
      <w:tr>
        <w:tc>
          <w:tcPr>
            <w:tcW w:type="dxa" w:w="1020"/>
            <w:vAlign w:val="center"/>
          </w:tcPr>
          <w:p>
            <w:r/>
            <w:r>
              <w:rPr>
                <w:rFonts w:ascii="Aptos" w:hAnsi="Aptos"/>
                <w:b w:val="0"/>
                <w:sz w:val="17"/>
              </w:rPr>
              <w:t>Medium</w:t>
            </w:r>
          </w:p>
        </w:tc>
        <w:tc>
          <w:tcPr>
            <w:tcW w:type="dxa" w:w="2835"/>
            <w:vAlign w:val="center"/>
          </w:tcPr>
          <w:p>
            <w:r/>
            <w:r>
              <w:rPr>
                <w:rFonts w:ascii="Aptos" w:hAnsi="Aptos"/>
                <w:b w:val="0"/>
                <w:sz w:val="17"/>
              </w:rPr>
              <w:t>Notebook execution order matters</w:t>
            </w:r>
          </w:p>
        </w:tc>
        <w:tc>
          <w:tcPr>
            <w:tcW w:type="dxa" w:w="2608"/>
            <w:vAlign w:val="center"/>
          </w:tcPr>
          <w:p>
            <w:r/>
            <w:r>
              <w:rPr>
                <w:rFonts w:ascii="Aptos" w:hAnsi="Aptos"/>
                <w:b w:val="0"/>
                <w:sz w:val="17"/>
              </w:rPr>
              <w:t>Re-running cells out of order may leave stale in-memory objects or caches.</w:t>
            </w:r>
          </w:p>
        </w:tc>
        <w:tc>
          <w:tcPr>
            <w:tcW w:type="dxa" w:w="2721"/>
            <w:vAlign w:val="center"/>
          </w:tcPr>
          <w:p>
            <w:r/>
            <w:r>
              <w:rPr>
                <w:rFonts w:ascii="Aptos" w:hAnsi="Aptos"/>
                <w:b w:val="0"/>
                <w:sz w:val="17"/>
              </w:rPr>
              <w:t>Run the final benchmark top-to-bottom in a fresh session.</w:t>
            </w:r>
          </w:p>
        </w:tc>
      </w:tr>
      <w:tr>
        <w:tc>
          <w:tcPr>
            <w:tcW w:type="dxa" w:w="1020"/>
            <w:vAlign w:val="center"/>
          </w:tcPr>
          <w:p>
            <w:r/>
            <w:r>
              <w:rPr>
                <w:rFonts w:ascii="Aptos" w:hAnsi="Aptos"/>
                <w:b w:val="0"/>
                <w:sz w:val="17"/>
              </w:rPr>
              <w:t>Medium</w:t>
            </w:r>
          </w:p>
        </w:tc>
        <w:tc>
          <w:tcPr>
            <w:tcW w:type="dxa" w:w="2835"/>
            <w:vAlign w:val="center"/>
          </w:tcPr>
          <w:p>
            <w:r/>
            <w:r>
              <w:rPr>
                <w:rFonts w:ascii="Aptos" w:hAnsi="Aptos"/>
                <w:b w:val="0"/>
                <w:sz w:val="17"/>
              </w:rPr>
              <w:t>Note cleaning heuristics are model-specific</w:t>
            </w:r>
          </w:p>
        </w:tc>
        <w:tc>
          <w:tcPr>
            <w:tcW w:type="dxa" w:w="2608"/>
            <w:vAlign w:val="center"/>
          </w:tcPr>
          <w:p>
            <w:r/>
            <w:r>
              <w:rPr>
                <w:rFonts w:ascii="Aptos" w:hAnsi="Aptos"/>
                <w:b w:val="0"/>
                <w:sz w:val="17"/>
              </w:rPr>
              <w:t>New output artifacts may bypass or confuse cleaning rules.</w:t>
            </w:r>
          </w:p>
        </w:tc>
        <w:tc>
          <w:tcPr>
            <w:tcW w:type="dxa" w:w="2721"/>
            <w:vAlign w:val="center"/>
          </w:tcPr>
          <w:p>
            <w:r/>
            <w:r>
              <w:rPr>
                <w:rFonts w:ascii="Aptos" w:hAnsi="Aptos"/>
                <w:b w:val="0"/>
                <w:sz w:val="17"/>
              </w:rPr>
              <w:t>Keep a small debug run available to test note cleaning after any prompt change.</w:t>
            </w:r>
          </w:p>
        </w:tc>
      </w:tr>
      <w:tr>
        <w:tc>
          <w:tcPr>
            <w:tcW w:type="dxa" w:w="1020"/>
            <w:vAlign w:val="center"/>
          </w:tcPr>
          <w:p>
            <w:r/>
            <w:r>
              <w:rPr>
                <w:rFonts w:ascii="Aptos" w:hAnsi="Aptos"/>
                <w:b w:val="0"/>
                <w:sz w:val="17"/>
              </w:rPr>
              <w:t>Medium</w:t>
            </w:r>
          </w:p>
        </w:tc>
        <w:tc>
          <w:tcPr>
            <w:tcW w:type="dxa" w:w="2835"/>
            <w:vAlign w:val="center"/>
          </w:tcPr>
          <w:p>
            <w:r/>
            <w:r>
              <w:rPr>
                <w:rFonts w:ascii="Aptos" w:hAnsi="Aptos"/>
                <w:b w:val="0"/>
                <w:sz w:val="17"/>
              </w:rPr>
              <w:t>Cache contamination across experiments</w:t>
            </w:r>
          </w:p>
        </w:tc>
        <w:tc>
          <w:tcPr>
            <w:tcW w:type="dxa" w:w="2608"/>
            <w:vAlign w:val="center"/>
          </w:tcPr>
          <w:p>
            <w:r/>
            <w:r>
              <w:rPr>
                <w:rFonts w:ascii="Aptos" w:hAnsi="Aptos"/>
                <w:b w:val="0"/>
                <w:sz w:val="17"/>
              </w:rPr>
              <w:t>Old score or verification files can pollute exports.</w:t>
            </w:r>
          </w:p>
        </w:tc>
        <w:tc>
          <w:tcPr>
            <w:tcW w:type="dxa" w:w="2721"/>
            <w:vAlign w:val="center"/>
          </w:tcPr>
          <w:p>
            <w:r/>
            <w:r>
              <w:rPr>
                <w:rFonts w:ascii="Aptos" w:hAnsi="Aptos"/>
                <w:b w:val="0"/>
                <w:sz w:val="17"/>
              </w:rPr>
              <w:t>Use the benchmark reset cell and verify exported row counts.</w:t>
            </w:r>
          </w:p>
        </w:tc>
      </w:tr>
      <w:tr>
        <w:tc>
          <w:tcPr>
            <w:tcW w:type="dxa" w:w="1020"/>
            <w:vAlign w:val="center"/>
          </w:tcPr>
          <w:p>
            <w:r/>
            <w:r>
              <w:rPr>
                <w:rFonts w:ascii="Aptos" w:hAnsi="Aptos"/>
                <w:b w:val="0"/>
                <w:sz w:val="17"/>
              </w:rPr>
              <w:t>Low</w:t>
            </w:r>
          </w:p>
        </w:tc>
        <w:tc>
          <w:tcPr>
            <w:tcW w:type="dxa" w:w="2835"/>
            <w:vAlign w:val="center"/>
          </w:tcPr>
          <w:p>
            <w:r/>
            <w:r>
              <w:rPr>
                <w:rFonts w:ascii="Aptos" w:hAnsi="Aptos"/>
                <w:b w:val="0"/>
                <w:sz w:val="17"/>
              </w:rPr>
              <w:t>Large export cell duplicates helper logic</w:t>
            </w:r>
          </w:p>
        </w:tc>
        <w:tc>
          <w:tcPr>
            <w:tcW w:type="dxa" w:w="2608"/>
            <w:vAlign w:val="center"/>
          </w:tcPr>
          <w:p>
            <w:r/>
            <w:r>
              <w:rPr>
                <w:rFonts w:ascii="Aptos" w:hAnsi="Aptos"/>
                <w:b w:val="0"/>
                <w:sz w:val="17"/>
              </w:rPr>
              <w:t>Readability is reduced.</w:t>
            </w:r>
          </w:p>
        </w:tc>
        <w:tc>
          <w:tcPr>
            <w:tcW w:type="dxa" w:w="2721"/>
            <w:vAlign w:val="center"/>
          </w:tcPr>
          <w:p>
            <w:r/>
            <w:r>
              <w:rPr>
                <w:rFonts w:ascii="Aptos" w:hAnsi="Aptos"/>
                <w:b w:val="0"/>
                <w:sz w:val="17"/>
              </w:rPr>
              <w:t>Acceptable for benchmark lock; modularization can happen later.</w:t>
            </w:r>
          </w:p>
        </w:tc>
      </w:tr>
    </w:tbl>
    <w:p>
      <w:pPr>
        <w:pStyle w:val="Heading1"/>
      </w:pPr>
      <w:r>
        <w:t>6. Audit détaillé par grande étape</w:t>
      </w:r>
    </w:p>
    <w:p>
      <w:pPr>
        <w:pStyle w:val="Heading2"/>
      </w:pPr>
      <w:r>
        <w:t>6.1 Préparation et configuration</w:t>
      </w:r>
    </w:p>
    <w:p>
      <w:r>
        <w:t>La préparation du runtime est classique mais utile. La cellule de reset et la cellule de configuration jouent un rôle critique pour la propreté du benchmark final. La centralisation des budgets max_new_tokens est une excellente évolution : elle rend la logique plus explicite et évite des différences de comportement difficiles à retracer. Du point de vue audit, cette partie est bonne. Elle n'est pas élégante comme un paquet Python de production, mais elle est très adaptée à un benchmark verrouillé.</w:t>
      </w:r>
    </w:p>
    <w:p>
      <w:pPr>
        <w:pStyle w:val="Heading2"/>
      </w:pPr>
      <w:r>
        <w:t>6.2 Téléchargement et préfiltrage</w:t>
      </w:r>
    </w:p>
    <w:p>
      <w:r>
        <w:t>Le préfiltrage est l'un des meilleurs blocs du notebook. Il retire tôt le bruit structurel et limite le rôle du LLM à ce qu'il fait le mieux : arbitrer les cas sémantiques plus ambigus. C'est une économie de coût et une bonne pratique méthodologique. Le risque principal est celui de toute règle déterministe : un filtre trop agressif peut supprimer des éléments valides. Ici, le second filtre LLM réduit ce risque.</w:t>
      </w:r>
    </w:p>
    <w:p>
      <w:pPr>
        <w:pStyle w:val="Heading2"/>
      </w:pPr>
      <w:r>
        <w:t>6.3 Construction du gold source</w:t>
      </w:r>
    </w:p>
    <w:p>
      <w:r>
        <w:t>La construction du gold source est cohérente. Elle joue le rôle de vérité de référence filtrée. C'est important de le rappeler : le gold n'est pas le dossier FHIR complet, mais la version du dossier que le pipeline choisit de retenir comme cible. Cette décision est pertinente tant qu'elle est assumée dans le protocole, ce qui est le cas.</w:t>
      </w:r>
    </w:p>
    <w:p>
      <w:pPr>
        <w:pStyle w:val="Heading2"/>
      </w:pPr>
      <w:r>
        <w:t>6.4 Couche LLM partagée</w:t>
      </w:r>
    </w:p>
    <w:p>
      <w:r>
        <w:t>Le fait de charger MedGemma une seule fois est essentiel. Cela réduit la complexité d'exécution, limite les rechargements inutiles et rend le notebook plus stable. Le wrapper MedGemma est simple, lisible et suffisamment pratique pour un notebook. En audit strict, cette partie est bonne, mais reste dépendante du comportement réel du modèle au moment du benchmark.</w:t>
      </w:r>
    </w:p>
    <w:p>
      <w:pPr>
        <w:pStyle w:val="Heading2"/>
      </w:pPr>
      <w:r>
        <w:t>6.5 Génération de notes</w:t>
      </w:r>
    </w:p>
    <w:p>
      <w:r>
        <w:t>La génération de plusieurs styles de notes est une vraie force. Le notebook ne benchmarke pas seulement une reconstruction sur une forme unique de note, mais sur plusieurs variations contrôlées. Le fait de garder un tronc commun de prompt et de ne faire varier que le style est méthodologiquement très bon. L'obligation d'inclure nom, date de naissance et genre change le protocole, mais ce choix a été rendu explicite et améliore la cohérence des métriques démographiques.</w:t>
      </w:r>
    </w:p>
    <w:p>
      <w:pPr>
        <w:pStyle w:val="Heading2"/>
      </w:pPr>
      <w:r>
        <w:t>6.6 Nettoyage des notes</w:t>
      </w:r>
    </w:p>
    <w:p>
      <w:r>
        <w:t>Le nettoyage des notes est nécessaire et bien pensé. Il protège le pipeline contre les artefacts du modèle : répétitions, wrappers, traces de pseudo-code, marqueurs du type Final Answer. C'est un bloc heuristique, donc fragile par nature, mais dans le contexte d'un benchmark verrouillé il est suffisant. Le bon usage consiste à ne plus toucher à ces règles avant le benchmark final.</w:t>
      </w:r>
    </w:p>
    <w:p>
      <w:pPr>
        <w:pStyle w:val="Heading2"/>
      </w:pPr>
      <w:r>
        <w:t>6.7 Reconstruction structurée</w:t>
      </w:r>
    </w:p>
    <w:p>
      <w:r>
        <w:t>La reconstruction est bien sécurisée : schéma attendu, tentative de réparation du JSON, post-traitement des listes, séparation entre reconstruction brute et reconstruction propre. L'un des meilleurs choix de conception du notebook est la distinction entre raw, clean et debug. Cette séparation permet de comprendre ce qui vient du modèle, ce qui est accepté par la pipeline, et ce qui sert réellement à l'évaluation.</w:t>
      </w:r>
    </w:p>
    <w:p>
      <w:pPr>
        <w:pStyle w:val="Heading2"/>
      </w:pPr>
      <w:r>
        <w:t>6.8 Scoring</w:t>
      </w:r>
    </w:p>
    <w:p>
      <w:r>
        <w:t>Le scoring est maintenant riche et méthodologiquement défendable. La décision de considérer note vs recon comme scoring officiel et source vs recon comme scoring secondaire est cohérente si l'objectif principal est la fidélité de la reconstruction par rapport au texte effectivement généré. L'ajout de precision, recall, F1, exact et sémantique, ainsi que des comptes TP/FP/FN, renforce beaucoup la lisibilité des résultats.</w:t>
      </w:r>
    </w:p>
    <w:p>
      <w:pPr>
        <w:pStyle w:val="Heading2"/>
      </w:pPr>
      <w:r>
        <w:t>6.9 Vérification LLM</w:t>
      </w:r>
    </w:p>
    <w:p>
      <w:r>
        <w:t>La chaîne de vérification est une bonne idée. Elle n'est pas là pour remplacer le scoring, mais pour introduire une couche supplémentaire de relecture. C'est utile pour repérer des cas où le score arithmétique semble acceptable mais où la reconstruction paraît tout de même douteuse. Dans un benchmark final, cette couche ajoute de la robustesse analytique.</w:t>
      </w:r>
    </w:p>
    <w:p>
      <w:pPr>
        <w:pStyle w:val="Heading2"/>
      </w:pPr>
      <w:r>
        <w:t>6.10 Taxonomie et hard cases</w:t>
      </w:r>
    </w:p>
    <w:p>
      <w:r>
        <w:t>La taxonomie d'erreurs est bien conçue pour interpréter les résultats. Elle ne remplace pas les métriques, elle répond à une autre question : pourquoi ça rate. Le couplage avec les hard cases par style de note est particulièrement utile pour une soutenance, car il aide à expliquer les difficultés du modèle de façon concrète.</w:t>
      </w:r>
    </w:p>
    <w:p>
      <w:pPr>
        <w:pStyle w:val="Heading2"/>
      </w:pPr>
      <w:r>
        <w:t>6.11 Score summaries et export final</w:t>
      </w:r>
    </w:p>
    <w:p>
      <w:r>
        <w:t>L'ajout d'un résumé global des scores et d'un résumé par note_style est une amélioration importante. Cela permet de disposer de fichiers de synthèse réutilisables dans un rapport, un tableau de bord ou des slides. L'export final est massif mais cohérent. Son principal défaut est d'être volumineux, pas d'être mal pensé.</w:t>
      </w:r>
    </w:p>
    <w:p>
      <w:pPr>
        <w:pStyle w:val="Heading1"/>
      </w:pPr>
      <w:r>
        <w:t>7. Verdict benchmark</w:t>
      </w:r>
    </w:p>
    <w:p>
      <w:r>
        <w:t>Sur revue ultra stricte du code et de la structure, cette version est prête pour un benchmark final unique. Le risque principal n'est plus un manque de fonctionnalités dans le notebook ; le risque principal devient l'exécution elle-même : stabilité de la session, disponibilité GPU, propreté des sorties, et discipline dans l'ordre d'exécution.</w:t>
      </w:r>
    </w:p>
    <w:tbl>
      <w:tblPr>
        <w:tblStyle w:val="TableGrid"/>
        <w:tblW w:type="auto" w:w="0"/>
        <w:jc w:val="center"/>
        <w:tblLook w:firstColumn="1" w:firstRow="1" w:lastColumn="0" w:lastRow="0" w:noHBand="0" w:noVBand="1" w:val="04A0"/>
      </w:tblPr>
      <w:tblGrid>
        <w:gridCol w:w="9746"/>
      </w:tblGrid>
      <w:tr>
        <w:tc>
          <w:tcPr>
            <w:tcW w:type="dxa" w:w="9746"/>
            <w:shd w:fill="EEF5FC"/>
          </w:tcPr>
          <w:p>
            <w:r>
              <w:rPr>
                <w:b/>
                <w:color w:val="1F4E79"/>
                <w:sz w:val="21"/>
              </w:rPr>
              <w:t>Décision d'audit</w:t>
              <w:br/>
            </w:r>
            <w:r>
              <w:rPr>
                <w:sz w:val="20"/>
              </w:rPr>
              <w:t>Go pour benchmark final, à condition de lancer le notebook dans un environnement propre, de déclencher la cellule de reset des sorties finales si nécessaire, et de ne plus modifier prompts, styles, seuils ou logique de scoring avant le run complet.</w:t>
            </w:r>
          </w:p>
        </w:tc>
      </w:tr>
    </w:tbl>
    <w:p>
      <w:pPr>
        <w:pStyle w:val="Heading1"/>
      </w:pPr>
      <w:r>
        <w:t>8. Recommandations résiduelles</w:t>
      </w:r>
    </w:p>
    <w:p>
      <w:pPr>
        <w:pStyle w:val="ListBullet"/>
      </w:pPr>
      <w:r>
        <w:t>Conserver cette version comme version gelée de benchmark et éviter tout changement de logique avant exécution.</w:t>
      </w:r>
    </w:p>
    <w:p>
      <w:pPr>
        <w:pStyle w:val="ListBullet"/>
      </w:pPr>
      <w:r>
        <w:t>Exécuter un mini run de contrôle sur très petit échantillon après toute modification purement cosmétique, même mineure.</w:t>
      </w:r>
    </w:p>
    <w:p>
      <w:pPr>
        <w:pStyle w:val="ListBullet"/>
      </w:pPr>
      <w:r>
        <w:t>Surveiller les premiers patients du benchmark réel pour vérifier que les notes, reconstructions et vérifications sont bien écrites sur disque.</w:t>
      </w:r>
    </w:p>
    <w:p>
      <w:pPr>
        <w:pStyle w:val="ListBullet"/>
      </w:pPr>
      <w:r>
        <w:t>Après benchmark, ne plus modifier les fichiers exportés : créer plutôt une nouvelle branche ou une nouvelle version du notebook pour l'analyse post-benchmark.</w:t>
      </w:r>
    </w:p>
    <w:p>
      <w:pPr>
        <w:pStyle w:val="Heading1"/>
      </w:pPr>
      <w:r>
        <w:t>Annexe A. Glossaire</w:t>
      </w:r>
    </w:p>
    <w:tbl>
      <w:tblPr>
        <w:tblStyle w:val="TableGrid"/>
        <w:tblW w:type="auto" w:w="0"/>
        <w:jc w:val="center"/>
        <w:tblLayout w:type="fixed"/>
        <w:tblLook w:firstColumn="1" w:firstRow="1" w:lastColumn="0" w:lastRow="0" w:noHBand="0" w:noVBand="1" w:val="04A0"/>
      </w:tblPr>
      <w:tblGrid>
        <w:gridCol w:w="4873"/>
        <w:gridCol w:w="4873"/>
      </w:tblGrid>
      <w:tr>
        <w:tc>
          <w:tcPr>
            <w:tcW w:type="dxa" w:w="2098"/>
            <w:vAlign w:val="center"/>
            <w:shd w:fill="5B9BD5"/>
          </w:tcPr>
          <w:p>
            <w:r/>
            <w:r>
              <w:rPr>
                <w:rFonts w:ascii="Aptos" w:hAnsi="Aptos"/>
                <w:b/>
                <w:color w:val="FFFFFF"/>
                <w:sz w:val="20"/>
              </w:rPr>
              <w:t>Terme</w:t>
            </w:r>
          </w:p>
        </w:tc>
        <w:tc>
          <w:tcPr>
            <w:tcW w:type="dxa" w:w="6803"/>
            <w:vAlign w:val="center"/>
            <w:shd w:fill="5B9BD5"/>
          </w:tcPr>
          <w:p>
            <w:r/>
            <w:r>
              <w:rPr>
                <w:rFonts w:ascii="Aptos" w:hAnsi="Aptos"/>
                <w:b/>
                <w:color w:val="FFFFFF"/>
                <w:sz w:val="20"/>
              </w:rPr>
              <w:t>Définition</w:t>
            </w:r>
          </w:p>
        </w:tc>
      </w:tr>
      <w:tr>
        <w:tc>
          <w:tcPr>
            <w:tcW w:type="dxa" w:w="2098"/>
            <w:vAlign w:val="center"/>
          </w:tcPr>
          <w:p>
            <w:r/>
            <w:r>
              <w:rPr>
                <w:rFonts w:ascii="Aptos" w:hAnsi="Aptos"/>
                <w:b w:val="0"/>
                <w:sz w:val="18"/>
              </w:rPr>
              <w:t>FHIR</w:t>
            </w:r>
          </w:p>
        </w:tc>
        <w:tc>
          <w:tcPr>
            <w:tcW w:type="dxa" w:w="6803"/>
            <w:vAlign w:val="center"/>
          </w:tcPr>
          <w:p>
            <w:r/>
            <w:r>
              <w:rPr>
                <w:rFonts w:ascii="Aptos" w:hAnsi="Aptos"/>
                <w:b w:val="0"/>
                <w:sz w:val="18"/>
              </w:rPr>
              <w:t>A healthcare data standard. Here it is the original structured format for synthetic patient records.</w:t>
            </w:r>
          </w:p>
        </w:tc>
      </w:tr>
      <w:tr>
        <w:tc>
          <w:tcPr>
            <w:tcW w:type="dxa" w:w="2098"/>
            <w:vAlign w:val="center"/>
          </w:tcPr>
          <w:p>
            <w:r/>
            <w:r>
              <w:rPr>
                <w:rFonts w:ascii="Aptos" w:hAnsi="Aptos"/>
                <w:b w:val="0"/>
                <w:sz w:val="18"/>
              </w:rPr>
              <w:t>Bundle</w:t>
            </w:r>
          </w:p>
        </w:tc>
        <w:tc>
          <w:tcPr>
            <w:tcW w:type="dxa" w:w="6803"/>
            <w:vAlign w:val="center"/>
          </w:tcPr>
          <w:p>
            <w:r/>
            <w:r>
              <w:rPr>
                <w:rFonts w:ascii="Aptos" w:hAnsi="Aptos"/>
                <w:b w:val="0"/>
                <w:sz w:val="18"/>
              </w:rPr>
              <w:t>A packet of FHIR resources that belong together, usually around one patient.</w:t>
            </w:r>
          </w:p>
        </w:tc>
      </w:tr>
      <w:tr>
        <w:tc>
          <w:tcPr>
            <w:tcW w:type="dxa" w:w="2098"/>
            <w:vAlign w:val="center"/>
          </w:tcPr>
          <w:p>
            <w:r/>
            <w:r>
              <w:rPr>
                <w:rFonts w:ascii="Aptos" w:hAnsi="Aptos"/>
                <w:b w:val="0"/>
                <w:sz w:val="18"/>
              </w:rPr>
              <w:t>Condition</w:t>
            </w:r>
          </w:p>
        </w:tc>
        <w:tc>
          <w:tcPr>
            <w:tcW w:type="dxa" w:w="6803"/>
            <w:vAlign w:val="center"/>
          </w:tcPr>
          <w:p>
            <w:r/>
            <w:r>
              <w:rPr>
                <w:rFonts w:ascii="Aptos" w:hAnsi="Aptos"/>
                <w:b w:val="0"/>
                <w:sz w:val="18"/>
              </w:rPr>
              <w:t>FHIR resource representing a disease, problem, diagnosis, or medical history item.</w:t>
            </w:r>
          </w:p>
        </w:tc>
      </w:tr>
      <w:tr>
        <w:tc>
          <w:tcPr>
            <w:tcW w:type="dxa" w:w="2098"/>
            <w:vAlign w:val="center"/>
          </w:tcPr>
          <w:p>
            <w:r/>
            <w:r>
              <w:rPr>
                <w:rFonts w:ascii="Aptos" w:hAnsi="Aptos"/>
                <w:b w:val="0"/>
                <w:sz w:val="18"/>
              </w:rPr>
              <w:t>MedicationRequest</w:t>
            </w:r>
          </w:p>
        </w:tc>
        <w:tc>
          <w:tcPr>
            <w:tcW w:type="dxa" w:w="6803"/>
            <w:vAlign w:val="center"/>
          </w:tcPr>
          <w:p>
            <w:r/>
            <w:r>
              <w:rPr>
                <w:rFonts w:ascii="Aptos" w:hAnsi="Aptos"/>
                <w:b w:val="0"/>
                <w:sz w:val="18"/>
              </w:rPr>
              <w:t>FHIR resource representing a requested, prescribed, or current medication item.</w:t>
            </w:r>
          </w:p>
        </w:tc>
      </w:tr>
      <w:tr>
        <w:tc>
          <w:tcPr>
            <w:tcW w:type="dxa" w:w="2098"/>
            <w:vAlign w:val="center"/>
          </w:tcPr>
          <w:p>
            <w:r/>
            <w:r>
              <w:rPr>
                <w:rFonts w:ascii="Aptos" w:hAnsi="Aptos"/>
                <w:b w:val="0"/>
                <w:sz w:val="18"/>
              </w:rPr>
              <w:t>Gold source</w:t>
            </w:r>
          </w:p>
        </w:tc>
        <w:tc>
          <w:tcPr>
            <w:tcW w:type="dxa" w:w="6803"/>
            <w:vAlign w:val="center"/>
          </w:tcPr>
          <w:p>
            <w:r/>
            <w:r>
              <w:rPr>
                <w:rFonts w:ascii="Aptos" w:hAnsi="Aptos"/>
                <w:b w:val="0"/>
                <w:sz w:val="18"/>
              </w:rPr>
              <w:t>The filtered structured reference used to generate notes and evaluate reconstruction.</w:t>
            </w:r>
          </w:p>
        </w:tc>
      </w:tr>
      <w:tr>
        <w:tc>
          <w:tcPr>
            <w:tcW w:type="dxa" w:w="2098"/>
            <w:vAlign w:val="center"/>
          </w:tcPr>
          <w:p>
            <w:r/>
            <w:r>
              <w:rPr>
                <w:rFonts w:ascii="Aptos" w:hAnsi="Aptos"/>
                <w:b w:val="0"/>
                <w:sz w:val="18"/>
              </w:rPr>
              <w:t>note_raw</w:t>
            </w:r>
          </w:p>
        </w:tc>
        <w:tc>
          <w:tcPr>
            <w:tcW w:type="dxa" w:w="6803"/>
            <w:vAlign w:val="center"/>
          </w:tcPr>
          <w:p>
            <w:r/>
            <w:r>
              <w:rPr>
                <w:rFonts w:ascii="Aptos" w:hAnsi="Aptos"/>
                <w:b w:val="0"/>
                <w:sz w:val="18"/>
              </w:rPr>
              <w:t>The model output before cleaning.</w:t>
            </w:r>
          </w:p>
        </w:tc>
      </w:tr>
      <w:tr>
        <w:tc>
          <w:tcPr>
            <w:tcW w:type="dxa" w:w="2098"/>
            <w:vAlign w:val="center"/>
          </w:tcPr>
          <w:p>
            <w:r/>
            <w:r>
              <w:rPr>
                <w:rFonts w:ascii="Aptos" w:hAnsi="Aptos"/>
                <w:b w:val="0"/>
                <w:sz w:val="18"/>
              </w:rPr>
              <w:t>note_text / note_clean</w:t>
            </w:r>
          </w:p>
        </w:tc>
        <w:tc>
          <w:tcPr>
            <w:tcW w:type="dxa" w:w="6803"/>
            <w:vAlign w:val="center"/>
          </w:tcPr>
          <w:p>
            <w:r/>
            <w:r>
              <w:rPr>
                <w:rFonts w:ascii="Aptos" w:hAnsi="Aptos"/>
                <w:b w:val="0"/>
                <w:sz w:val="18"/>
              </w:rPr>
              <w:t>The cleaned note used for reconstruction.</w:t>
            </w:r>
          </w:p>
        </w:tc>
      </w:tr>
      <w:tr>
        <w:tc>
          <w:tcPr>
            <w:tcW w:type="dxa" w:w="2098"/>
            <w:vAlign w:val="center"/>
          </w:tcPr>
          <w:p>
            <w:r/>
            <w:r>
              <w:rPr>
                <w:rFonts w:ascii="Aptos" w:hAnsi="Aptos"/>
                <w:b w:val="0"/>
                <w:sz w:val="18"/>
              </w:rPr>
              <w:t>recon_raw</w:t>
            </w:r>
          </w:p>
        </w:tc>
        <w:tc>
          <w:tcPr>
            <w:tcW w:type="dxa" w:w="6803"/>
            <w:vAlign w:val="center"/>
          </w:tcPr>
          <w:p>
            <w:r/>
            <w:r>
              <w:rPr>
                <w:rFonts w:ascii="Aptos" w:hAnsi="Aptos"/>
                <w:b w:val="0"/>
                <w:sz w:val="18"/>
              </w:rPr>
              <w:t>The raw structured extraction returned by the reconstruction LLM.</w:t>
            </w:r>
          </w:p>
        </w:tc>
      </w:tr>
      <w:tr>
        <w:tc>
          <w:tcPr>
            <w:tcW w:type="dxa" w:w="2098"/>
            <w:vAlign w:val="center"/>
          </w:tcPr>
          <w:p>
            <w:r/>
            <w:r>
              <w:rPr>
                <w:rFonts w:ascii="Aptos" w:hAnsi="Aptos"/>
                <w:b w:val="0"/>
                <w:sz w:val="18"/>
              </w:rPr>
              <w:t>recon_clean</w:t>
            </w:r>
          </w:p>
        </w:tc>
        <w:tc>
          <w:tcPr>
            <w:tcW w:type="dxa" w:w="6803"/>
            <w:vAlign w:val="center"/>
          </w:tcPr>
          <w:p>
            <w:r/>
            <w:r>
              <w:rPr>
                <w:rFonts w:ascii="Aptos" w:hAnsi="Aptos"/>
                <w:b w:val="0"/>
                <w:sz w:val="18"/>
              </w:rPr>
              <w:t>The main cleaned reconstruction used in evaluation.</w:t>
            </w:r>
          </w:p>
        </w:tc>
      </w:tr>
      <w:tr>
        <w:tc>
          <w:tcPr>
            <w:tcW w:type="dxa" w:w="2098"/>
            <w:vAlign w:val="center"/>
          </w:tcPr>
          <w:p>
            <w:r/>
            <w:r>
              <w:rPr>
                <w:rFonts w:ascii="Aptos" w:hAnsi="Aptos"/>
                <w:b w:val="0"/>
                <w:sz w:val="18"/>
              </w:rPr>
              <w:t>Verification</w:t>
            </w:r>
          </w:p>
        </w:tc>
        <w:tc>
          <w:tcPr>
            <w:tcW w:type="dxa" w:w="6803"/>
            <w:vAlign w:val="center"/>
          </w:tcPr>
          <w:p>
            <w:r/>
            <w:r>
              <w:rPr>
                <w:rFonts w:ascii="Aptos" w:hAnsi="Aptos"/>
                <w:b w:val="0"/>
                <w:sz w:val="18"/>
              </w:rPr>
              <w:t>An extra LLM review layer that judges whether note_text and reconstruction are mutually consistent.</w:t>
            </w:r>
          </w:p>
        </w:tc>
      </w:tr>
      <w:tr>
        <w:tc>
          <w:tcPr>
            <w:tcW w:type="dxa" w:w="2098"/>
            <w:vAlign w:val="center"/>
          </w:tcPr>
          <w:p>
            <w:r/>
            <w:r>
              <w:rPr>
                <w:rFonts w:ascii="Aptos" w:hAnsi="Aptos"/>
                <w:b w:val="0"/>
                <w:sz w:val="18"/>
              </w:rPr>
              <w:t>Taxonomy</w:t>
            </w:r>
          </w:p>
        </w:tc>
        <w:tc>
          <w:tcPr>
            <w:tcW w:type="dxa" w:w="6803"/>
            <w:vAlign w:val="center"/>
          </w:tcPr>
          <w:p>
            <w:r/>
            <w:r>
              <w:rPr>
                <w:rFonts w:ascii="Aptos" w:hAnsi="Aptos"/>
                <w:b w:val="0"/>
                <w:sz w:val="18"/>
              </w:rPr>
              <w:t>A human-readable classification of error type, stage, and severity.</w:t>
            </w:r>
          </w:p>
        </w:tc>
      </w:tr>
      <w:tr>
        <w:tc>
          <w:tcPr>
            <w:tcW w:type="dxa" w:w="2098"/>
            <w:vAlign w:val="center"/>
          </w:tcPr>
          <w:p>
            <w:r/>
            <w:r>
              <w:rPr>
                <w:rFonts w:ascii="Aptos" w:hAnsi="Aptos"/>
                <w:b w:val="0"/>
                <w:sz w:val="18"/>
              </w:rPr>
              <w:t>Hard cases</w:t>
            </w:r>
          </w:p>
        </w:tc>
        <w:tc>
          <w:tcPr>
            <w:tcW w:type="dxa" w:w="6803"/>
            <w:vAlign w:val="center"/>
          </w:tcPr>
          <w:p>
            <w:r/>
            <w:r>
              <w:rPr>
                <w:rFonts w:ascii="Aptos" w:hAnsi="Aptos"/>
                <w:b w:val="0"/>
                <w:sz w:val="18"/>
              </w:rPr>
              <w:t>Patients or note styles that produce lower scores or more verification issues.</w:t>
            </w:r>
          </w:p>
        </w:tc>
      </w:tr>
    </w:tbl>
    <w:p>
      <w:r>
        <w:br w:type="page"/>
      </w:r>
    </w:p>
    <w:p>
      <w:pPr>
        <w:pStyle w:val="Heading1"/>
      </w:pPr>
      <w:r>
        <w:t>Annexe B. Carte du notebook cellule par cellule</w:t>
      </w:r>
    </w:p>
    <w:tbl>
      <w:tblPr>
        <w:tblStyle w:val="TableGrid"/>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vAlign w:val="center"/>
            <w:shd w:fill="5B9BD5"/>
          </w:tcPr>
          <w:p>
            <w:r/>
            <w:r>
              <w:rPr>
                <w:rFonts w:ascii="Aptos" w:hAnsi="Aptos"/>
                <w:b/>
                <w:color w:val="FFFFFF"/>
                <w:sz w:val="20"/>
              </w:rPr>
              <w:t>Cellule</w:t>
            </w:r>
          </w:p>
        </w:tc>
        <w:tc>
          <w:tcPr>
            <w:tcW w:type="dxa" w:w="1020"/>
            <w:vAlign w:val="center"/>
            <w:shd w:fill="5B9BD5"/>
          </w:tcPr>
          <w:p>
            <w:r/>
            <w:r>
              <w:rPr>
                <w:rFonts w:ascii="Aptos" w:hAnsi="Aptos"/>
                <w:b/>
                <w:color w:val="FFFFFF"/>
                <w:sz w:val="20"/>
              </w:rPr>
              <w:t>Type</w:t>
            </w:r>
          </w:p>
        </w:tc>
        <w:tc>
          <w:tcPr>
            <w:tcW w:type="dxa" w:w="3628"/>
            <w:vAlign w:val="center"/>
            <w:shd w:fill="5B9BD5"/>
          </w:tcPr>
          <w:p>
            <w:r/>
            <w:r>
              <w:rPr>
                <w:rFonts w:ascii="Aptos" w:hAnsi="Aptos"/>
                <w:b/>
                <w:color w:val="FFFFFF"/>
                <w:sz w:val="20"/>
              </w:rPr>
              <w:t>Repère</w:t>
            </w:r>
          </w:p>
        </w:tc>
        <w:tc>
          <w:tcPr>
            <w:tcW w:type="dxa" w:w="2891"/>
            <w:vAlign w:val="center"/>
            <w:shd w:fill="5B9BD5"/>
          </w:tcPr>
          <w:p>
            <w:r/>
            <w:r>
              <w:rPr>
                <w:rFonts w:ascii="Aptos" w:hAnsi="Aptos"/>
                <w:b/>
                <w:color w:val="FFFFFF"/>
                <w:sz w:val="20"/>
              </w:rPr>
              <w:t>Contexte</w:t>
            </w:r>
          </w:p>
        </w:tc>
        <w:tc>
          <w:tcPr>
            <w:tcW w:type="dxa" w:w="737"/>
            <w:vAlign w:val="center"/>
            <w:shd w:fill="5B9BD5"/>
          </w:tcPr>
          <w:p>
            <w:r/>
            <w:r>
              <w:rPr>
                <w:rFonts w:ascii="Aptos" w:hAnsi="Aptos"/>
                <w:b/>
                <w:color w:val="FFFFFF"/>
                <w:sz w:val="20"/>
              </w:rPr>
              <w:t>Lignes</w:t>
            </w:r>
          </w:p>
        </w:tc>
      </w:tr>
      <w:tr>
        <w:tc>
          <w:tcPr>
            <w:tcW w:type="dxa" w:w="737"/>
            <w:vAlign w:val="center"/>
          </w:tcPr>
          <w:p>
            <w:r/>
            <w:r>
              <w:rPr>
                <w:rFonts w:ascii="Aptos" w:hAnsi="Aptos"/>
                <w:b w:val="0"/>
                <w:sz w:val="16"/>
              </w:rPr>
              <w:t>0</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BUPA DDEFI - Conditions + MedicationRequest (version simplifiée</w:t>
            </w:r>
          </w:p>
        </w:tc>
        <w:tc>
          <w:tcPr>
            <w:tcW w:type="dxa" w:w="2891"/>
            <w:vAlign w:val="center"/>
          </w:tcPr>
          <w:p>
            <w:r/>
            <w:r>
              <w:rPr>
                <w:rFonts w:ascii="Aptos" w:hAnsi="Aptos"/>
                <w:b w:val="0"/>
                <w:sz w:val="16"/>
              </w:rPr>
              <w:t>BUPA DDEFI - Conditions + MedicationRequest (</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Run once to reset everything and remove already filtered data</w:t>
            </w:r>
          </w:p>
        </w:tc>
        <w:tc>
          <w:tcPr>
            <w:tcW w:type="dxa" w:w="2891"/>
            <w:vAlign w:val="center"/>
          </w:tcPr>
          <w:p>
            <w:r/>
            <w:r>
              <w:rPr>
                <w:rFonts w:ascii="Aptos" w:hAnsi="Aptos"/>
                <w:b w:val="0"/>
                <w:sz w:val="16"/>
              </w:rPr>
              <w:t>BUPA DDEFI - Conditions + MedicationRequest (</w:t>
            </w:r>
          </w:p>
        </w:tc>
        <w:tc>
          <w:tcPr>
            <w:tcW w:type="dxa" w:w="737"/>
            <w:vAlign w:val="center"/>
          </w:tcPr>
          <w:p>
            <w:r/>
            <w:r>
              <w:rPr>
                <w:rFonts w:ascii="Aptos" w:hAnsi="Aptos"/>
                <w:b w:val="0"/>
                <w:sz w:val="16"/>
              </w:rPr>
              <w:t>6</w:t>
            </w:r>
          </w:p>
        </w:tc>
      </w:tr>
      <w:tr>
        <w:tc>
          <w:tcPr>
            <w:tcW w:type="dxa" w:w="737"/>
            <w:vAlign w:val="center"/>
          </w:tcPr>
          <w:p>
            <w:r/>
            <w:r>
              <w:rPr>
                <w:rFonts w:ascii="Aptos" w:hAnsi="Aptos"/>
                <w:b w:val="0"/>
                <w:sz w:val="16"/>
              </w:rPr>
              <w:t>2</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0) Installation (Colab)</w:t>
            </w:r>
          </w:p>
        </w:tc>
        <w:tc>
          <w:tcPr>
            <w:tcW w:type="dxa" w:w="2891"/>
            <w:vAlign w:val="center"/>
          </w:tcPr>
          <w:p>
            <w:r/>
            <w:r>
              <w:rPr>
                <w:rFonts w:ascii="Aptos" w:hAnsi="Aptos"/>
                <w:b w:val="0"/>
                <w:sz w:val="16"/>
              </w:rPr>
              <w:t>0) Installation (Colab)</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3</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Run once on Colab</w:t>
            </w:r>
          </w:p>
        </w:tc>
        <w:tc>
          <w:tcPr>
            <w:tcW w:type="dxa" w:w="2891"/>
            <w:vAlign w:val="center"/>
          </w:tcPr>
          <w:p>
            <w:r/>
            <w:r>
              <w:rPr>
                <w:rFonts w:ascii="Aptos" w:hAnsi="Aptos"/>
                <w:b w:val="0"/>
                <w:sz w:val="16"/>
              </w:rPr>
              <w:t>0) Installation (Colab)</w:t>
            </w:r>
          </w:p>
        </w:tc>
        <w:tc>
          <w:tcPr>
            <w:tcW w:type="dxa" w:w="737"/>
            <w:vAlign w:val="center"/>
          </w:tcPr>
          <w:p>
            <w:r/>
            <w:r>
              <w:rPr>
                <w:rFonts w:ascii="Aptos" w:hAnsi="Aptos"/>
                <w:b w:val="0"/>
                <w:sz w:val="16"/>
              </w:rPr>
              <w:t>4</w:t>
            </w:r>
          </w:p>
        </w:tc>
      </w:tr>
      <w:tr>
        <w:tc>
          <w:tcPr>
            <w:tcW w:type="dxa" w:w="737"/>
            <w:vAlign w:val="center"/>
          </w:tcPr>
          <w:p>
            <w:r/>
            <w:r>
              <w:rPr>
                <w:rFonts w:ascii="Aptos" w:hAnsi="Aptos"/>
                <w:b w:val="0"/>
                <w:sz w:val="16"/>
              </w:rPr>
              <w:t>4</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0.1) Authentification Hugging Face (si MedGemma est gated)</w:t>
            </w:r>
          </w:p>
        </w:tc>
        <w:tc>
          <w:tcPr>
            <w:tcW w:type="dxa" w:w="2891"/>
            <w:vAlign w:val="center"/>
          </w:tcPr>
          <w:p>
            <w:r/>
            <w:r>
              <w:rPr>
                <w:rFonts w:ascii="Aptos" w:hAnsi="Aptos"/>
                <w:b w:val="0"/>
                <w:sz w:val="16"/>
              </w:rPr>
              <w:t>0.1) Authentification Hugging Face (si MedGem</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5</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import os</w:t>
            </w:r>
          </w:p>
        </w:tc>
        <w:tc>
          <w:tcPr>
            <w:tcW w:type="dxa" w:w="2891"/>
            <w:vAlign w:val="center"/>
          </w:tcPr>
          <w:p>
            <w:r/>
            <w:r>
              <w:rPr>
                <w:rFonts w:ascii="Aptos" w:hAnsi="Aptos"/>
                <w:b w:val="0"/>
                <w:sz w:val="16"/>
              </w:rPr>
              <w:t>0.1) Authentification Hugging Face (si MedGem</w:t>
            </w:r>
          </w:p>
        </w:tc>
        <w:tc>
          <w:tcPr>
            <w:tcW w:type="dxa" w:w="737"/>
            <w:vAlign w:val="center"/>
          </w:tcPr>
          <w:p>
            <w:r/>
            <w:r>
              <w:rPr>
                <w:rFonts w:ascii="Aptos" w:hAnsi="Aptos"/>
                <w:b w:val="0"/>
                <w:sz w:val="16"/>
              </w:rPr>
              <w:t>10</w:t>
            </w:r>
          </w:p>
        </w:tc>
      </w:tr>
      <w:tr>
        <w:tc>
          <w:tcPr>
            <w:tcW w:type="dxa" w:w="737"/>
            <w:vAlign w:val="center"/>
          </w:tcPr>
          <w:p>
            <w:r/>
            <w:r>
              <w:rPr>
                <w:rFonts w:ascii="Aptos" w:hAnsi="Aptos"/>
                <w:b w:val="0"/>
                <w:sz w:val="16"/>
              </w:rPr>
              <w:t>6</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1) Imports, chemins, configuration</w:t>
            </w:r>
          </w:p>
        </w:tc>
        <w:tc>
          <w:tcPr>
            <w:tcW w:type="dxa" w:w="2891"/>
            <w:vAlign w:val="center"/>
          </w:tcPr>
          <w:p>
            <w:r/>
            <w:r>
              <w:rPr>
                <w:rFonts w:ascii="Aptos" w:hAnsi="Aptos"/>
                <w:b w:val="0"/>
                <w:sz w:val="16"/>
              </w:rPr>
              <w:t>1) Imports, chemins, configuration</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7</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from __future__ import annotations</w:t>
            </w:r>
          </w:p>
        </w:tc>
        <w:tc>
          <w:tcPr>
            <w:tcW w:type="dxa" w:w="2891"/>
            <w:vAlign w:val="center"/>
          </w:tcPr>
          <w:p>
            <w:r/>
            <w:r>
              <w:rPr>
                <w:rFonts w:ascii="Aptos" w:hAnsi="Aptos"/>
                <w:b w:val="0"/>
                <w:sz w:val="16"/>
              </w:rPr>
              <w:t>1) Imports, chemins, configuration</w:t>
            </w:r>
          </w:p>
        </w:tc>
        <w:tc>
          <w:tcPr>
            <w:tcW w:type="dxa" w:w="737"/>
            <w:vAlign w:val="center"/>
          </w:tcPr>
          <w:p>
            <w:r/>
            <w:r>
              <w:rPr>
                <w:rFonts w:ascii="Aptos" w:hAnsi="Aptos"/>
                <w:b w:val="0"/>
                <w:sz w:val="16"/>
              </w:rPr>
              <w:t>121</w:t>
            </w:r>
          </w:p>
        </w:tc>
      </w:tr>
      <w:tr>
        <w:tc>
          <w:tcPr>
            <w:tcW w:type="dxa" w:w="737"/>
            <w:vAlign w:val="center"/>
          </w:tcPr>
          <w:p>
            <w:r/>
            <w:r>
              <w:rPr>
                <w:rFonts w:ascii="Aptos" w:hAnsi="Aptos"/>
                <w:b w:val="0"/>
                <w:sz w:val="16"/>
              </w:rPr>
              <w:t>8</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Guide de lecture du notebook</w:t>
            </w:r>
          </w:p>
        </w:tc>
        <w:tc>
          <w:tcPr>
            <w:tcW w:type="dxa" w:w="2891"/>
            <w:vAlign w:val="center"/>
          </w:tcPr>
          <w:p>
            <w:r/>
            <w:r>
              <w:rPr>
                <w:rFonts w:ascii="Aptos" w:hAnsi="Aptos"/>
                <w:b w:val="0"/>
                <w:sz w:val="16"/>
              </w:rPr>
              <w:t>Guide de lecture du notebook</w:t>
            </w:r>
          </w:p>
        </w:tc>
        <w:tc>
          <w:tcPr>
            <w:tcW w:type="dxa" w:w="737"/>
            <w:vAlign w:val="center"/>
          </w:tcPr>
          <w:p>
            <w:r/>
            <w:r>
              <w:rPr>
                <w:rFonts w:ascii="Aptos" w:hAnsi="Aptos"/>
                <w:b w:val="0"/>
                <w:sz w:val="16"/>
              </w:rPr>
              <w:t>34</w:t>
            </w:r>
          </w:p>
        </w:tc>
      </w:tr>
      <w:tr>
        <w:tc>
          <w:tcPr>
            <w:tcW w:type="dxa" w:w="737"/>
            <w:vAlign w:val="center"/>
          </w:tcPr>
          <w:p>
            <w:r/>
            <w:r>
              <w:rPr>
                <w:rFonts w:ascii="Aptos" w:hAnsi="Aptos"/>
                <w:b w:val="0"/>
                <w:sz w:val="16"/>
              </w:rPr>
              <w:t>9</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2) Télécharger et extraire Synthea (local)</w:t>
            </w:r>
          </w:p>
        </w:tc>
        <w:tc>
          <w:tcPr>
            <w:tcW w:type="dxa" w:w="2891"/>
            <w:vAlign w:val="center"/>
          </w:tcPr>
          <w:p>
            <w:r/>
            <w:r>
              <w:rPr>
                <w:rFonts w:ascii="Aptos" w:hAnsi="Aptos"/>
                <w:b w:val="0"/>
                <w:sz w:val="16"/>
              </w:rPr>
              <w:t>2) Télécharger et extraire Synthea (local)</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10</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SYNTHEA_ZIP_URLS = [</w:t>
            </w:r>
          </w:p>
        </w:tc>
        <w:tc>
          <w:tcPr>
            <w:tcW w:type="dxa" w:w="2891"/>
            <w:vAlign w:val="center"/>
          </w:tcPr>
          <w:p>
            <w:r/>
            <w:r>
              <w:rPr>
                <w:rFonts w:ascii="Aptos" w:hAnsi="Aptos"/>
                <w:b w:val="0"/>
                <w:sz w:val="16"/>
              </w:rPr>
              <w:t>2) Télécharger et extraire Synthea (local)</w:t>
            </w:r>
          </w:p>
        </w:tc>
        <w:tc>
          <w:tcPr>
            <w:tcW w:type="dxa" w:w="737"/>
            <w:vAlign w:val="center"/>
          </w:tcPr>
          <w:p>
            <w:r/>
            <w:r>
              <w:rPr>
                <w:rFonts w:ascii="Aptos" w:hAnsi="Aptos"/>
                <w:b w:val="0"/>
                <w:sz w:val="16"/>
              </w:rPr>
              <w:t>54</w:t>
            </w:r>
          </w:p>
        </w:tc>
      </w:tr>
      <w:tr>
        <w:tc>
          <w:tcPr>
            <w:tcW w:type="dxa" w:w="737"/>
            <w:vAlign w:val="center"/>
          </w:tcPr>
          <w:p>
            <w:r/>
            <w:r>
              <w:rPr>
                <w:rFonts w:ascii="Aptos" w:hAnsi="Aptos"/>
                <w:b w:val="0"/>
                <w:sz w:val="16"/>
              </w:rPr>
              <w:t>11</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3) Filtrer en amont (un seul passage) et créer un dataset déri</w:t>
            </w:r>
          </w:p>
        </w:tc>
        <w:tc>
          <w:tcPr>
            <w:tcW w:type="dxa" w:w="2891"/>
            <w:vAlign w:val="center"/>
          </w:tcPr>
          <w:p>
            <w:r/>
            <w:r>
              <w:rPr>
                <w:rFonts w:ascii="Aptos" w:hAnsi="Aptos"/>
                <w:b w:val="0"/>
                <w:sz w:val="16"/>
              </w:rPr>
              <w:t>3) Filtrer en amont (un seul passage) et crée</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12</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3A) Fonctions utilitaires et règles de préfiltrage</w:t>
            </w:r>
          </w:p>
        </w:tc>
        <w:tc>
          <w:tcPr>
            <w:tcW w:type="dxa" w:w="2891"/>
            <w:vAlign w:val="center"/>
          </w:tcPr>
          <w:p>
            <w:r/>
            <w:r>
              <w:rPr>
                <w:rFonts w:ascii="Aptos" w:hAnsi="Aptos"/>
                <w:b w:val="0"/>
                <w:sz w:val="16"/>
              </w:rPr>
              <w:t>3A) Fonctions utilitaires et règles de préfil</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13</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def safe_read_json(path: Path) -&gt; Optional[dict]:</w:t>
            </w:r>
          </w:p>
        </w:tc>
        <w:tc>
          <w:tcPr>
            <w:tcW w:type="dxa" w:w="2891"/>
            <w:vAlign w:val="center"/>
          </w:tcPr>
          <w:p>
            <w:r/>
            <w:r>
              <w:rPr>
                <w:rFonts w:ascii="Aptos" w:hAnsi="Aptos"/>
                <w:b w:val="0"/>
                <w:sz w:val="16"/>
              </w:rPr>
              <w:t>3A) Fonctions utilitaires et règles de préfil</w:t>
            </w:r>
          </w:p>
        </w:tc>
        <w:tc>
          <w:tcPr>
            <w:tcW w:type="dxa" w:w="737"/>
            <w:vAlign w:val="center"/>
          </w:tcPr>
          <w:p>
            <w:r/>
            <w:r>
              <w:rPr>
                <w:rFonts w:ascii="Aptos" w:hAnsi="Aptos"/>
                <w:b w:val="0"/>
                <w:sz w:val="16"/>
              </w:rPr>
              <w:t>130</w:t>
            </w:r>
          </w:p>
        </w:tc>
      </w:tr>
      <w:tr>
        <w:tc>
          <w:tcPr>
            <w:tcW w:type="dxa" w:w="737"/>
            <w:vAlign w:val="center"/>
          </w:tcPr>
          <w:p>
            <w:r/>
            <w:r>
              <w:rPr>
                <w:rFonts w:ascii="Aptos" w:hAnsi="Aptos"/>
                <w:b w:val="0"/>
                <w:sz w:val="16"/>
              </w:rPr>
              <w:t>14</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3B) Construction du dataset filtré (cache disque)</w:t>
            </w:r>
          </w:p>
        </w:tc>
        <w:tc>
          <w:tcPr>
            <w:tcW w:type="dxa" w:w="2891"/>
            <w:vAlign w:val="center"/>
          </w:tcPr>
          <w:p>
            <w:r/>
            <w:r>
              <w:rPr>
                <w:rFonts w:ascii="Aptos" w:hAnsi="Aptos"/>
                <w:b w:val="0"/>
                <w:sz w:val="16"/>
              </w:rPr>
              <w:t>3B) Construction du dataset filtré (cache dis</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15</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def build_filtered_dataset(raw_dir: Path, out_dir: Path) -&gt; pd.Da</w:t>
            </w:r>
          </w:p>
        </w:tc>
        <w:tc>
          <w:tcPr>
            <w:tcW w:type="dxa" w:w="2891"/>
            <w:vAlign w:val="center"/>
          </w:tcPr>
          <w:p>
            <w:r/>
            <w:r>
              <w:rPr>
                <w:rFonts w:ascii="Aptos" w:hAnsi="Aptos"/>
                <w:b w:val="0"/>
                <w:sz w:val="16"/>
              </w:rPr>
              <w:t>3B) Construction du dataset filtré (cache dis</w:t>
            </w:r>
          </w:p>
        </w:tc>
        <w:tc>
          <w:tcPr>
            <w:tcW w:type="dxa" w:w="737"/>
            <w:vAlign w:val="center"/>
          </w:tcPr>
          <w:p>
            <w:r/>
            <w:r>
              <w:rPr>
                <w:rFonts w:ascii="Aptos" w:hAnsi="Aptos"/>
                <w:b w:val="0"/>
                <w:sz w:val="16"/>
              </w:rPr>
              <w:t>49</w:t>
            </w:r>
          </w:p>
        </w:tc>
      </w:tr>
      <w:tr>
        <w:tc>
          <w:tcPr>
            <w:tcW w:type="dxa" w:w="737"/>
            <w:vAlign w:val="center"/>
          </w:tcPr>
          <w:p>
            <w:r/>
            <w:r>
              <w:rPr>
                <w:rFonts w:ascii="Aptos" w:hAnsi="Aptos"/>
                <w:b w:val="0"/>
                <w:sz w:val="16"/>
              </w:rPr>
              <w:t>16</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3C) Index des patients filtrés</w:t>
            </w:r>
          </w:p>
        </w:tc>
        <w:tc>
          <w:tcPr>
            <w:tcW w:type="dxa" w:w="2891"/>
            <w:vAlign w:val="center"/>
          </w:tcPr>
          <w:p>
            <w:r/>
            <w:r>
              <w:rPr>
                <w:rFonts w:ascii="Aptos" w:hAnsi="Aptos"/>
                <w:b w:val="0"/>
                <w:sz w:val="16"/>
              </w:rPr>
              <w:t>3C) Index des patients filtrés</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17</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df_index = build_filtered_dataset(RAW_DIR, FILTERED_DIR)</w:t>
            </w:r>
          </w:p>
        </w:tc>
        <w:tc>
          <w:tcPr>
            <w:tcW w:type="dxa" w:w="2891"/>
            <w:vAlign w:val="center"/>
          </w:tcPr>
          <w:p>
            <w:r/>
            <w:r>
              <w:rPr>
                <w:rFonts w:ascii="Aptos" w:hAnsi="Aptos"/>
                <w:b w:val="0"/>
                <w:sz w:val="16"/>
              </w:rPr>
              <w:t>3C) Index des patients filtrés</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18</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4) Construction de la source filtrée de référence (`gold_sourc</w:t>
            </w:r>
          </w:p>
        </w:tc>
        <w:tc>
          <w:tcPr>
            <w:tcW w:type="dxa" w:w="2891"/>
            <w:vAlign w:val="center"/>
          </w:tcPr>
          <w:p>
            <w:r/>
            <w:r>
              <w:rPr>
                <w:rFonts w:ascii="Aptos" w:hAnsi="Aptos"/>
                <w:b w:val="0"/>
                <w:sz w:val="16"/>
              </w:rPr>
              <w:t>4) Construction de la source filtrée de référ</w:t>
            </w:r>
          </w:p>
        </w:tc>
        <w:tc>
          <w:tcPr>
            <w:tcW w:type="dxa" w:w="737"/>
            <w:vAlign w:val="center"/>
          </w:tcPr>
          <w:p>
            <w:r/>
            <w:r>
              <w:rPr>
                <w:rFonts w:ascii="Aptos" w:hAnsi="Aptos"/>
                <w:b w:val="0"/>
                <w:sz w:val="16"/>
              </w:rPr>
              <w:t>4</w:t>
            </w:r>
          </w:p>
        </w:tc>
      </w:tr>
      <w:tr>
        <w:tc>
          <w:tcPr>
            <w:tcW w:type="dxa" w:w="737"/>
            <w:vAlign w:val="center"/>
          </w:tcPr>
          <w:p>
            <w:r/>
            <w:r>
              <w:rPr>
                <w:rFonts w:ascii="Aptos" w:hAnsi="Aptos"/>
                <w:b w:val="0"/>
                <w:sz w:val="16"/>
              </w:rPr>
              <w:t>19</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4A) Extraire une représentation patient simple depuis le Bund</w:t>
            </w:r>
          </w:p>
        </w:tc>
        <w:tc>
          <w:tcPr>
            <w:tcW w:type="dxa" w:w="2891"/>
            <w:vAlign w:val="center"/>
          </w:tcPr>
          <w:p>
            <w:r/>
            <w:r>
              <w:rPr>
                <w:rFonts w:ascii="Aptos" w:hAnsi="Aptos"/>
                <w:b w:val="0"/>
                <w:sz w:val="16"/>
              </w:rPr>
              <w:t>4A) Extraire une représentation patient simpl</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20</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Inspired by the "extract_complete_patient_data" idea: one canon</w:t>
            </w:r>
          </w:p>
        </w:tc>
        <w:tc>
          <w:tcPr>
            <w:tcW w:type="dxa" w:w="2891"/>
            <w:vAlign w:val="center"/>
          </w:tcPr>
          <w:p>
            <w:r/>
            <w:r>
              <w:rPr>
                <w:rFonts w:ascii="Aptos" w:hAnsi="Aptos"/>
                <w:b w:val="0"/>
                <w:sz w:val="16"/>
              </w:rPr>
              <w:t>4A) Extraire une représentation patient simpl</w:t>
            </w:r>
          </w:p>
        </w:tc>
        <w:tc>
          <w:tcPr>
            <w:tcW w:type="dxa" w:w="737"/>
            <w:vAlign w:val="center"/>
          </w:tcPr>
          <w:p>
            <w:r/>
            <w:r>
              <w:rPr>
                <w:rFonts w:ascii="Aptos" w:hAnsi="Aptos"/>
                <w:b w:val="0"/>
                <w:sz w:val="16"/>
              </w:rPr>
              <w:t>64</w:t>
            </w:r>
          </w:p>
        </w:tc>
      </w:tr>
      <w:tr>
        <w:tc>
          <w:tcPr>
            <w:tcW w:type="dxa" w:w="737"/>
            <w:vAlign w:val="center"/>
          </w:tcPr>
          <w:p>
            <w:r/>
            <w:r>
              <w:rPr>
                <w:rFonts w:ascii="Aptos" w:hAnsi="Aptos"/>
                <w:b w:val="0"/>
                <w:sz w:val="16"/>
              </w:rPr>
              <w:t>21</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4B) Choisir l’échantillon et construire la source préfiltrée</w:t>
            </w:r>
          </w:p>
        </w:tc>
        <w:tc>
          <w:tcPr>
            <w:tcW w:type="dxa" w:w="2891"/>
            <w:vAlign w:val="center"/>
          </w:tcPr>
          <w:p>
            <w:r/>
            <w:r>
              <w:rPr>
                <w:rFonts w:ascii="Aptos" w:hAnsi="Aptos"/>
                <w:b w:val="0"/>
                <w:sz w:val="16"/>
              </w:rPr>
              <w:t>4B) Choisir l’échantillon et construire la so</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22</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Choose sample</w:t>
            </w:r>
          </w:p>
        </w:tc>
        <w:tc>
          <w:tcPr>
            <w:tcW w:type="dxa" w:w="2891"/>
            <w:vAlign w:val="center"/>
          </w:tcPr>
          <w:p>
            <w:r/>
            <w:r>
              <w:rPr>
                <w:rFonts w:ascii="Aptos" w:hAnsi="Aptos"/>
                <w:b w:val="0"/>
                <w:sz w:val="16"/>
              </w:rPr>
              <w:t>4B) Choisir l’échantillon et construire la so</w:t>
            </w:r>
          </w:p>
        </w:tc>
        <w:tc>
          <w:tcPr>
            <w:tcW w:type="dxa" w:w="737"/>
            <w:vAlign w:val="center"/>
          </w:tcPr>
          <w:p>
            <w:r/>
            <w:r>
              <w:rPr>
                <w:rFonts w:ascii="Aptos" w:hAnsi="Aptos"/>
                <w:b w:val="0"/>
                <w:sz w:val="16"/>
              </w:rPr>
              <w:t>22</w:t>
            </w:r>
          </w:p>
        </w:tc>
      </w:tr>
      <w:tr>
        <w:tc>
          <w:tcPr>
            <w:tcW w:type="dxa" w:w="737"/>
            <w:vAlign w:val="center"/>
          </w:tcPr>
          <w:p>
            <w:r/>
            <w:r>
              <w:rPr>
                <w:rFonts w:ascii="Aptos" w:hAnsi="Aptos"/>
                <w:b w:val="0"/>
                <w:sz w:val="16"/>
              </w:rPr>
              <w:t>23</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4C) Charger le modèle partagé pour finaliser le `gold_source`</w:t>
            </w:r>
          </w:p>
        </w:tc>
        <w:tc>
          <w:tcPr>
            <w:tcW w:type="dxa" w:w="2891"/>
            <w:vAlign w:val="center"/>
          </w:tcPr>
          <w:p>
            <w:r/>
            <w:r>
              <w:rPr>
                <w:rFonts w:ascii="Aptos" w:hAnsi="Aptos"/>
                <w:b w:val="0"/>
                <w:sz w:val="16"/>
              </w:rPr>
              <w:t xml:space="preserve">4C) Charger le modèle partagé pour finaliser </w:t>
            </w:r>
          </w:p>
        </w:tc>
        <w:tc>
          <w:tcPr>
            <w:tcW w:type="dxa" w:w="737"/>
            <w:vAlign w:val="center"/>
          </w:tcPr>
          <w:p>
            <w:r/>
            <w:r>
              <w:rPr>
                <w:rFonts w:ascii="Aptos" w:hAnsi="Aptos"/>
                <w:b w:val="0"/>
                <w:sz w:val="16"/>
              </w:rPr>
              <w:t>7</w:t>
            </w:r>
          </w:p>
        </w:tc>
      </w:tr>
      <w:tr>
        <w:tc>
          <w:tcPr>
            <w:tcW w:type="dxa" w:w="737"/>
            <w:vAlign w:val="center"/>
          </w:tcPr>
          <w:p>
            <w:r/>
            <w:r>
              <w:rPr>
                <w:rFonts w:ascii="Aptos" w:hAnsi="Aptos"/>
                <w:b w:val="0"/>
                <w:sz w:val="16"/>
              </w:rPr>
              <w:t>24</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4C.1) Charger MedGemma une seule fois</w:t>
            </w:r>
          </w:p>
        </w:tc>
        <w:tc>
          <w:tcPr>
            <w:tcW w:type="dxa" w:w="2891"/>
            <w:vAlign w:val="center"/>
          </w:tcPr>
          <w:p>
            <w:r/>
            <w:r>
              <w:rPr>
                <w:rFonts w:ascii="Aptos" w:hAnsi="Aptos"/>
                <w:b w:val="0"/>
                <w:sz w:val="16"/>
              </w:rPr>
              <w:t>4C.1) Charger MedGemma une seule fois</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25</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import torch</w:t>
            </w:r>
          </w:p>
        </w:tc>
        <w:tc>
          <w:tcPr>
            <w:tcW w:type="dxa" w:w="2891"/>
            <w:vAlign w:val="center"/>
          </w:tcPr>
          <w:p>
            <w:r/>
            <w:r>
              <w:rPr>
                <w:rFonts w:ascii="Aptos" w:hAnsi="Aptos"/>
                <w:b w:val="0"/>
                <w:sz w:val="16"/>
              </w:rPr>
              <w:t>4C.1) Charger MedGemma une seule fois</w:t>
            </w:r>
          </w:p>
        </w:tc>
        <w:tc>
          <w:tcPr>
            <w:tcW w:type="dxa" w:w="737"/>
            <w:vAlign w:val="center"/>
          </w:tcPr>
          <w:p>
            <w:r/>
            <w:r>
              <w:rPr>
                <w:rFonts w:ascii="Aptos" w:hAnsi="Aptos"/>
                <w:b w:val="0"/>
                <w:sz w:val="16"/>
              </w:rPr>
              <w:t>64</w:t>
            </w:r>
          </w:p>
        </w:tc>
      </w:tr>
      <w:tr>
        <w:tc>
          <w:tcPr>
            <w:tcW w:type="dxa" w:w="737"/>
            <w:vAlign w:val="center"/>
          </w:tcPr>
          <w:p>
            <w:r/>
            <w:r>
              <w:rPr>
                <w:rFonts w:ascii="Aptos" w:hAnsi="Aptos"/>
                <w:b w:val="0"/>
                <w:sz w:val="16"/>
              </w:rPr>
              <w:t>26</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4D) Finaliser le `gold_source` avec un filtre LLM sur les con</w:t>
            </w:r>
          </w:p>
        </w:tc>
        <w:tc>
          <w:tcPr>
            <w:tcW w:type="dxa" w:w="2891"/>
            <w:vAlign w:val="center"/>
          </w:tcPr>
          <w:p>
            <w:r/>
            <w:r>
              <w:rPr>
                <w:rFonts w:ascii="Aptos" w:hAnsi="Aptos"/>
                <w:b w:val="0"/>
                <w:sz w:val="16"/>
              </w:rPr>
              <w:t>4D) Finaliser le `gold_source` avec un filtre</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27</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w:t>
            </w:r>
          </w:p>
        </w:tc>
        <w:tc>
          <w:tcPr>
            <w:tcW w:type="dxa" w:w="2891"/>
            <w:vAlign w:val="center"/>
          </w:tcPr>
          <w:p>
            <w:r/>
            <w:r>
              <w:rPr>
                <w:rFonts w:ascii="Aptos" w:hAnsi="Aptos"/>
                <w:b w:val="0"/>
                <w:sz w:val="16"/>
              </w:rPr>
              <w:t>4D) Finaliser le `gold_source` avec un filtre</w:t>
            </w:r>
          </w:p>
        </w:tc>
        <w:tc>
          <w:tcPr>
            <w:tcW w:type="dxa" w:w="737"/>
            <w:vAlign w:val="center"/>
          </w:tcPr>
          <w:p>
            <w:r/>
            <w:r>
              <w:rPr>
                <w:rFonts w:ascii="Aptos" w:hAnsi="Aptos"/>
                <w:b w:val="0"/>
                <w:sz w:val="16"/>
              </w:rPr>
              <w:t>195</w:t>
            </w:r>
          </w:p>
        </w:tc>
      </w:tr>
      <w:tr>
        <w:tc>
          <w:tcPr>
            <w:tcW w:type="dxa" w:w="737"/>
            <w:vAlign w:val="center"/>
          </w:tcPr>
          <w:p>
            <w:r/>
            <w:r>
              <w:rPr>
                <w:rFonts w:ascii="Aptos" w:hAnsi="Aptos"/>
                <w:b w:val="0"/>
                <w:sz w:val="16"/>
              </w:rPr>
              <w:t>28</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5) Génération des notes non structurées à partir du `gold_sour</w:t>
            </w:r>
          </w:p>
        </w:tc>
        <w:tc>
          <w:tcPr>
            <w:tcW w:type="dxa" w:w="2891"/>
            <w:vAlign w:val="center"/>
          </w:tcPr>
          <w:p>
            <w:r/>
            <w:r>
              <w:rPr>
                <w:rFonts w:ascii="Aptos" w:hAnsi="Aptos"/>
                <w:b w:val="0"/>
                <w:sz w:val="16"/>
              </w:rPr>
              <w:t>5) Génération des notes non structurées à par</w:t>
            </w:r>
          </w:p>
        </w:tc>
        <w:tc>
          <w:tcPr>
            <w:tcW w:type="dxa" w:w="737"/>
            <w:vAlign w:val="center"/>
          </w:tcPr>
          <w:p>
            <w:r/>
            <w:r>
              <w:rPr>
                <w:rFonts w:ascii="Aptos" w:hAnsi="Aptos"/>
                <w:b w:val="0"/>
                <w:sz w:val="16"/>
              </w:rPr>
              <w:t>9</w:t>
            </w:r>
          </w:p>
        </w:tc>
      </w:tr>
      <w:tr>
        <w:tc>
          <w:tcPr>
            <w:tcW w:type="dxa" w:w="737"/>
            <w:vAlign w:val="center"/>
          </w:tcPr>
          <w:p>
            <w:r/>
            <w:r>
              <w:rPr>
                <w:rFonts w:ascii="Aptos" w:hAnsi="Aptos"/>
                <w:b w:val="0"/>
                <w:sz w:val="16"/>
              </w:rPr>
              <w:t>29</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import ast</w:t>
            </w:r>
          </w:p>
        </w:tc>
        <w:tc>
          <w:tcPr>
            <w:tcW w:type="dxa" w:w="2891"/>
            <w:vAlign w:val="center"/>
          </w:tcPr>
          <w:p>
            <w:r/>
            <w:r>
              <w:rPr>
                <w:rFonts w:ascii="Aptos" w:hAnsi="Aptos"/>
                <w:b w:val="0"/>
                <w:sz w:val="16"/>
              </w:rPr>
              <w:t>5) Génération des notes non structurées à par</w:t>
            </w:r>
          </w:p>
        </w:tc>
        <w:tc>
          <w:tcPr>
            <w:tcW w:type="dxa" w:w="737"/>
            <w:vAlign w:val="center"/>
          </w:tcPr>
          <w:p>
            <w:r/>
            <w:r>
              <w:rPr>
                <w:rFonts w:ascii="Aptos" w:hAnsi="Aptos"/>
                <w:b w:val="0"/>
                <w:sz w:val="16"/>
              </w:rPr>
              <w:t>335</w:t>
            </w:r>
          </w:p>
        </w:tc>
      </w:tr>
      <w:tr>
        <w:tc>
          <w:tcPr>
            <w:tcW w:type="dxa" w:w="737"/>
            <w:vAlign w:val="center"/>
          </w:tcPr>
          <w:p>
            <w:r/>
            <w:r>
              <w:rPr>
                <w:rFonts w:ascii="Aptos" w:hAnsi="Aptos"/>
                <w:b w:val="0"/>
                <w:sz w:val="16"/>
              </w:rPr>
              <w:t>30</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6) Reconstruction structurée depuis `note_text`</w:t>
            </w:r>
          </w:p>
        </w:tc>
        <w:tc>
          <w:tcPr>
            <w:tcW w:type="dxa" w:w="2891"/>
            <w:vAlign w:val="center"/>
          </w:tcPr>
          <w:p>
            <w:r/>
            <w:r>
              <w:rPr>
                <w:rFonts w:ascii="Aptos" w:hAnsi="Aptos"/>
                <w:b w:val="0"/>
                <w:sz w:val="16"/>
              </w:rPr>
              <w:t>6) Reconstruction structurée depuis `note_tex</w:t>
            </w:r>
          </w:p>
        </w:tc>
        <w:tc>
          <w:tcPr>
            <w:tcW w:type="dxa" w:w="737"/>
            <w:vAlign w:val="center"/>
          </w:tcPr>
          <w:p>
            <w:r/>
            <w:r>
              <w:rPr>
                <w:rFonts w:ascii="Aptos" w:hAnsi="Aptos"/>
                <w:b w:val="0"/>
                <w:sz w:val="16"/>
              </w:rPr>
              <w:t>6</w:t>
            </w:r>
          </w:p>
        </w:tc>
      </w:tr>
      <w:tr>
        <w:tc>
          <w:tcPr>
            <w:tcW w:type="dxa" w:w="737"/>
            <w:vAlign w:val="center"/>
          </w:tcPr>
          <w:p>
            <w:r/>
            <w:r>
              <w:rPr>
                <w:rFonts w:ascii="Aptos" w:hAnsi="Aptos"/>
                <w:b w:val="0"/>
                <w:sz w:val="16"/>
              </w:rPr>
              <w:t>31</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class Extracted(BaseModel):</w:t>
            </w:r>
          </w:p>
        </w:tc>
        <w:tc>
          <w:tcPr>
            <w:tcW w:type="dxa" w:w="2891"/>
            <w:vAlign w:val="center"/>
          </w:tcPr>
          <w:p>
            <w:r/>
            <w:r>
              <w:rPr>
                <w:rFonts w:ascii="Aptos" w:hAnsi="Aptos"/>
                <w:b w:val="0"/>
                <w:sz w:val="16"/>
              </w:rPr>
              <w:t>6) Reconstruction structurée depuis `note_tex</w:t>
            </w:r>
          </w:p>
        </w:tc>
        <w:tc>
          <w:tcPr>
            <w:tcW w:type="dxa" w:w="737"/>
            <w:vAlign w:val="center"/>
          </w:tcPr>
          <w:p>
            <w:r/>
            <w:r>
              <w:rPr>
                <w:rFonts w:ascii="Aptos" w:hAnsi="Aptos"/>
                <w:b w:val="0"/>
                <w:sz w:val="16"/>
              </w:rPr>
              <w:t>351</w:t>
            </w:r>
          </w:p>
        </w:tc>
      </w:tr>
      <w:tr>
        <w:tc>
          <w:tcPr>
            <w:tcW w:type="dxa" w:w="737"/>
            <w:vAlign w:val="center"/>
          </w:tcPr>
          <w:p>
            <w:r/>
            <w:r>
              <w:rPr>
                <w:rFonts w:ascii="Aptos" w:hAnsi="Aptos"/>
                <w:b w:val="0"/>
                <w:sz w:val="16"/>
              </w:rPr>
              <w:t>32</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7) Scoring officiel et scoring secondaire</w:t>
            </w:r>
          </w:p>
        </w:tc>
        <w:tc>
          <w:tcPr>
            <w:tcW w:type="dxa" w:w="2891"/>
            <w:vAlign w:val="center"/>
          </w:tcPr>
          <w:p>
            <w:r/>
            <w:r>
              <w:rPr>
                <w:rFonts w:ascii="Aptos" w:hAnsi="Aptos"/>
                <w:b w:val="0"/>
                <w:sz w:val="16"/>
              </w:rPr>
              <w:t>7) Scoring officiel et scoring secondaire</w:t>
            </w:r>
          </w:p>
        </w:tc>
        <w:tc>
          <w:tcPr>
            <w:tcW w:type="dxa" w:w="737"/>
            <w:vAlign w:val="center"/>
          </w:tcPr>
          <w:p>
            <w:r/>
            <w:r>
              <w:rPr>
                <w:rFonts w:ascii="Aptos" w:hAnsi="Aptos"/>
                <w:b w:val="0"/>
                <w:sz w:val="16"/>
              </w:rPr>
              <w:t>23</w:t>
            </w:r>
          </w:p>
        </w:tc>
      </w:tr>
      <w:tr>
        <w:tc>
          <w:tcPr>
            <w:tcW w:type="dxa" w:w="737"/>
            <w:vAlign w:val="center"/>
          </w:tcPr>
          <w:p>
            <w:r/>
            <w:r>
              <w:rPr>
                <w:rFonts w:ascii="Aptos" w:hAnsi="Aptos"/>
                <w:b w:val="0"/>
                <w:sz w:val="16"/>
              </w:rPr>
              <w:t>33</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Scoring officiel et secondaire</w:t>
            </w:r>
          </w:p>
        </w:tc>
        <w:tc>
          <w:tcPr>
            <w:tcW w:type="dxa" w:w="2891"/>
            <w:vAlign w:val="center"/>
          </w:tcPr>
          <w:p>
            <w:r/>
            <w:r>
              <w:rPr>
                <w:rFonts w:ascii="Aptos" w:hAnsi="Aptos"/>
                <w:b w:val="0"/>
                <w:sz w:val="16"/>
              </w:rPr>
              <w:t>7) Scoring officiel et scoring secondaire</w:t>
            </w:r>
          </w:p>
        </w:tc>
        <w:tc>
          <w:tcPr>
            <w:tcW w:type="dxa" w:w="737"/>
            <w:vAlign w:val="center"/>
          </w:tcPr>
          <w:p>
            <w:r/>
            <w:r>
              <w:rPr>
                <w:rFonts w:ascii="Aptos" w:hAnsi="Aptos"/>
                <w:b w:val="0"/>
                <w:sz w:val="16"/>
              </w:rPr>
              <w:t>492</w:t>
            </w:r>
          </w:p>
        </w:tc>
      </w:tr>
      <w:tr>
        <w:tc>
          <w:tcPr>
            <w:tcW w:type="dxa" w:w="737"/>
            <w:vAlign w:val="center"/>
          </w:tcPr>
          <w:p>
            <w:r/>
            <w:r>
              <w:rPr>
                <w:rFonts w:ascii="Aptos" w:hAnsi="Aptos"/>
                <w:b w:val="0"/>
                <w:sz w:val="16"/>
              </w:rPr>
              <w:t>34</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8) Chaîne de vérification LLM</w:t>
            </w:r>
          </w:p>
        </w:tc>
        <w:tc>
          <w:tcPr>
            <w:tcW w:type="dxa" w:w="2891"/>
            <w:vAlign w:val="center"/>
          </w:tcPr>
          <w:p>
            <w:r/>
            <w:r>
              <w:rPr>
                <w:rFonts w:ascii="Aptos" w:hAnsi="Aptos"/>
                <w:b w:val="0"/>
                <w:sz w:val="16"/>
              </w:rPr>
              <w:t>8) Chaîne de vérification LLM</w:t>
            </w:r>
          </w:p>
        </w:tc>
        <w:tc>
          <w:tcPr>
            <w:tcW w:type="dxa" w:w="737"/>
            <w:vAlign w:val="center"/>
          </w:tcPr>
          <w:p>
            <w:r/>
            <w:r>
              <w:rPr>
                <w:rFonts w:ascii="Aptos" w:hAnsi="Aptos"/>
                <w:b w:val="0"/>
                <w:sz w:val="16"/>
              </w:rPr>
              <w:t>12</w:t>
            </w:r>
          </w:p>
        </w:tc>
      </w:tr>
      <w:tr>
        <w:tc>
          <w:tcPr>
            <w:tcW w:type="dxa" w:w="737"/>
            <w:vAlign w:val="center"/>
          </w:tcPr>
          <w:p>
            <w:r/>
            <w:r>
              <w:rPr>
                <w:rFonts w:ascii="Aptos" w:hAnsi="Aptos"/>
                <w:b w:val="0"/>
                <w:sz w:val="16"/>
              </w:rPr>
              <w:t>35</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8) LLM verification chain (note_clean + recon_clean -&gt; verifica</w:t>
            </w:r>
          </w:p>
        </w:tc>
        <w:tc>
          <w:tcPr>
            <w:tcW w:type="dxa" w:w="2891"/>
            <w:vAlign w:val="center"/>
          </w:tcPr>
          <w:p>
            <w:r/>
            <w:r>
              <w:rPr>
                <w:rFonts w:ascii="Aptos" w:hAnsi="Aptos"/>
                <w:b w:val="0"/>
                <w:sz w:val="16"/>
              </w:rPr>
              <w:t>8) Chaîne de vérification LLM</w:t>
            </w:r>
          </w:p>
        </w:tc>
        <w:tc>
          <w:tcPr>
            <w:tcW w:type="dxa" w:w="737"/>
            <w:vAlign w:val="center"/>
          </w:tcPr>
          <w:p>
            <w:r/>
            <w:r>
              <w:rPr>
                <w:rFonts w:ascii="Aptos" w:hAnsi="Aptos"/>
                <w:b w:val="0"/>
                <w:sz w:val="16"/>
              </w:rPr>
              <w:t>164</w:t>
            </w:r>
          </w:p>
        </w:tc>
      </w:tr>
      <w:tr>
        <w:tc>
          <w:tcPr>
            <w:tcW w:type="dxa" w:w="737"/>
            <w:vAlign w:val="center"/>
          </w:tcPr>
          <w:p>
            <w:r/>
            <w:r>
              <w:rPr>
                <w:rFonts w:ascii="Aptos" w:hAnsi="Aptos"/>
                <w:b w:val="0"/>
                <w:sz w:val="16"/>
              </w:rPr>
              <w:t>36</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9) Analyse des erreurs, taxonomie et difficulté par `note_styl</w:t>
            </w:r>
          </w:p>
        </w:tc>
        <w:tc>
          <w:tcPr>
            <w:tcW w:type="dxa" w:w="2891"/>
            <w:vAlign w:val="center"/>
          </w:tcPr>
          <w:p>
            <w:r/>
            <w:r>
              <w:rPr>
                <w:rFonts w:ascii="Aptos" w:hAnsi="Aptos"/>
                <w:b w:val="0"/>
                <w:sz w:val="16"/>
              </w:rPr>
              <w:t>9) Analyse des erreurs, taxonomie et difficul</w:t>
            </w:r>
          </w:p>
        </w:tc>
        <w:tc>
          <w:tcPr>
            <w:tcW w:type="dxa" w:w="737"/>
            <w:vAlign w:val="center"/>
          </w:tcPr>
          <w:p>
            <w:r/>
            <w:r>
              <w:rPr>
                <w:rFonts w:ascii="Aptos" w:hAnsi="Aptos"/>
                <w:b w:val="0"/>
                <w:sz w:val="16"/>
              </w:rPr>
              <w:t>88</w:t>
            </w:r>
          </w:p>
        </w:tc>
      </w:tr>
      <w:tr>
        <w:tc>
          <w:tcPr>
            <w:tcW w:type="dxa" w:w="737"/>
            <w:vAlign w:val="center"/>
          </w:tcPr>
          <w:p>
            <w:r/>
            <w:r>
              <w:rPr>
                <w:rFonts w:ascii="Aptos" w:hAnsi="Aptos"/>
                <w:b w:val="0"/>
                <w:sz w:val="16"/>
              </w:rPr>
              <w:t>37</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9) Error taxonomy (interpretation layer on top of the scores)</w:t>
            </w:r>
          </w:p>
        </w:tc>
        <w:tc>
          <w:tcPr>
            <w:tcW w:type="dxa" w:w="2891"/>
            <w:vAlign w:val="center"/>
          </w:tcPr>
          <w:p>
            <w:r/>
            <w:r>
              <w:rPr>
                <w:rFonts w:ascii="Aptos" w:hAnsi="Aptos"/>
                <w:b w:val="0"/>
                <w:sz w:val="16"/>
              </w:rPr>
              <w:t>9) Analyse des erreurs, taxonomie et difficul</w:t>
            </w:r>
          </w:p>
        </w:tc>
        <w:tc>
          <w:tcPr>
            <w:tcW w:type="dxa" w:w="737"/>
            <w:vAlign w:val="center"/>
          </w:tcPr>
          <w:p>
            <w:r/>
            <w:r>
              <w:rPr>
                <w:rFonts w:ascii="Aptos" w:hAnsi="Aptos"/>
                <w:b w:val="0"/>
                <w:sz w:val="16"/>
              </w:rPr>
              <w:t>223</w:t>
            </w:r>
          </w:p>
        </w:tc>
      </w:tr>
      <w:tr>
        <w:tc>
          <w:tcPr>
            <w:tcW w:type="dxa" w:w="737"/>
            <w:vAlign w:val="center"/>
          </w:tcPr>
          <w:p>
            <w:r/>
            <w:r>
              <w:rPr>
                <w:rFonts w:ascii="Aptos" w:hAnsi="Aptos"/>
                <w:b w:val="0"/>
                <w:sz w:val="16"/>
              </w:rPr>
              <w:t>38</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9.1) Score summaries</w:t>
            </w:r>
          </w:p>
        </w:tc>
        <w:tc>
          <w:tcPr>
            <w:tcW w:type="dxa" w:w="2891"/>
            <w:vAlign w:val="center"/>
          </w:tcPr>
          <w:p>
            <w:r/>
            <w:r>
              <w:rPr>
                <w:rFonts w:ascii="Aptos" w:hAnsi="Aptos"/>
                <w:b w:val="0"/>
                <w:sz w:val="16"/>
              </w:rPr>
              <w:t>9.1) Score summaries</w:t>
            </w:r>
          </w:p>
        </w:tc>
        <w:tc>
          <w:tcPr>
            <w:tcW w:type="dxa" w:w="737"/>
            <w:vAlign w:val="center"/>
          </w:tcPr>
          <w:p>
            <w:r/>
            <w:r>
              <w:rPr>
                <w:rFonts w:ascii="Aptos" w:hAnsi="Aptos"/>
                <w:b w:val="0"/>
                <w:sz w:val="16"/>
              </w:rPr>
              <w:t>10</w:t>
            </w:r>
          </w:p>
        </w:tc>
      </w:tr>
      <w:tr>
        <w:tc>
          <w:tcPr>
            <w:tcW w:type="dxa" w:w="737"/>
            <w:vAlign w:val="center"/>
          </w:tcPr>
          <w:p>
            <w:r/>
            <w:r>
              <w:rPr>
                <w:rFonts w:ascii="Aptos" w:hAnsi="Aptos"/>
                <w:b w:val="0"/>
                <w:sz w:val="16"/>
              </w:rPr>
              <w:t>39</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9.1) Score summaries</w:t>
            </w:r>
          </w:p>
        </w:tc>
        <w:tc>
          <w:tcPr>
            <w:tcW w:type="dxa" w:w="2891"/>
            <w:vAlign w:val="center"/>
          </w:tcPr>
          <w:p>
            <w:r/>
            <w:r>
              <w:rPr>
                <w:rFonts w:ascii="Aptos" w:hAnsi="Aptos"/>
                <w:b w:val="0"/>
                <w:sz w:val="16"/>
              </w:rPr>
              <w:t>9.1) Score summaries</w:t>
            </w:r>
          </w:p>
        </w:tc>
        <w:tc>
          <w:tcPr>
            <w:tcW w:type="dxa" w:w="737"/>
            <w:vAlign w:val="center"/>
          </w:tcPr>
          <w:p>
            <w:r/>
            <w:r>
              <w:rPr>
                <w:rFonts w:ascii="Aptos" w:hAnsi="Aptos"/>
                <w:b w:val="0"/>
                <w:sz w:val="16"/>
              </w:rPr>
              <w:t>221</w:t>
            </w:r>
          </w:p>
        </w:tc>
      </w:tr>
      <w:tr>
        <w:tc>
          <w:tcPr>
            <w:tcW w:type="dxa" w:w="737"/>
            <w:vAlign w:val="center"/>
          </w:tcPr>
          <w:p>
            <w:r/>
            <w:r>
              <w:rPr>
                <w:rFonts w:ascii="Aptos" w:hAnsi="Aptos"/>
                <w:b w:val="0"/>
                <w:sz w:val="16"/>
              </w:rPr>
              <w:t>40</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10) Fichiers produits et lecture des sorties</w:t>
            </w:r>
          </w:p>
        </w:tc>
        <w:tc>
          <w:tcPr>
            <w:tcW w:type="dxa" w:w="2891"/>
            <w:vAlign w:val="center"/>
          </w:tcPr>
          <w:p>
            <w:r/>
            <w:r>
              <w:rPr>
                <w:rFonts w:ascii="Aptos" w:hAnsi="Aptos"/>
                <w:b w:val="0"/>
                <w:sz w:val="16"/>
              </w:rPr>
              <w:t>10) Fichiers produits et lecture des sorties</w:t>
            </w:r>
          </w:p>
        </w:tc>
        <w:tc>
          <w:tcPr>
            <w:tcW w:type="dxa" w:w="737"/>
            <w:vAlign w:val="center"/>
          </w:tcPr>
          <w:p>
            <w:r/>
            <w:r>
              <w:rPr>
                <w:rFonts w:ascii="Aptos" w:hAnsi="Aptos"/>
                <w:b w:val="0"/>
                <w:sz w:val="16"/>
              </w:rPr>
              <w:t>1</w:t>
            </w:r>
          </w:p>
        </w:tc>
      </w:tr>
      <w:tr>
        <w:tc>
          <w:tcPr>
            <w:tcW w:type="dxa" w:w="737"/>
            <w:vAlign w:val="center"/>
          </w:tcPr>
          <w:p>
            <w:r/>
            <w:r>
              <w:rPr>
                <w:rFonts w:ascii="Aptos" w:hAnsi="Aptos"/>
                <w:b w:val="0"/>
                <w:sz w:val="16"/>
              </w:rPr>
              <w:t>41</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Dataset filtré: `synthea_local_simplified/filtered_conditions_m</w:t>
            </w:r>
          </w:p>
        </w:tc>
        <w:tc>
          <w:tcPr>
            <w:tcW w:type="dxa" w:w="2891"/>
            <w:vAlign w:val="center"/>
          </w:tcPr>
          <w:p>
            <w:r/>
            <w:r>
              <w:rPr>
                <w:rFonts w:ascii="Aptos" w:hAnsi="Aptos"/>
                <w:b w:val="0"/>
                <w:sz w:val="16"/>
              </w:rPr>
              <w:t>10) Fichiers produits et lecture des sorties</w:t>
            </w:r>
          </w:p>
        </w:tc>
        <w:tc>
          <w:tcPr>
            <w:tcW w:type="dxa" w:w="737"/>
            <w:vAlign w:val="center"/>
          </w:tcPr>
          <w:p>
            <w:r/>
            <w:r>
              <w:rPr>
                <w:rFonts w:ascii="Aptos" w:hAnsi="Aptos"/>
                <w:b w:val="0"/>
                <w:sz w:val="16"/>
              </w:rPr>
              <w:t>5</w:t>
            </w:r>
          </w:p>
        </w:tc>
      </w:tr>
      <w:tr>
        <w:tc>
          <w:tcPr>
            <w:tcW w:type="dxa" w:w="737"/>
            <w:vAlign w:val="center"/>
          </w:tcPr>
          <w:p>
            <w:r/>
            <w:r>
              <w:rPr>
                <w:rFonts w:ascii="Aptos" w:hAnsi="Aptos"/>
                <w:b w:val="0"/>
                <w:sz w:val="16"/>
              </w:rPr>
              <w:t>42</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10.1) Reset final benchmark outputs (optionnel mais recommandé</w:t>
            </w:r>
          </w:p>
        </w:tc>
        <w:tc>
          <w:tcPr>
            <w:tcW w:type="dxa" w:w="2891"/>
            <w:vAlign w:val="center"/>
          </w:tcPr>
          <w:p>
            <w:r/>
            <w:r>
              <w:rPr>
                <w:rFonts w:ascii="Aptos" w:hAnsi="Aptos"/>
                <w:b w:val="0"/>
                <w:sz w:val="16"/>
              </w:rPr>
              <w:t>10.1) Reset final benchmark outputs (optionne</w:t>
            </w:r>
          </w:p>
        </w:tc>
        <w:tc>
          <w:tcPr>
            <w:tcW w:type="dxa" w:w="737"/>
            <w:vAlign w:val="center"/>
          </w:tcPr>
          <w:p>
            <w:r/>
            <w:r>
              <w:rPr>
                <w:rFonts w:ascii="Aptos" w:hAnsi="Aptos"/>
                <w:b w:val="0"/>
                <w:sz w:val="16"/>
              </w:rPr>
              <w:t>9</w:t>
            </w:r>
          </w:p>
        </w:tc>
      </w:tr>
      <w:tr>
        <w:tc>
          <w:tcPr>
            <w:tcW w:type="dxa" w:w="737"/>
            <w:vAlign w:val="center"/>
          </w:tcPr>
          <w:p>
            <w:r/>
            <w:r>
              <w:rPr>
                <w:rFonts w:ascii="Aptos" w:hAnsi="Aptos"/>
                <w:b w:val="0"/>
                <w:sz w:val="16"/>
              </w:rPr>
              <w:t>43</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Reset final benchmark outputs (safe cleanup of final analytical</w:t>
            </w:r>
          </w:p>
        </w:tc>
        <w:tc>
          <w:tcPr>
            <w:tcW w:type="dxa" w:w="2891"/>
            <w:vAlign w:val="center"/>
          </w:tcPr>
          <w:p>
            <w:r/>
            <w:r>
              <w:rPr>
                <w:rFonts w:ascii="Aptos" w:hAnsi="Aptos"/>
                <w:b w:val="0"/>
                <w:sz w:val="16"/>
              </w:rPr>
              <w:t>10.1) Reset final benchmark outputs (optionne</w:t>
            </w:r>
          </w:p>
        </w:tc>
        <w:tc>
          <w:tcPr>
            <w:tcW w:type="dxa" w:w="737"/>
            <w:vAlign w:val="center"/>
          </w:tcPr>
          <w:p>
            <w:r/>
            <w:r>
              <w:rPr>
                <w:rFonts w:ascii="Aptos" w:hAnsi="Aptos"/>
                <w:b w:val="0"/>
                <w:sz w:val="16"/>
              </w:rPr>
              <w:t>36</w:t>
            </w:r>
          </w:p>
        </w:tc>
      </w:tr>
      <w:tr>
        <w:tc>
          <w:tcPr>
            <w:tcW w:type="dxa" w:w="737"/>
            <w:vAlign w:val="center"/>
          </w:tcPr>
          <w:p>
            <w:r/>
            <w:r>
              <w:rPr>
                <w:rFonts w:ascii="Aptos" w:hAnsi="Aptos"/>
                <w:b w:val="0"/>
                <w:sz w:val="16"/>
              </w:rPr>
              <w:t>44</w:t>
            </w:r>
          </w:p>
        </w:tc>
        <w:tc>
          <w:tcPr>
            <w:tcW w:type="dxa" w:w="1020"/>
            <w:vAlign w:val="center"/>
          </w:tcPr>
          <w:p>
            <w:r/>
            <w:r>
              <w:rPr>
                <w:rFonts w:ascii="Aptos" w:hAnsi="Aptos"/>
                <w:b w:val="0"/>
                <w:sz w:val="16"/>
              </w:rPr>
              <w:t>markdown</w:t>
            </w:r>
          </w:p>
        </w:tc>
        <w:tc>
          <w:tcPr>
            <w:tcW w:type="dxa" w:w="3628"/>
            <w:vAlign w:val="center"/>
          </w:tcPr>
          <w:p>
            <w:r/>
            <w:r>
              <w:rPr>
                <w:rFonts w:ascii="Aptos" w:hAnsi="Aptos"/>
                <w:b w:val="0"/>
                <w:sz w:val="16"/>
              </w:rPr>
              <w:t>## 11) Export des datasets depuis le cache</w:t>
            </w:r>
          </w:p>
        </w:tc>
        <w:tc>
          <w:tcPr>
            <w:tcW w:type="dxa" w:w="2891"/>
            <w:vAlign w:val="center"/>
          </w:tcPr>
          <w:p>
            <w:r/>
            <w:r>
              <w:rPr>
                <w:rFonts w:ascii="Aptos" w:hAnsi="Aptos"/>
                <w:b w:val="0"/>
                <w:sz w:val="16"/>
              </w:rPr>
              <w:t>11) Export des datasets depuis le cache</w:t>
            </w:r>
          </w:p>
        </w:tc>
        <w:tc>
          <w:tcPr>
            <w:tcW w:type="dxa" w:w="737"/>
            <w:vAlign w:val="center"/>
          </w:tcPr>
          <w:p>
            <w:r/>
            <w:r>
              <w:rPr>
                <w:rFonts w:ascii="Aptos" w:hAnsi="Aptos"/>
                <w:b w:val="0"/>
                <w:sz w:val="16"/>
              </w:rPr>
              <w:t>3</w:t>
            </w:r>
          </w:p>
        </w:tc>
      </w:tr>
      <w:tr>
        <w:tc>
          <w:tcPr>
            <w:tcW w:type="dxa" w:w="737"/>
            <w:vAlign w:val="center"/>
          </w:tcPr>
          <w:p>
            <w:r/>
            <w:r>
              <w:rPr>
                <w:rFonts w:ascii="Aptos" w:hAnsi="Aptos"/>
                <w:b w:val="0"/>
                <w:sz w:val="16"/>
              </w:rPr>
              <w:t>45</w:t>
            </w:r>
          </w:p>
        </w:tc>
        <w:tc>
          <w:tcPr>
            <w:tcW w:type="dxa" w:w="1020"/>
            <w:vAlign w:val="center"/>
          </w:tcPr>
          <w:p>
            <w:r/>
            <w:r>
              <w:rPr>
                <w:rFonts w:ascii="Aptos" w:hAnsi="Aptos"/>
                <w:b w:val="0"/>
                <w:sz w:val="16"/>
              </w:rPr>
              <w:t>code</w:t>
            </w:r>
          </w:p>
        </w:tc>
        <w:tc>
          <w:tcPr>
            <w:tcW w:type="dxa" w:w="3628"/>
            <w:vAlign w:val="center"/>
          </w:tcPr>
          <w:p>
            <w:r/>
            <w:r>
              <w:rPr>
                <w:rFonts w:ascii="Aptos" w:hAnsi="Aptos"/>
                <w:b w:val="0"/>
                <w:sz w:val="16"/>
              </w:rPr>
              <w:t># Export and inspect full datasets from on-disk cache (no truncat</w:t>
            </w:r>
          </w:p>
        </w:tc>
        <w:tc>
          <w:tcPr>
            <w:tcW w:type="dxa" w:w="2891"/>
            <w:vAlign w:val="center"/>
          </w:tcPr>
          <w:p>
            <w:r/>
            <w:r>
              <w:rPr>
                <w:rFonts w:ascii="Aptos" w:hAnsi="Aptos"/>
                <w:b w:val="0"/>
                <w:sz w:val="16"/>
              </w:rPr>
              <w:t>11) Export des datasets depuis le cache</w:t>
            </w:r>
          </w:p>
        </w:tc>
        <w:tc>
          <w:tcPr>
            <w:tcW w:type="dxa" w:w="737"/>
            <w:vAlign w:val="center"/>
          </w:tcPr>
          <w:p>
            <w:r/>
            <w:r>
              <w:rPr>
                <w:rFonts w:ascii="Aptos" w:hAnsi="Aptos"/>
                <w:b w:val="0"/>
                <w:sz w:val="16"/>
              </w:rPr>
              <w:t>877</w:t>
            </w:r>
          </w:p>
        </w:tc>
      </w:tr>
    </w:tbl>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7"/>
      </w:rPr>
      <w:t>Document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8"/>
      </w:rPr>
      <w:t>Audit du notebook BUPA_benchmark.ipynb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C3E5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Aptos" w:hAnsi="Aptos"/>
      <w:color w:val="585858"/>
      <w:sz w:val="18"/>
    </w:rPr>
  </w:style>
  <w:style w:type="paragraph" w:customStyle="1" w:styleId="Codeish">
    <w:name w:val="Codeish"/>
    <w:pPr>
      <w:ind w:left="28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