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Documentation détaillée du notebook BUPA_benchmark.ipynb</w:t>
      </w:r>
    </w:p>
    <w:p>
      <w:pPr>
        <w:pStyle w:val="Subtitle"/>
        <w:jc w:val="center"/>
      </w:pPr>
      <w:r>
        <w:t>Guide complet pour comprendre le quoi, le comment, le pourquoi et l'intérêt de chaque étape, même sans connaissance préalable</w:t>
      </w:r>
    </w:p>
    <w:p/>
    <w:tbl>
      <w:tblPr>
        <w:tblStyle w:val="TableGrid"/>
        <w:tblW w:type="auto" w:w="0"/>
        <w:jc w:val="center"/>
        <w:tblLayout w:type="fixed"/>
        <w:tblLook w:firstColumn="1" w:firstRow="1" w:lastColumn="0" w:lastRow="0" w:noHBand="0" w:noVBand="1" w:val="04A0"/>
      </w:tblPr>
      <w:tblGrid>
        <w:gridCol w:w="4873"/>
        <w:gridCol w:w="4873"/>
      </w:tblGrid>
      <w:tr>
        <w:tc>
          <w:tcPr>
            <w:tcW w:type="dxa" w:w="2381"/>
            <w:vAlign w:val="center"/>
            <w:shd w:fill="5B9BD5"/>
          </w:tcPr>
          <w:p>
            <w:r/>
            <w:r>
              <w:rPr>
                <w:rFonts w:ascii="Aptos" w:hAnsi="Aptos"/>
                <w:b/>
                <w:color w:val="FFFFFF"/>
                <w:sz w:val="20"/>
              </w:rPr>
              <w:t>Champ</w:t>
            </w:r>
          </w:p>
        </w:tc>
        <w:tc>
          <w:tcPr>
            <w:tcW w:type="dxa" w:w="6236"/>
            <w:vAlign w:val="center"/>
            <w:shd w:fill="5B9BD5"/>
          </w:tcPr>
          <w:p>
            <w:r/>
            <w:r>
              <w:rPr>
                <w:rFonts w:ascii="Aptos" w:hAnsi="Aptos"/>
                <w:b/>
                <w:color w:val="FFFFFF"/>
                <w:sz w:val="20"/>
              </w:rPr>
              <w:t>Valeur</w:t>
            </w:r>
          </w:p>
        </w:tc>
      </w:tr>
      <w:tr>
        <w:tc>
          <w:tcPr>
            <w:tcW w:type="dxa" w:w="2381"/>
            <w:vAlign w:val="center"/>
          </w:tcPr>
          <w:p>
            <w:r/>
            <w:r>
              <w:rPr>
                <w:rFonts w:ascii="Aptos" w:hAnsi="Aptos"/>
                <w:b w:val="0"/>
                <w:sz w:val="18"/>
              </w:rPr>
              <w:t>Public visé</w:t>
            </w:r>
          </w:p>
        </w:tc>
        <w:tc>
          <w:tcPr>
            <w:tcW w:type="dxa" w:w="6236"/>
            <w:vAlign w:val="center"/>
          </w:tcPr>
          <w:p>
            <w:r/>
            <w:r>
              <w:rPr>
                <w:rFonts w:ascii="Aptos" w:hAnsi="Aptos"/>
                <w:b w:val="0"/>
                <w:sz w:val="18"/>
              </w:rPr>
              <w:t>Lecteur débutant sans connaissance préalable du code ni du projet</w:t>
            </w:r>
          </w:p>
        </w:tc>
      </w:tr>
      <w:tr>
        <w:tc>
          <w:tcPr>
            <w:tcW w:type="dxa" w:w="2381"/>
            <w:vAlign w:val="center"/>
          </w:tcPr>
          <w:p>
            <w:r/>
            <w:r>
              <w:rPr>
                <w:rFonts w:ascii="Aptos" w:hAnsi="Aptos"/>
                <w:b w:val="0"/>
                <w:sz w:val="18"/>
              </w:rPr>
              <w:t>Objet</w:t>
            </w:r>
          </w:p>
        </w:tc>
        <w:tc>
          <w:tcPr>
            <w:tcW w:type="dxa" w:w="6236"/>
            <w:vAlign w:val="center"/>
          </w:tcPr>
          <w:p>
            <w:r/>
            <w:r>
              <w:rPr>
                <w:rFonts w:ascii="Aptos" w:hAnsi="Aptos"/>
                <w:b w:val="0"/>
                <w:sz w:val="18"/>
              </w:rPr>
              <w:t>Expliquer le pipeline complet et le rôle de chaque étape du notebook</w:t>
            </w:r>
          </w:p>
        </w:tc>
      </w:tr>
      <w:tr>
        <w:tc>
          <w:tcPr>
            <w:tcW w:type="dxa" w:w="2381"/>
            <w:vAlign w:val="center"/>
          </w:tcPr>
          <w:p>
            <w:r/>
            <w:r>
              <w:rPr>
                <w:rFonts w:ascii="Aptos" w:hAnsi="Aptos"/>
                <w:b w:val="0"/>
                <w:sz w:val="18"/>
              </w:rPr>
              <w:t>Notebook documenté</w:t>
            </w:r>
          </w:p>
        </w:tc>
        <w:tc>
          <w:tcPr>
            <w:tcW w:type="dxa" w:w="6236"/>
            <w:vAlign w:val="center"/>
          </w:tcPr>
          <w:p>
            <w:r/>
            <w:r>
              <w:rPr>
                <w:rFonts w:ascii="Aptos" w:hAnsi="Aptos"/>
                <w:b w:val="0"/>
                <w:sz w:val="18"/>
              </w:rPr>
              <w:t>BUPA_benchmark.ipynb</w:t>
            </w:r>
          </w:p>
        </w:tc>
      </w:tr>
      <w:tr>
        <w:tc>
          <w:tcPr>
            <w:tcW w:type="dxa" w:w="2381"/>
            <w:vAlign w:val="center"/>
          </w:tcPr>
          <w:p>
            <w:r/>
            <w:r>
              <w:rPr>
                <w:rFonts w:ascii="Aptos" w:hAnsi="Aptos"/>
                <w:b w:val="0"/>
                <w:sz w:val="18"/>
              </w:rPr>
              <w:t>Périmètre métier</w:t>
            </w:r>
          </w:p>
        </w:tc>
        <w:tc>
          <w:tcPr>
            <w:tcW w:type="dxa" w:w="6236"/>
            <w:vAlign w:val="center"/>
          </w:tcPr>
          <w:p>
            <w:r/>
            <w:r>
              <w:rPr>
                <w:rFonts w:ascii="Aptos" w:hAnsi="Aptos"/>
                <w:b w:val="0"/>
                <w:sz w:val="18"/>
              </w:rPr>
              <w:t>Conditions et MedicationRequest dans des bundles FHIR synthétiques</w:t>
            </w:r>
          </w:p>
        </w:tc>
      </w:tr>
    </w:tbl>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Comment lire ce document</w:t>
              <w:br/>
            </w:r>
            <w:r>
              <w:rPr>
                <w:sz w:val="20"/>
              </w:rPr>
              <w:t>La logique est volontairement pédagogique. Chaque bloc explique d'abord l'idée simple, puis le fonctionnement, puis l'utilité de l'étape. Le but n'est pas seulement de dire ce que fait le code, mais pourquoi ce code existe et quel problème il résout dans le projet.</w:t>
            </w:r>
          </w:p>
        </w:tc>
      </w:tr>
    </w:tbl>
    <w:p>
      <w:r>
        <w:br w:type="page"/>
      </w:r>
    </w:p>
    <w:p>
      <w:pPr>
        <w:pStyle w:val="Heading1"/>
      </w:pPr>
      <w:r>
        <w:t>1. Le projet en une phrase</w:t>
      </w:r>
    </w:p>
    <w:p>
      <w:r>
        <w:t>Le notebook prend des dossiers médicaux synthétiques au format FHIR, sélectionne l'information pertinente, transforme cette information en notes cliniques non structurées, puis tente de reconstituer la structure d'origine à partir de ces notes afin de mesurer la qualité de cette reconstruction.</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Image mentale simple</w:t>
              <w:br/>
            </w:r>
            <w:r>
              <w:rPr>
                <w:sz w:val="20"/>
              </w:rPr>
              <w:t>On part d'une fiche patient structurée, on la transforme en note rédigée comme par un professionnel de santé, puis on demande à l'ordinateur de relire cette note pour retrouver la fiche d'origine. Le notebook mesure ensuite à quel point la reconstitution est fidèle.</w:t>
            </w:r>
          </w:p>
        </w:tc>
      </w:tr>
    </w:tbl>
    <w:p>
      <w:pPr>
        <w:pStyle w:val="Heading1"/>
      </w:pPr>
      <w:r>
        <w:t>2. Les notions minimales à connaître avant de commencer</w:t>
      </w:r>
    </w:p>
    <w:tbl>
      <w:tblPr>
        <w:tblStyle w:val="TableGrid"/>
        <w:tblW w:type="auto" w:w="0"/>
        <w:jc w:val="center"/>
        <w:tblLayout w:type="fixed"/>
        <w:tblLook w:firstColumn="1" w:firstRow="1" w:lastColumn="0" w:lastRow="0" w:noHBand="0" w:noVBand="1" w:val="04A0"/>
      </w:tblPr>
      <w:tblGrid>
        <w:gridCol w:w="4873"/>
        <w:gridCol w:w="4873"/>
      </w:tblGrid>
      <w:tr>
        <w:tc>
          <w:tcPr>
            <w:tcW w:type="dxa" w:w="2154"/>
            <w:vAlign w:val="center"/>
            <w:shd w:fill="5B9BD5"/>
          </w:tcPr>
          <w:p>
            <w:r/>
            <w:r>
              <w:rPr>
                <w:rFonts w:ascii="Aptos" w:hAnsi="Aptos"/>
                <w:b/>
                <w:color w:val="FFFFFF"/>
                <w:sz w:val="20"/>
              </w:rPr>
              <w:t>Notion</w:t>
            </w:r>
          </w:p>
        </w:tc>
        <w:tc>
          <w:tcPr>
            <w:tcW w:type="dxa" w:w="6746"/>
            <w:vAlign w:val="center"/>
            <w:shd w:fill="5B9BD5"/>
          </w:tcPr>
          <w:p>
            <w:r/>
            <w:r>
              <w:rPr>
                <w:rFonts w:ascii="Aptos" w:hAnsi="Aptos"/>
                <w:b/>
                <w:color w:val="FFFFFF"/>
                <w:sz w:val="20"/>
              </w:rPr>
              <w:t>Explication simple</w:t>
            </w:r>
          </w:p>
        </w:tc>
      </w:tr>
      <w:tr>
        <w:tc>
          <w:tcPr>
            <w:tcW w:type="dxa" w:w="2154"/>
            <w:vAlign w:val="center"/>
          </w:tcPr>
          <w:p>
            <w:r/>
            <w:r>
              <w:rPr>
                <w:rFonts w:ascii="Aptos" w:hAnsi="Aptos"/>
                <w:b w:val="0"/>
                <w:sz w:val="18"/>
              </w:rPr>
              <w:t>FHIR</w:t>
            </w:r>
          </w:p>
        </w:tc>
        <w:tc>
          <w:tcPr>
            <w:tcW w:type="dxa" w:w="6746"/>
            <w:vAlign w:val="center"/>
          </w:tcPr>
          <w:p>
            <w:r/>
            <w:r>
              <w:rPr>
                <w:rFonts w:ascii="Aptos" w:hAnsi="Aptos"/>
                <w:b w:val="0"/>
                <w:sz w:val="18"/>
              </w:rPr>
              <w:t>A healthcare data standard. Here it is the original structured format for synthetic patient records.</w:t>
            </w:r>
          </w:p>
        </w:tc>
      </w:tr>
      <w:tr>
        <w:tc>
          <w:tcPr>
            <w:tcW w:type="dxa" w:w="2154"/>
            <w:vAlign w:val="center"/>
          </w:tcPr>
          <w:p>
            <w:r/>
            <w:r>
              <w:rPr>
                <w:rFonts w:ascii="Aptos" w:hAnsi="Aptos"/>
                <w:b w:val="0"/>
                <w:sz w:val="18"/>
              </w:rPr>
              <w:t>Bundle</w:t>
            </w:r>
          </w:p>
        </w:tc>
        <w:tc>
          <w:tcPr>
            <w:tcW w:type="dxa" w:w="6746"/>
            <w:vAlign w:val="center"/>
          </w:tcPr>
          <w:p>
            <w:r/>
            <w:r>
              <w:rPr>
                <w:rFonts w:ascii="Aptos" w:hAnsi="Aptos"/>
                <w:b w:val="0"/>
                <w:sz w:val="18"/>
              </w:rPr>
              <w:t>A packet of FHIR resources that belong together, usually around one patient.</w:t>
            </w:r>
          </w:p>
        </w:tc>
      </w:tr>
      <w:tr>
        <w:tc>
          <w:tcPr>
            <w:tcW w:type="dxa" w:w="2154"/>
            <w:vAlign w:val="center"/>
          </w:tcPr>
          <w:p>
            <w:r/>
            <w:r>
              <w:rPr>
                <w:rFonts w:ascii="Aptos" w:hAnsi="Aptos"/>
                <w:b w:val="0"/>
                <w:sz w:val="18"/>
              </w:rPr>
              <w:t>Condition</w:t>
            </w:r>
          </w:p>
        </w:tc>
        <w:tc>
          <w:tcPr>
            <w:tcW w:type="dxa" w:w="6746"/>
            <w:vAlign w:val="center"/>
          </w:tcPr>
          <w:p>
            <w:r/>
            <w:r>
              <w:rPr>
                <w:rFonts w:ascii="Aptos" w:hAnsi="Aptos"/>
                <w:b w:val="0"/>
                <w:sz w:val="18"/>
              </w:rPr>
              <w:t>FHIR resource representing a disease, problem, diagnosis, or medical history item.</w:t>
            </w:r>
          </w:p>
        </w:tc>
      </w:tr>
      <w:tr>
        <w:tc>
          <w:tcPr>
            <w:tcW w:type="dxa" w:w="2154"/>
            <w:vAlign w:val="center"/>
          </w:tcPr>
          <w:p>
            <w:r/>
            <w:r>
              <w:rPr>
                <w:rFonts w:ascii="Aptos" w:hAnsi="Aptos"/>
                <w:b w:val="0"/>
                <w:sz w:val="18"/>
              </w:rPr>
              <w:t>MedicationRequest</w:t>
            </w:r>
          </w:p>
        </w:tc>
        <w:tc>
          <w:tcPr>
            <w:tcW w:type="dxa" w:w="6746"/>
            <w:vAlign w:val="center"/>
          </w:tcPr>
          <w:p>
            <w:r/>
            <w:r>
              <w:rPr>
                <w:rFonts w:ascii="Aptos" w:hAnsi="Aptos"/>
                <w:b w:val="0"/>
                <w:sz w:val="18"/>
              </w:rPr>
              <w:t>FHIR resource representing a requested, prescribed, or current medication item.</w:t>
            </w:r>
          </w:p>
        </w:tc>
      </w:tr>
      <w:tr>
        <w:tc>
          <w:tcPr>
            <w:tcW w:type="dxa" w:w="2154"/>
            <w:vAlign w:val="center"/>
          </w:tcPr>
          <w:p>
            <w:r/>
            <w:r>
              <w:rPr>
                <w:rFonts w:ascii="Aptos" w:hAnsi="Aptos"/>
                <w:b w:val="0"/>
                <w:sz w:val="18"/>
              </w:rPr>
              <w:t>Gold source</w:t>
            </w:r>
          </w:p>
        </w:tc>
        <w:tc>
          <w:tcPr>
            <w:tcW w:type="dxa" w:w="6746"/>
            <w:vAlign w:val="center"/>
          </w:tcPr>
          <w:p>
            <w:r/>
            <w:r>
              <w:rPr>
                <w:rFonts w:ascii="Aptos" w:hAnsi="Aptos"/>
                <w:b w:val="0"/>
                <w:sz w:val="18"/>
              </w:rPr>
              <w:t>The filtered structured reference used to generate notes and evaluate reconstruction.</w:t>
            </w:r>
          </w:p>
        </w:tc>
      </w:tr>
      <w:tr>
        <w:tc>
          <w:tcPr>
            <w:tcW w:type="dxa" w:w="2154"/>
            <w:vAlign w:val="center"/>
          </w:tcPr>
          <w:p>
            <w:r/>
            <w:r>
              <w:rPr>
                <w:rFonts w:ascii="Aptos" w:hAnsi="Aptos"/>
                <w:b w:val="0"/>
                <w:sz w:val="18"/>
              </w:rPr>
              <w:t>note_raw</w:t>
            </w:r>
          </w:p>
        </w:tc>
        <w:tc>
          <w:tcPr>
            <w:tcW w:type="dxa" w:w="6746"/>
            <w:vAlign w:val="center"/>
          </w:tcPr>
          <w:p>
            <w:r/>
            <w:r>
              <w:rPr>
                <w:rFonts w:ascii="Aptos" w:hAnsi="Aptos"/>
                <w:b w:val="0"/>
                <w:sz w:val="18"/>
              </w:rPr>
              <w:t>The model output before cleaning.</w:t>
            </w:r>
          </w:p>
        </w:tc>
      </w:tr>
      <w:tr>
        <w:tc>
          <w:tcPr>
            <w:tcW w:type="dxa" w:w="2154"/>
            <w:vAlign w:val="center"/>
          </w:tcPr>
          <w:p>
            <w:r/>
            <w:r>
              <w:rPr>
                <w:rFonts w:ascii="Aptos" w:hAnsi="Aptos"/>
                <w:b w:val="0"/>
                <w:sz w:val="18"/>
              </w:rPr>
              <w:t>note_text / note_clean</w:t>
            </w:r>
          </w:p>
        </w:tc>
        <w:tc>
          <w:tcPr>
            <w:tcW w:type="dxa" w:w="6746"/>
            <w:vAlign w:val="center"/>
          </w:tcPr>
          <w:p>
            <w:r/>
            <w:r>
              <w:rPr>
                <w:rFonts w:ascii="Aptos" w:hAnsi="Aptos"/>
                <w:b w:val="0"/>
                <w:sz w:val="18"/>
              </w:rPr>
              <w:t>The cleaned note used for reconstruction.</w:t>
            </w:r>
          </w:p>
        </w:tc>
      </w:tr>
      <w:tr>
        <w:tc>
          <w:tcPr>
            <w:tcW w:type="dxa" w:w="2154"/>
            <w:vAlign w:val="center"/>
          </w:tcPr>
          <w:p>
            <w:r/>
            <w:r>
              <w:rPr>
                <w:rFonts w:ascii="Aptos" w:hAnsi="Aptos"/>
                <w:b w:val="0"/>
                <w:sz w:val="18"/>
              </w:rPr>
              <w:t>recon_raw</w:t>
            </w:r>
          </w:p>
        </w:tc>
        <w:tc>
          <w:tcPr>
            <w:tcW w:type="dxa" w:w="6746"/>
            <w:vAlign w:val="center"/>
          </w:tcPr>
          <w:p>
            <w:r/>
            <w:r>
              <w:rPr>
                <w:rFonts w:ascii="Aptos" w:hAnsi="Aptos"/>
                <w:b w:val="0"/>
                <w:sz w:val="18"/>
              </w:rPr>
              <w:t>The raw structured extraction returned by the reconstruction LLM.</w:t>
            </w:r>
          </w:p>
        </w:tc>
      </w:tr>
      <w:tr>
        <w:tc>
          <w:tcPr>
            <w:tcW w:type="dxa" w:w="2154"/>
            <w:vAlign w:val="center"/>
          </w:tcPr>
          <w:p>
            <w:r/>
            <w:r>
              <w:rPr>
                <w:rFonts w:ascii="Aptos" w:hAnsi="Aptos"/>
                <w:b w:val="0"/>
                <w:sz w:val="18"/>
              </w:rPr>
              <w:t>recon_clean</w:t>
            </w:r>
          </w:p>
        </w:tc>
        <w:tc>
          <w:tcPr>
            <w:tcW w:type="dxa" w:w="6746"/>
            <w:vAlign w:val="center"/>
          </w:tcPr>
          <w:p>
            <w:r/>
            <w:r>
              <w:rPr>
                <w:rFonts w:ascii="Aptos" w:hAnsi="Aptos"/>
                <w:b w:val="0"/>
                <w:sz w:val="18"/>
              </w:rPr>
              <w:t>The main cleaned reconstruction used in evaluation.</w:t>
            </w:r>
          </w:p>
        </w:tc>
      </w:tr>
      <w:tr>
        <w:tc>
          <w:tcPr>
            <w:tcW w:type="dxa" w:w="2154"/>
            <w:vAlign w:val="center"/>
          </w:tcPr>
          <w:p>
            <w:r/>
            <w:r>
              <w:rPr>
                <w:rFonts w:ascii="Aptos" w:hAnsi="Aptos"/>
                <w:b w:val="0"/>
                <w:sz w:val="18"/>
              </w:rPr>
              <w:t>Verification</w:t>
            </w:r>
          </w:p>
        </w:tc>
        <w:tc>
          <w:tcPr>
            <w:tcW w:type="dxa" w:w="6746"/>
            <w:vAlign w:val="center"/>
          </w:tcPr>
          <w:p>
            <w:r/>
            <w:r>
              <w:rPr>
                <w:rFonts w:ascii="Aptos" w:hAnsi="Aptos"/>
                <w:b w:val="0"/>
                <w:sz w:val="18"/>
              </w:rPr>
              <w:t>An extra LLM review layer that judges whether note_text and reconstruction are mutually consistent.</w:t>
            </w:r>
          </w:p>
        </w:tc>
      </w:tr>
    </w:tbl>
    <w:p>
      <w:pPr>
        <w:pStyle w:val="Heading1"/>
      </w:pPr>
      <w:r>
        <w:t>3. Vue d'ensemble du pipeline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587"/>
            <w:vAlign w:val="center"/>
            <w:shd w:fill="5B9BD5"/>
          </w:tcPr>
          <w:p>
            <w:r/>
            <w:r>
              <w:rPr>
                <w:rFonts w:ascii="Aptos" w:hAnsi="Aptos"/>
                <w:b/>
                <w:color w:val="FFFFFF"/>
                <w:sz w:val="20"/>
              </w:rPr>
              <w:t>Étape</w:t>
            </w:r>
          </w:p>
        </w:tc>
        <w:tc>
          <w:tcPr>
            <w:tcW w:type="dxa" w:w="1871"/>
            <w:vAlign w:val="center"/>
            <w:shd w:fill="5B9BD5"/>
          </w:tcPr>
          <w:p>
            <w:r/>
            <w:r>
              <w:rPr>
                <w:rFonts w:ascii="Aptos" w:hAnsi="Aptos"/>
                <w:b/>
                <w:color w:val="FFFFFF"/>
                <w:sz w:val="20"/>
              </w:rPr>
              <w:t>Entrée</w:t>
            </w:r>
          </w:p>
        </w:tc>
        <w:tc>
          <w:tcPr>
            <w:tcW w:type="dxa" w:w="1928"/>
            <w:vAlign w:val="center"/>
            <w:shd w:fill="5B9BD5"/>
          </w:tcPr>
          <w:p>
            <w:r/>
            <w:r>
              <w:rPr>
                <w:rFonts w:ascii="Aptos" w:hAnsi="Aptos"/>
                <w:b/>
                <w:color w:val="FFFFFF"/>
                <w:sz w:val="20"/>
              </w:rPr>
              <w:t>Sortie</w:t>
            </w:r>
          </w:p>
        </w:tc>
        <w:tc>
          <w:tcPr>
            <w:tcW w:type="dxa" w:w="3685"/>
            <w:vAlign w:val="center"/>
            <w:shd w:fill="5B9BD5"/>
          </w:tcPr>
          <w:p>
            <w:r/>
            <w:r>
              <w:rPr>
                <w:rFonts w:ascii="Aptos" w:hAnsi="Aptos"/>
                <w:b/>
                <w:color w:val="FFFFFF"/>
                <w:sz w:val="20"/>
              </w:rPr>
              <w:t>Pourquoi cette étape est importante</w:t>
            </w:r>
          </w:p>
        </w:tc>
      </w:tr>
      <w:tr>
        <w:tc>
          <w:tcPr>
            <w:tcW w:type="dxa" w:w="1587"/>
            <w:vAlign w:val="center"/>
          </w:tcPr>
          <w:p>
            <w:r/>
            <w:r>
              <w:rPr>
                <w:rFonts w:ascii="Aptos" w:hAnsi="Aptos"/>
                <w:b w:val="0"/>
                <w:sz w:val="17"/>
              </w:rPr>
              <w:t>Préparation</w:t>
            </w:r>
          </w:p>
        </w:tc>
        <w:tc>
          <w:tcPr>
            <w:tcW w:type="dxa" w:w="1871"/>
            <w:vAlign w:val="center"/>
          </w:tcPr>
          <w:p>
            <w:r/>
            <w:r>
              <w:rPr>
                <w:rFonts w:ascii="Aptos" w:hAnsi="Aptos"/>
                <w:b w:val="0"/>
                <w:sz w:val="17"/>
              </w:rPr>
              <w:t>Environnement de calcul</w:t>
            </w:r>
          </w:p>
        </w:tc>
        <w:tc>
          <w:tcPr>
            <w:tcW w:type="dxa" w:w="1928"/>
            <w:vAlign w:val="center"/>
          </w:tcPr>
          <w:p>
            <w:r/>
            <w:r>
              <w:rPr>
                <w:rFonts w:ascii="Aptos" w:hAnsi="Aptos"/>
                <w:b w:val="0"/>
                <w:sz w:val="17"/>
              </w:rPr>
              <w:t>Dépendances, chemins, paramètres</w:t>
            </w:r>
          </w:p>
        </w:tc>
        <w:tc>
          <w:tcPr>
            <w:tcW w:type="dxa" w:w="3685"/>
            <w:vAlign w:val="center"/>
          </w:tcPr>
          <w:p>
            <w:r/>
            <w:r>
              <w:rPr>
                <w:rFonts w:ascii="Aptos" w:hAnsi="Aptos"/>
                <w:b w:val="0"/>
                <w:sz w:val="17"/>
              </w:rPr>
              <w:t>Le notebook doit être reproductible et lisible.</w:t>
            </w:r>
          </w:p>
        </w:tc>
      </w:tr>
      <w:tr>
        <w:tc>
          <w:tcPr>
            <w:tcW w:type="dxa" w:w="1587"/>
            <w:vAlign w:val="center"/>
          </w:tcPr>
          <w:p>
            <w:r/>
            <w:r>
              <w:rPr>
                <w:rFonts w:ascii="Aptos" w:hAnsi="Aptos"/>
                <w:b w:val="0"/>
                <w:sz w:val="17"/>
              </w:rPr>
              <w:t>Téléchargement</w:t>
            </w:r>
          </w:p>
        </w:tc>
        <w:tc>
          <w:tcPr>
            <w:tcW w:type="dxa" w:w="1871"/>
            <w:vAlign w:val="center"/>
          </w:tcPr>
          <w:p>
            <w:r/>
            <w:r>
              <w:rPr>
                <w:rFonts w:ascii="Aptos" w:hAnsi="Aptos"/>
                <w:b w:val="0"/>
                <w:sz w:val="17"/>
              </w:rPr>
              <w:t>Archive Synthea</w:t>
            </w:r>
          </w:p>
        </w:tc>
        <w:tc>
          <w:tcPr>
            <w:tcW w:type="dxa" w:w="1928"/>
            <w:vAlign w:val="center"/>
          </w:tcPr>
          <w:p>
            <w:r/>
            <w:r>
              <w:rPr>
                <w:rFonts w:ascii="Aptos" w:hAnsi="Aptos"/>
                <w:b w:val="0"/>
                <w:sz w:val="17"/>
              </w:rPr>
              <w:t>Bundles FHIR locaux</w:t>
            </w:r>
          </w:p>
        </w:tc>
        <w:tc>
          <w:tcPr>
            <w:tcW w:type="dxa" w:w="3685"/>
            <w:vAlign w:val="center"/>
          </w:tcPr>
          <w:p>
            <w:r/>
            <w:r>
              <w:rPr>
                <w:rFonts w:ascii="Aptos" w:hAnsi="Aptos"/>
                <w:b w:val="0"/>
                <w:sz w:val="17"/>
              </w:rPr>
              <w:t>Il faut une base de dossiers synthétiques à traiter.</w:t>
            </w:r>
          </w:p>
        </w:tc>
      </w:tr>
      <w:tr>
        <w:tc>
          <w:tcPr>
            <w:tcW w:type="dxa" w:w="1587"/>
            <w:vAlign w:val="center"/>
          </w:tcPr>
          <w:p>
            <w:r/>
            <w:r>
              <w:rPr>
                <w:rFonts w:ascii="Aptos" w:hAnsi="Aptos"/>
                <w:b w:val="0"/>
                <w:sz w:val="17"/>
              </w:rPr>
              <w:t>Préfiltrage</w:t>
            </w:r>
          </w:p>
        </w:tc>
        <w:tc>
          <w:tcPr>
            <w:tcW w:type="dxa" w:w="1871"/>
            <w:vAlign w:val="center"/>
          </w:tcPr>
          <w:p>
            <w:r/>
            <w:r>
              <w:rPr>
                <w:rFonts w:ascii="Aptos" w:hAnsi="Aptos"/>
                <w:b w:val="0"/>
                <w:sz w:val="17"/>
              </w:rPr>
              <w:t>Bundles bruts</w:t>
            </w:r>
          </w:p>
        </w:tc>
        <w:tc>
          <w:tcPr>
            <w:tcW w:type="dxa" w:w="1928"/>
            <w:vAlign w:val="center"/>
          </w:tcPr>
          <w:p>
            <w:r/>
            <w:r>
              <w:rPr>
                <w:rFonts w:ascii="Aptos" w:hAnsi="Aptos"/>
                <w:b w:val="0"/>
                <w:sz w:val="17"/>
              </w:rPr>
              <w:t>Bundles simplifiés</w:t>
            </w:r>
          </w:p>
        </w:tc>
        <w:tc>
          <w:tcPr>
            <w:tcW w:type="dxa" w:w="3685"/>
            <w:vAlign w:val="center"/>
          </w:tcPr>
          <w:p>
            <w:r/>
            <w:r>
              <w:rPr>
                <w:rFonts w:ascii="Aptos" w:hAnsi="Aptos"/>
                <w:b w:val="0"/>
                <w:sz w:val="17"/>
              </w:rPr>
              <w:t>On enlève tôt le bruit pour économiser du temps et des appels LLM.</w:t>
            </w:r>
          </w:p>
        </w:tc>
      </w:tr>
      <w:tr>
        <w:tc>
          <w:tcPr>
            <w:tcW w:type="dxa" w:w="1587"/>
            <w:vAlign w:val="center"/>
          </w:tcPr>
          <w:p>
            <w:r/>
            <w:r>
              <w:rPr>
                <w:rFonts w:ascii="Aptos" w:hAnsi="Aptos"/>
                <w:b w:val="0"/>
                <w:sz w:val="17"/>
              </w:rPr>
              <w:t>Gold source</w:t>
            </w:r>
          </w:p>
        </w:tc>
        <w:tc>
          <w:tcPr>
            <w:tcW w:type="dxa" w:w="1871"/>
            <w:vAlign w:val="center"/>
          </w:tcPr>
          <w:p>
            <w:r/>
            <w:r>
              <w:rPr>
                <w:rFonts w:ascii="Aptos" w:hAnsi="Aptos"/>
                <w:b w:val="0"/>
                <w:sz w:val="17"/>
              </w:rPr>
              <w:t>Bundles filtrés</w:t>
            </w:r>
          </w:p>
        </w:tc>
        <w:tc>
          <w:tcPr>
            <w:tcW w:type="dxa" w:w="1928"/>
            <w:vAlign w:val="center"/>
          </w:tcPr>
          <w:p>
            <w:r/>
            <w:r>
              <w:rPr>
                <w:rFonts w:ascii="Aptos" w:hAnsi="Aptos"/>
                <w:b w:val="0"/>
                <w:sz w:val="17"/>
              </w:rPr>
              <w:t>Source structurée de référence</w:t>
            </w:r>
          </w:p>
        </w:tc>
        <w:tc>
          <w:tcPr>
            <w:tcW w:type="dxa" w:w="3685"/>
            <w:vAlign w:val="center"/>
          </w:tcPr>
          <w:p>
            <w:r/>
            <w:r>
              <w:rPr>
                <w:rFonts w:ascii="Aptos" w:hAnsi="Aptos"/>
                <w:b w:val="0"/>
                <w:sz w:val="17"/>
              </w:rPr>
              <w:t>C'est la vérité de départ qui servira à la génération et à l'évaluation.</w:t>
            </w:r>
          </w:p>
        </w:tc>
      </w:tr>
      <w:tr>
        <w:tc>
          <w:tcPr>
            <w:tcW w:type="dxa" w:w="1587"/>
            <w:vAlign w:val="center"/>
          </w:tcPr>
          <w:p>
            <w:r/>
            <w:r>
              <w:rPr>
                <w:rFonts w:ascii="Aptos" w:hAnsi="Aptos"/>
                <w:b w:val="0"/>
                <w:sz w:val="17"/>
              </w:rPr>
              <w:t>Génération de notes</w:t>
            </w:r>
          </w:p>
        </w:tc>
        <w:tc>
          <w:tcPr>
            <w:tcW w:type="dxa" w:w="1871"/>
            <w:vAlign w:val="center"/>
          </w:tcPr>
          <w:p>
            <w:r/>
            <w:r>
              <w:rPr>
                <w:rFonts w:ascii="Aptos" w:hAnsi="Aptos"/>
                <w:b w:val="0"/>
                <w:sz w:val="17"/>
              </w:rPr>
              <w:t>Gold source</w:t>
            </w:r>
          </w:p>
        </w:tc>
        <w:tc>
          <w:tcPr>
            <w:tcW w:type="dxa" w:w="1928"/>
            <w:vAlign w:val="center"/>
          </w:tcPr>
          <w:p>
            <w:r/>
            <w:r>
              <w:rPr>
                <w:rFonts w:ascii="Aptos" w:hAnsi="Aptos"/>
                <w:b w:val="0"/>
                <w:sz w:val="17"/>
              </w:rPr>
              <w:t>Notes libres de plusieurs styles</w:t>
            </w:r>
          </w:p>
        </w:tc>
        <w:tc>
          <w:tcPr>
            <w:tcW w:type="dxa" w:w="3685"/>
            <w:vAlign w:val="center"/>
          </w:tcPr>
          <w:p>
            <w:r/>
            <w:r>
              <w:rPr>
                <w:rFonts w:ascii="Aptos" w:hAnsi="Aptos"/>
                <w:b w:val="0"/>
                <w:sz w:val="17"/>
              </w:rPr>
              <w:t>On simule le monde non structuré qu'on veut ensuite relire.</w:t>
            </w:r>
          </w:p>
        </w:tc>
      </w:tr>
      <w:tr>
        <w:tc>
          <w:tcPr>
            <w:tcW w:type="dxa" w:w="1587"/>
            <w:vAlign w:val="center"/>
          </w:tcPr>
          <w:p>
            <w:r/>
            <w:r>
              <w:rPr>
                <w:rFonts w:ascii="Aptos" w:hAnsi="Aptos"/>
                <w:b w:val="0"/>
                <w:sz w:val="17"/>
              </w:rPr>
              <w:t>Reconstruction</w:t>
            </w:r>
          </w:p>
        </w:tc>
        <w:tc>
          <w:tcPr>
            <w:tcW w:type="dxa" w:w="1871"/>
            <w:vAlign w:val="center"/>
          </w:tcPr>
          <w:p>
            <w:r/>
            <w:r>
              <w:rPr>
                <w:rFonts w:ascii="Aptos" w:hAnsi="Aptos"/>
                <w:b w:val="0"/>
                <w:sz w:val="17"/>
              </w:rPr>
              <w:t>Note nettoyée</w:t>
            </w:r>
          </w:p>
        </w:tc>
        <w:tc>
          <w:tcPr>
            <w:tcW w:type="dxa" w:w="1928"/>
            <w:vAlign w:val="center"/>
          </w:tcPr>
          <w:p>
            <w:r/>
            <w:r>
              <w:rPr>
                <w:rFonts w:ascii="Aptos" w:hAnsi="Aptos"/>
                <w:b w:val="0"/>
                <w:sz w:val="17"/>
              </w:rPr>
              <w:t>JSON structuré</w:t>
            </w:r>
          </w:p>
        </w:tc>
        <w:tc>
          <w:tcPr>
            <w:tcW w:type="dxa" w:w="3685"/>
            <w:vAlign w:val="center"/>
          </w:tcPr>
          <w:p>
            <w:r/>
            <w:r>
              <w:rPr>
                <w:rFonts w:ascii="Aptos" w:hAnsi="Aptos"/>
                <w:b w:val="0"/>
                <w:sz w:val="17"/>
              </w:rPr>
              <w:t>On teste si le texte permet de retrouver la structure.</w:t>
            </w:r>
          </w:p>
        </w:tc>
      </w:tr>
      <w:tr>
        <w:tc>
          <w:tcPr>
            <w:tcW w:type="dxa" w:w="1587"/>
            <w:vAlign w:val="center"/>
          </w:tcPr>
          <w:p>
            <w:r/>
            <w:r>
              <w:rPr>
                <w:rFonts w:ascii="Aptos" w:hAnsi="Aptos"/>
                <w:b w:val="0"/>
                <w:sz w:val="17"/>
              </w:rPr>
              <w:t>Scoring</w:t>
            </w:r>
          </w:p>
        </w:tc>
        <w:tc>
          <w:tcPr>
            <w:tcW w:type="dxa" w:w="1871"/>
            <w:vAlign w:val="center"/>
          </w:tcPr>
          <w:p>
            <w:r/>
            <w:r>
              <w:rPr>
                <w:rFonts w:ascii="Aptos" w:hAnsi="Aptos"/>
                <w:b w:val="0"/>
                <w:sz w:val="17"/>
              </w:rPr>
              <w:t>Gold, note, reconstruction</w:t>
            </w:r>
          </w:p>
        </w:tc>
        <w:tc>
          <w:tcPr>
            <w:tcW w:type="dxa" w:w="1928"/>
            <w:vAlign w:val="center"/>
          </w:tcPr>
          <w:p>
            <w:r/>
            <w:r>
              <w:rPr>
                <w:rFonts w:ascii="Aptos" w:hAnsi="Aptos"/>
                <w:b w:val="0"/>
                <w:sz w:val="17"/>
              </w:rPr>
              <w:t>Mesures exactes et sémantiques</w:t>
            </w:r>
          </w:p>
        </w:tc>
        <w:tc>
          <w:tcPr>
            <w:tcW w:type="dxa" w:w="3685"/>
            <w:vAlign w:val="center"/>
          </w:tcPr>
          <w:p>
            <w:r/>
            <w:r>
              <w:rPr>
                <w:rFonts w:ascii="Aptos" w:hAnsi="Aptos"/>
                <w:b w:val="0"/>
                <w:sz w:val="17"/>
              </w:rPr>
              <w:t>On quantifie la qualité du système.</w:t>
            </w:r>
          </w:p>
        </w:tc>
      </w:tr>
      <w:tr>
        <w:tc>
          <w:tcPr>
            <w:tcW w:type="dxa" w:w="1587"/>
            <w:vAlign w:val="center"/>
          </w:tcPr>
          <w:p>
            <w:r/>
            <w:r>
              <w:rPr>
                <w:rFonts w:ascii="Aptos" w:hAnsi="Aptos"/>
                <w:b w:val="0"/>
                <w:sz w:val="17"/>
              </w:rPr>
              <w:t>Vérification</w:t>
            </w:r>
          </w:p>
        </w:tc>
        <w:tc>
          <w:tcPr>
            <w:tcW w:type="dxa" w:w="1871"/>
            <w:vAlign w:val="center"/>
          </w:tcPr>
          <w:p>
            <w:r/>
            <w:r>
              <w:rPr>
                <w:rFonts w:ascii="Aptos" w:hAnsi="Aptos"/>
                <w:b w:val="0"/>
                <w:sz w:val="17"/>
              </w:rPr>
              <w:t>Note et reconstruction</w:t>
            </w:r>
          </w:p>
        </w:tc>
        <w:tc>
          <w:tcPr>
            <w:tcW w:type="dxa" w:w="1928"/>
            <w:vAlign w:val="center"/>
          </w:tcPr>
          <w:p>
            <w:r/>
            <w:r>
              <w:rPr>
                <w:rFonts w:ascii="Aptos" w:hAnsi="Aptos"/>
                <w:b w:val="0"/>
                <w:sz w:val="17"/>
              </w:rPr>
              <w:t>Verdict LLM</w:t>
            </w:r>
          </w:p>
        </w:tc>
        <w:tc>
          <w:tcPr>
            <w:tcW w:type="dxa" w:w="3685"/>
            <w:vAlign w:val="center"/>
          </w:tcPr>
          <w:p>
            <w:r/>
            <w:r>
              <w:rPr>
                <w:rFonts w:ascii="Aptos" w:hAnsi="Aptos"/>
                <w:b w:val="0"/>
                <w:sz w:val="17"/>
              </w:rPr>
              <w:t>On ajoute une relecture critique des résultats.</w:t>
            </w:r>
          </w:p>
        </w:tc>
      </w:tr>
      <w:tr>
        <w:tc>
          <w:tcPr>
            <w:tcW w:type="dxa" w:w="1587"/>
            <w:vAlign w:val="center"/>
          </w:tcPr>
          <w:p>
            <w:r/>
            <w:r>
              <w:rPr>
                <w:rFonts w:ascii="Aptos" w:hAnsi="Aptos"/>
                <w:b w:val="0"/>
                <w:sz w:val="17"/>
              </w:rPr>
              <w:t>Taxonomie</w:t>
            </w:r>
          </w:p>
        </w:tc>
        <w:tc>
          <w:tcPr>
            <w:tcW w:type="dxa" w:w="1871"/>
            <w:vAlign w:val="center"/>
          </w:tcPr>
          <w:p>
            <w:r/>
            <w:r>
              <w:rPr>
                <w:rFonts w:ascii="Aptos" w:hAnsi="Aptos"/>
                <w:b w:val="0"/>
                <w:sz w:val="17"/>
              </w:rPr>
              <w:t>Scores et vérification</w:t>
            </w:r>
          </w:p>
        </w:tc>
        <w:tc>
          <w:tcPr>
            <w:tcW w:type="dxa" w:w="1928"/>
            <w:vAlign w:val="center"/>
          </w:tcPr>
          <w:p>
            <w:r/>
            <w:r>
              <w:rPr>
                <w:rFonts w:ascii="Aptos" w:hAnsi="Aptos"/>
                <w:b w:val="0"/>
                <w:sz w:val="17"/>
              </w:rPr>
              <w:t>Lecture qualitative des erreurs</w:t>
            </w:r>
          </w:p>
        </w:tc>
        <w:tc>
          <w:tcPr>
            <w:tcW w:type="dxa" w:w="3685"/>
            <w:vAlign w:val="center"/>
          </w:tcPr>
          <w:p>
            <w:r/>
            <w:r>
              <w:rPr>
                <w:rFonts w:ascii="Aptos" w:hAnsi="Aptos"/>
                <w:b w:val="0"/>
                <w:sz w:val="17"/>
              </w:rPr>
              <w:t>On explique le type d'échec, pas seulement son amplitude.</w:t>
            </w:r>
          </w:p>
        </w:tc>
      </w:tr>
      <w:tr>
        <w:tc>
          <w:tcPr>
            <w:tcW w:type="dxa" w:w="1587"/>
            <w:vAlign w:val="center"/>
          </w:tcPr>
          <w:p>
            <w:r/>
            <w:r>
              <w:rPr>
                <w:rFonts w:ascii="Aptos" w:hAnsi="Aptos"/>
                <w:b w:val="0"/>
                <w:sz w:val="17"/>
              </w:rPr>
              <w:t>Exports</w:t>
            </w:r>
          </w:p>
        </w:tc>
        <w:tc>
          <w:tcPr>
            <w:tcW w:type="dxa" w:w="1871"/>
            <w:vAlign w:val="center"/>
          </w:tcPr>
          <w:p>
            <w:r/>
            <w:r>
              <w:rPr>
                <w:rFonts w:ascii="Aptos" w:hAnsi="Aptos"/>
                <w:b w:val="0"/>
                <w:sz w:val="17"/>
              </w:rPr>
              <w:t>Tous les datasets</w:t>
            </w:r>
          </w:p>
        </w:tc>
        <w:tc>
          <w:tcPr>
            <w:tcW w:type="dxa" w:w="1928"/>
            <w:vAlign w:val="center"/>
          </w:tcPr>
          <w:p>
            <w:r/>
            <w:r>
              <w:rPr>
                <w:rFonts w:ascii="Aptos" w:hAnsi="Aptos"/>
                <w:b w:val="0"/>
                <w:sz w:val="17"/>
              </w:rPr>
              <w:t>CSV et ZIP</w:t>
            </w:r>
          </w:p>
        </w:tc>
        <w:tc>
          <w:tcPr>
            <w:tcW w:type="dxa" w:w="3685"/>
            <w:vAlign w:val="center"/>
          </w:tcPr>
          <w:p>
            <w:r/>
            <w:r>
              <w:rPr>
                <w:rFonts w:ascii="Aptos" w:hAnsi="Aptos"/>
                <w:b w:val="0"/>
                <w:sz w:val="17"/>
              </w:rPr>
              <w:t>On rend les résultats exploitables hors du notebook.</w:t>
            </w:r>
          </w:p>
        </w:tc>
      </w:tr>
    </w:tbl>
    <w:p>
      <w:pPr>
        <w:pStyle w:val="Heading1"/>
      </w:pPr>
      <w:r>
        <w:t>4. Explication détaillée de chaque section du notebook</w:t>
      </w:r>
    </w:p>
    <w:p>
      <w:pPr>
        <w:pStyle w:val="Heading2"/>
      </w:pPr>
      <w:r>
        <w:t>4.1 Section 0 - Préparation et installation</w:t>
      </w:r>
    </w:p>
    <w:p>
      <w:r>
        <w:t>Les premières cellules remettent les répertoires de travail à zéro, installent les dépendances nécessaires et ouvrent l'accès à Hugging Face si le modèle est protégé.</w:t>
      </w:r>
    </w:p>
    <w:p>
      <w:r>
        <w:t>Le code garantit que la session démarre dans un état propre. Sans cela, on pourrait mélanger des résultats d'une ancienne exécution avec des résultats nouveaux.</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L'utilité de cette étape est surtout pratique : elle sécurise l'environnement de travail. Son intérêt principal est d'éviter des erreurs invisibles liées à des fichiers résiduels ou à des dépendances manquantes.</w:t>
            </w:r>
          </w:p>
        </w:tc>
      </w:tr>
    </w:tbl>
    <w:p>
      <w:pPr>
        <w:pStyle w:val="Heading2"/>
      </w:pPr>
      <w:r>
        <w:t>4.2 Section 1 - Imports, chemins et configuration</w:t>
      </w:r>
    </w:p>
    <w:p>
      <w:r>
        <w:t>Cette section rassemble tous les imports Python, les chemins de fichiers et les paramètres importants du pipeline.</w:t>
      </w:r>
    </w:p>
    <w:p>
      <w:r>
        <w:t>Le notebook définit ici le modèle, le nombre de patients, la seed, les limites de listes, ainsi que les budgets max_new_tokens selon le type de tâche.</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Cette centralisation est cruciale. Elle rend la pipeline compréhensible et modifiable sans devoir chercher des valeurs dispersées partout dans le code.</w:t>
            </w:r>
          </w:p>
        </w:tc>
      </w:tr>
    </w:tbl>
    <w:p>
      <w:pPr>
        <w:pStyle w:val="Heading2"/>
      </w:pPr>
      <w:r>
        <w:t>4.3 Section 2 - Télécharger et extraire Synthea</w:t>
      </w:r>
    </w:p>
    <w:p>
      <w:r>
        <w:t>Le notebook télécharge un jeu de données synthétique au format FHIR depuis Synthea, puis l'extrait localement.</w:t>
      </w:r>
    </w:p>
    <w:p>
      <w:r>
        <w:t>Le code gère plusieurs URL de secours et décompresse l'archive dans un répertoire de travail local.</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L'importance de cette étape est élevée : sans données source, il n'y a rien à benchmarker. Son intérêt est aussi de rendre le notebook autonome.</w:t>
            </w:r>
          </w:p>
        </w:tc>
      </w:tr>
    </w:tbl>
    <w:p>
      <w:pPr>
        <w:pStyle w:val="Heading2"/>
      </w:pPr>
      <w:r>
        <w:t>4.4 Section 3 - Préfiltrage déterministe</w:t>
      </w:r>
    </w:p>
    <w:p>
      <w:r>
        <w:t>Le notebook lit les bundles FHIR et applique un premier grand tri sans LLM.</w:t>
      </w:r>
    </w:p>
    <w:p>
      <w:r>
        <w:t>Les fonctions utilitaires repèrent le patient, parcourent les ressources, extraient les Conditions et MedicationRequest, et éliminent le bruit évident comme certains éléments sociaux ou administratifs.</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Cette étape est très utile car elle réduit le coût et la confusion. Elle concentre ensuite le LLM sur des cas plus intéressants au lieu de lui faire traiter tout le bruit brut.</w:t>
            </w:r>
          </w:p>
        </w:tc>
      </w:tr>
    </w:tbl>
    <w:p>
      <w:pPr>
        <w:pStyle w:val="Heading2"/>
      </w:pPr>
      <w:r>
        <w:t>4.5 Section 4 - Construction du gold source</w:t>
      </w:r>
    </w:p>
    <w:p>
      <w:r>
        <w:t>Le gold source est la représentation structurée que le notebook décide de retenir comme référence. Il contient l'identité patient, les conditions finales et les médicaments retenus.</w:t>
      </w:r>
    </w:p>
    <w:p>
      <w:r>
        <w:t>Le code extrait un enregistrement patient plus simple depuis chaque bundle filtré, choisit un échantillon de patients, puis applique un filtre LLM supplémentaire sur les conditions candidates.</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L'importance de cette étape est centrale : c'est le point de départ de la génération de notes et la base de comparaison lors du scoring. Sans gold source cohérent, toute l'évaluation perd son sens.</w:t>
            </w:r>
          </w:p>
        </w:tc>
      </w:tr>
    </w:tbl>
    <w:p>
      <w:pPr>
        <w:pStyle w:val="Heading2"/>
      </w:pPr>
      <w:r>
        <w:t>4.6 Section 5 - Génération de notes non structurées</w:t>
      </w:r>
    </w:p>
    <w:p>
      <w:r>
        <w:t>Le notebook transforme le gold source en notes cliniques libres. Ces notes varient selon plusieurs styles contrôlés, comme consultation courte ou note télégraphique.</w:t>
      </w:r>
    </w:p>
    <w:p>
      <w:r>
        <w:t>Le prompt commun impose l'utilisation de tous les éléments structurés, interdit d'inventer de nouveaux éléments médicaux et demande une rédaction libre. Le texte produit est ensuite nettoyé pour retirer les artefacts du modèle.</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Cette étape est importante parce qu'elle simule le vrai problème visé : passer d'un monde structuré à un monde textuel. Son intérêt est d'évaluer la reconstruction sur des formes de notes variées et plus réalistes.</w:t>
            </w:r>
          </w:p>
        </w:tc>
      </w:tr>
    </w:tbl>
    <w:p>
      <w:pPr>
        <w:pStyle w:val="Heading2"/>
      </w:pPr>
      <w:r>
        <w:t>4.7 Section 6 - Reconstruction structurée depuis note_text</w:t>
      </w:r>
    </w:p>
    <w:p>
      <w:r>
        <w:t>Cette section relit la note nettoyée et demande au modèle de sortir un petit JSON structuré.</w:t>
      </w:r>
    </w:p>
    <w:p>
      <w:r>
        <w:t>Le code définit un schéma cible, construit un prompt d'extraction, répare les JSON imparfaits si nécessaire, nettoie les items extraits et sépare trois vues : brute, propre et debug.</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L'utilité est évidente : c'est l'étape qui teste réellement la capacité du pipeline à revenir du texte libre vers une structure exploitable.</w:t>
            </w:r>
          </w:p>
        </w:tc>
      </w:tr>
    </w:tbl>
    <w:p>
      <w:pPr>
        <w:pStyle w:val="Heading2"/>
      </w:pPr>
      <w:r>
        <w:t>4.8 Section 7 - Scoring officiel et secondaire</w:t>
      </w:r>
    </w:p>
    <w:p>
      <w:r>
        <w:t>Le notebook calcule plusieurs familles de métriques. Le scoring officiel compare note_clean et recon_clean. Le scoring secondaire compare gold source et recon_clean.</w:t>
      </w:r>
    </w:p>
    <w:p>
      <w:r>
        <w:t>Le code calcule precision, recall, F1, exact et sémantique, ainsi que les comptes TP, FP et FN. Il maintient aussi des métriques diagnostiques pour le nom, la date de naissance et le genre.</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L'intérêt de cette étape est de fournir une mesure sérieuse et nuancée. Un seul score global serait trop pauvre ; ici, on voit mieux ce qui est ajouté à tort, ce qui est oublié, et ce qui est sémantiquement acceptable.</w:t>
            </w:r>
          </w:p>
        </w:tc>
      </w:tr>
    </w:tbl>
    <w:p>
      <w:pPr>
        <w:pStyle w:val="Heading2"/>
      </w:pPr>
      <w:r>
        <w:t>4.9 Section 8 - Chaîne de vérification LLM</w:t>
      </w:r>
    </w:p>
    <w:p>
      <w:r>
        <w:t>La vérification est une seconde lecture critique du résultat. Le notebook demande au modèle si la reconstruction semble cohérente avec la note.</w:t>
      </w:r>
    </w:p>
    <w:p>
      <w:r>
        <w:t>Le code produit un verdict, un niveau de confiance et un comptage du nombre d'issues repérées. Il agrège aussi ces résultats par note_style.</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L'utilité est forte : cette couche capte des problèmes que les métriques arithmétiques seules peuvent parfois manquer. Elle apporte une forme de contrôle qualité supplémentaire.</w:t>
            </w:r>
          </w:p>
        </w:tc>
      </w:tr>
    </w:tbl>
    <w:p>
      <w:pPr>
        <w:pStyle w:val="Heading2"/>
      </w:pPr>
      <w:r>
        <w:t>4.10 Section 9 - Taxonomie et résumés</w:t>
      </w:r>
    </w:p>
    <w:p>
      <w:r>
        <w:t>Cette partie transforme les résultats en catégories interprétables : omission, erreur mixte, problème de canonicalisation, etc. Elle produit aussi des résumés globaux et par style de note.</w:t>
      </w:r>
    </w:p>
    <w:p>
      <w:r>
        <w:t>Le code classe les erreurs, construit des hard cases et calcule des tables de synthèse comme df_scores_overall_summary et df_scores_summary_by_note_style.</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L'intérêt est pédagogique et analytique : on ne sait plus seulement combien le modèle se trompe, on comprend aussi de quelle manière il se trompe.</w:t>
            </w:r>
          </w:p>
        </w:tc>
      </w:tr>
    </w:tbl>
    <w:p>
      <w:pPr>
        <w:pStyle w:val="Heading2"/>
      </w:pPr>
      <w:r>
        <w:t>4.11 Section 10 et 11 - Contrôle des sorties et export final</w:t>
      </w:r>
    </w:p>
    <w:p>
      <w:r>
        <w:t>La fin du notebook recense les fichiers produits, propose un nettoyage optionnel des sorties analytiques avant benchmark, puis reconstruit tous les datasets depuis le cache.</w:t>
      </w:r>
    </w:p>
    <w:p>
      <w:r>
        <w:t>Le code relit les fichiers du disque, recompose les grandes tables finales, les affiche pour contrôle et les exporte dans un dossier d'exports ainsi que dans un ZIP.</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Pourquoi cette étape compte</w:t>
              <w:br/>
            </w:r>
            <w:r>
              <w:rPr>
                <w:sz w:val="20"/>
              </w:rPr>
              <w:t>Cette étape est capitale pour le benchmark final. Elle transforme le notebook en producteur de livrables réutilisables hors de la session Python.</w:t>
            </w:r>
          </w:p>
        </w:tc>
      </w:tr>
    </w:tbl>
    <w:p>
      <w:pPr>
        <w:pStyle w:val="Heading1"/>
      </w:pPr>
      <w:r>
        <w:t>5. Les fonctions les plus importantes du notebook</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vAlign w:val="center"/>
            <w:shd w:fill="5B9BD5"/>
          </w:tcPr>
          <w:p>
            <w:r/>
            <w:r>
              <w:rPr>
                <w:rFonts w:ascii="Aptos" w:hAnsi="Aptos"/>
                <w:b/>
                <w:color w:val="FFFFFF"/>
                <w:sz w:val="20"/>
              </w:rPr>
              <w:t>Fonction ou classe</w:t>
            </w:r>
          </w:p>
        </w:tc>
        <w:tc>
          <w:tcPr>
            <w:tcW w:type="dxa" w:w="6009"/>
            <w:vAlign w:val="center"/>
            <w:shd w:fill="5B9BD5"/>
          </w:tcPr>
          <w:p>
            <w:r/>
            <w:r>
              <w:rPr>
                <w:rFonts w:ascii="Aptos" w:hAnsi="Aptos"/>
                <w:b/>
                <w:color w:val="FFFFFF"/>
                <w:sz w:val="20"/>
              </w:rPr>
              <w:t>Utilité</w:t>
            </w:r>
          </w:p>
        </w:tc>
      </w:tr>
      <w:tr>
        <w:tc>
          <w:tcPr>
            <w:tcW w:type="dxa" w:w="3402"/>
            <w:vAlign w:val="center"/>
          </w:tcPr>
          <w:p>
            <w:r/>
            <w:r>
              <w:rPr>
                <w:rFonts w:ascii="Aptos" w:hAnsi="Aptos"/>
                <w:b w:val="0"/>
                <w:sz w:val="18"/>
              </w:rPr>
              <w:t>safe_read_json</w:t>
            </w:r>
          </w:p>
        </w:tc>
        <w:tc>
          <w:tcPr>
            <w:tcW w:type="dxa" w:w="6009"/>
            <w:vAlign w:val="center"/>
          </w:tcPr>
          <w:p>
            <w:r/>
            <w:r>
              <w:rPr>
                <w:rFonts w:ascii="Aptos" w:hAnsi="Aptos"/>
                <w:b w:val="0"/>
                <w:sz w:val="18"/>
              </w:rPr>
              <w:t>Lire un JSON sans faire échouer tout le pipeline si un fichier pose problème.</w:t>
            </w:r>
          </w:p>
        </w:tc>
      </w:tr>
      <w:tr>
        <w:tc>
          <w:tcPr>
            <w:tcW w:type="dxa" w:w="3402"/>
            <w:vAlign w:val="center"/>
          </w:tcPr>
          <w:p>
            <w:r/>
            <w:r>
              <w:rPr>
                <w:rFonts w:ascii="Aptos" w:hAnsi="Aptos"/>
                <w:b w:val="0"/>
                <w:sz w:val="18"/>
              </w:rPr>
              <w:t>find_patient / iter_resources</w:t>
            </w:r>
          </w:p>
        </w:tc>
        <w:tc>
          <w:tcPr>
            <w:tcW w:type="dxa" w:w="6009"/>
            <w:vAlign w:val="center"/>
          </w:tcPr>
          <w:p>
            <w:r/>
            <w:r>
              <w:rPr>
                <w:rFonts w:ascii="Aptos" w:hAnsi="Aptos"/>
                <w:b w:val="0"/>
                <w:sz w:val="18"/>
              </w:rPr>
              <w:t>Repérer rapidement le patient principal et parcourir les ressources utiles du bundle.</w:t>
            </w:r>
          </w:p>
        </w:tc>
      </w:tr>
      <w:tr>
        <w:tc>
          <w:tcPr>
            <w:tcW w:type="dxa" w:w="3402"/>
            <w:vAlign w:val="center"/>
          </w:tcPr>
          <w:p>
            <w:r/>
            <w:r>
              <w:rPr>
                <w:rFonts w:ascii="Aptos" w:hAnsi="Aptos"/>
                <w:b w:val="0"/>
                <w:sz w:val="18"/>
              </w:rPr>
              <w:t>is_medical_condition</w:t>
            </w:r>
          </w:p>
        </w:tc>
        <w:tc>
          <w:tcPr>
            <w:tcW w:type="dxa" w:w="6009"/>
            <w:vAlign w:val="center"/>
          </w:tcPr>
          <w:p>
            <w:r/>
            <w:r>
              <w:rPr>
                <w:rFonts w:ascii="Aptos" w:hAnsi="Aptos"/>
                <w:b w:val="0"/>
                <w:sz w:val="18"/>
              </w:rPr>
              <w:t>Distinguer une vraie condition médicale du bruit social ou administratif.</w:t>
            </w:r>
          </w:p>
        </w:tc>
      </w:tr>
      <w:tr>
        <w:tc>
          <w:tcPr>
            <w:tcW w:type="dxa" w:w="3402"/>
            <w:vAlign w:val="center"/>
          </w:tcPr>
          <w:p>
            <w:r/>
            <w:r>
              <w:rPr>
                <w:rFonts w:ascii="Aptos" w:hAnsi="Aptos"/>
                <w:b w:val="0"/>
                <w:sz w:val="18"/>
              </w:rPr>
              <w:t>build_filtered_dataset</w:t>
            </w:r>
          </w:p>
        </w:tc>
        <w:tc>
          <w:tcPr>
            <w:tcW w:type="dxa" w:w="6009"/>
            <w:vAlign w:val="center"/>
          </w:tcPr>
          <w:p>
            <w:r/>
            <w:r>
              <w:rPr>
                <w:rFonts w:ascii="Aptos" w:hAnsi="Aptos"/>
                <w:b w:val="0"/>
                <w:sz w:val="18"/>
              </w:rPr>
              <w:t>Construire le dataset filtré une seule fois et le réutiliser ensuite.</w:t>
            </w:r>
          </w:p>
        </w:tc>
      </w:tr>
      <w:tr>
        <w:tc>
          <w:tcPr>
            <w:tcW w:type="dxa" w:w="3402"/>
            <w:vAlign w:val="center"/>
          </w:tcPr>
          <w:p>
            <w:r/>
            <w:r>
              <w:rPr>
                <w:rFonts w:ascii="Aptos" w:hAnsi="Aptos"/>
                <w:b w:val="0"/>
                <w:sz w:val="18"/>
              </w:rPr>
              <w:t>extract_patient_record_prefilter</w:t>
            </w:r>
          </w:p>
        </w:tc>
        <w:tc>
          <w:tcPr>
            <w:tcW w:type="dxa" w:w="6009"/>
            <w:vAlign w:val="center"/>
          </w:tcPr>
          <w:p>
            <w:r/>
            <w:r>
              <w:rPr>
                <w:rFonts w:ascii="Aptos" w:hAnsi="Aptos"/>
                <w:b w:val="0"/>
                <w:sz w:val="18"/>
              </w:rPr>
              <w:t>Transformer un bundle FHIR filtré en représentation patient simple.</w:t>
            </w:r>
          </w:p>
        </w:tc>
      </w:tr>
      <w:tr>
        <w:tc>
          <w:tcPr>
            <w:tcW w:type="dxa" w:w="3402"/>
            <w:vAlign w:val="center"/>
          </w:tcPr>
          <w:p>
            <w:r/>
            <w:r>
              <w:rPr>
                <w:rFonts w:ascii="Aptos" w:hAnsi="Aptos"/>
                <w:b w:val="0"/>
                <w:sz w:val="18"/>
              </w:rPr>
              <w:t>MedGemma.generate</w:t>
            </w:r>
          </w:p>
        </w:tc>
        <w:tc>
          <w:tcPr>
            <w:tcW w:type="dxa" w:w="6009"/>
            <w:vAlign w:val="center"/>
          </w:tcPr>
          <w:p>
            <w:r/>
            <w:r>
              <w:rPr>
                <w:rFonts w:ascii="Aptos" w:hAnsi="Aptos"/>
                <w:b w:val="0"/>
                <w:sz w:val="18"/>
              </w:rPr>
              <w:t>Point d'accès unique au modèle partagé.</w:t>
            </w:r>
          </w:p>
        </w:tc>
      </w:tr>
      <w:tr>
        <w:tc>
          <w:tcPr>
            <w:tcW w:type="dxa" w:w="3402"/>
            <w:vAlign w:val="center"/>
          </w:tcPr>
          <w:p>
            <w:r/>
            <w:r>
              <w:rPr>
                <w:rFonts w:ascii="Aptos" w:hAnsi="Aptos"/>
                <w:b w:val="0"/>
                <w:sz w:val="18"/>
              </w:rPr>
              <w:t>llm_keep_condition_indexes</w:t>
            </w:r>
          </w:p>
        </w:tc>
        <w:tc>
          <w:tcPr>
            <w:tcW w:type="dxa" w:w="6009"/>
            <w:vAlign w:val="center"/>
          </w:tcPr>
          <w:p>
            <w:r/>
            <w:r>
              <w:rPr>
                <w:rFonts w:ascii="Aptos" w:hAnsi="Aptos"/>
                <w:b w:val="0"/>
                <w:sz w:val="18"/>
              </w:rPr>
              <w:t>Demander au modèle quels candidats conditions doivent être retenus.</w:t>
            </w:r>
          </w:p>
        </w:tc>
      </w:tr>
      <w:tr>
        <w:tc>
          <w:tcPr>
            <w:tcW w:type="dxa" w:w="3402"/>
            <w:vAlign w:val="center"/>
          </w:tcPr>
          <w:p>
            <w:r/>
            <w:r>
              <w:rPr>
                <w:rFonts w:ascii="Aptos" w:hAnsi="Aptos"/>
                <w:b w:val="0"/>
                <w:sz w:val="18"/>
              </w:rPr>
              <w:t>note_prompt</w:t>
            </w:r>
          </w:p>
        </w:tc>
        <w:tc>
          <w:tcPr>
            <w:tcW w:type="dxa" w:w="6009"/>
            <w:vAlign w:val="center"/>
          </w:tcPr>
          <w:p>
            <w:r/>
            <w:r>
              <w:rPr>
                <w:rFonts w:ascii="Aptos" w:hAnsi="Aptos"/>
                <w:b w:val="0"/>
                <w:sz w:val="18"/>
              </w:rPr>
              <w:t>Construire le prompt de génération des notes selon le style choisi.</w:t>
            </w:r>
          </w:p>
        </w:tc>
      </w:tr>
      <w:tr>
        <w:tc>
          <w:tcPr>
            <w:tcW w:type="dxa" w:w="3402"/>
            <w:vAlign w:val="center"/>
          </w:tcPr>
          <w:p>
            <w:r/>
            <w:r>
              <w:rPr>
                <w:rFonts w:ascii="Aptos" w:hAnsi="Aptos"/>
                <w:b w:val="0"/>
                <w:sz w:val="18"/>
              </w:rPr>
              <w:t>clean_generated_note</w:t>
            </w:r>
          </w:p>
        </w:tc>
        <w:tc>
          <w:tcPr>
            <w:tcW w:type="dxa" w:w="6009"/>
            <w:vAlign w:val="center"/>
          </w:tcPr>
          <w:p>
            <w:r/>
            <w:r>
              <w:rPr>
                <w:rFonts w:ascii="Aptos" w:hAnsi="Aptos"/>
                <w:b w:val="0"/>
                <w:sz w:val="18"/>
              </w:rPr>
              <w:t>Nettoyer les artefacts du modèle pour obtenir une note exploitable.</w:t>
            </w:r>
          </w:p>
        </w:tc>
      </w:tr>
      <w:tr>
        <w:tc>
          <w:tcPr>
            <w:tcW w:type="dxa" w:w="3402"/>
            <w:vAlign w:val="center"/>
          </w:tcPr>
          <w:p>
            <w:r/>
            <w:r>
              <w:rPr>
                <w:rFonts w:ascii="Aptos" w:hAnsi="Aptos"/>
                <w:b w:val="0"/>
                <w:sz w:val="18"/>
              </w:rPr>
              <w:t>extraction_prompt / parse_llm_json</w:t>
            </w:r>
          </w:p>
        </w:tc>
        <w:tc>
          <w:tcPr>
            <w:tcW w:type="dxa" w:w="6009"/>
            <w:vAlign w:val="center"/>
          </w:tcPr>
          <w:p>
            <w:r/>
            <w:r>
              <w:rPr>
                <w:rFonts w:ascii="Aptos" w:hAnsi="Aptos"/>
                <w:b w:val="0"/>
                <w:sz w:val="18"/>
              </w:rPr>
              <w:t>Transformer une note en JSON structuré et récupérer la sortie proprement.</w:t>
            </w:r>
          </w:p>
        </w:tc>
      </w:tr>
      <w:tr>
        <w:tc>
          <w:tcPr>
            <w:tcW w:type="dxa" w:w="3402"/>
            <w:vAlign w:val="center"/>
          </w:tcPr>
          <w:p>
            <w:r/>
            <w:r>
              <w:rPr>
                <w:rFonts w:ascii="Aptos" w:hAnsi="Aptos"/>
                <w:b w:val="0"/>
                <w:sz w:val="18"/>
              </w:rPr>
              <w:t>semantic_align_and_score</w:t>
            </w:r>
          </w:p>
        </w:tc>
        <w:tc>
          <w:tcPr>
            <w:tcW w:type="dxa" w:w="6009"/>
            <w:vAlign w:val="center"/>
          </w:tcPr>
          <w:p>
            <w:r/>
            <w:r>
              <w:rPr>
                <w:rFonts w:ascii="Aptos" w:hAnsi="Aptos"/>
                <w:b w:val="0"/>
                <w:sz w:val="18"/>
              </w:rPr>
              <w:t>Comparer deux listes d'items avec l'aide d'un juge sémantique LLM.</w:t>
            </w:r>
          </w:p>
        </w:tc>
      </w:tr>
      <w:tr>
        <w:tc>
          <w:tcPr>
            <w:tcW w:type="dxa" w:w="3402"/>
            <w:vAlign w:val="center"/>
          </w:tcPr>
          <w:p>
            <w:r/>
            <w:r>
              <w:rPr>
                <w:rFonts w:ascii="Aptos" w:hAnsi="Aptos"/>
                <w:b w:val="0"/>
                <w:sz w:val="18"/>
              </w:rPr>
              <w:t>verify_reconstruction</w:t>
            </w:r>
          </w:p>
        </w:tc>
        <w:tc>
          <w:tcPr>
            <w:tcW w:type="dxa" w:w="6009"/>
            <w:vAlign w:val="center"/>
          </w:tcPr>
          <w:p>
            <w:r/>
            <w:r>
              <w:rPr>
                <w:rFonts w:ascii="Aptos" w:hAnsi="Aptos"/>
                <w:b w:val="0"/>
                <w:sz w:val="18"/>
              </w:rPr>
              <w:t>Faire relire la note et la reconstruction pour produire un verdict de cohérence.</w:t>
            </w:r>
          </w:p>
        </w:tc>
      </w:tr>
      <w:tr>
        <w:tc>
          <w:tcPr>
            <w:tcW w:type="dxa" w:w="3402"/>
            <w:vAlign w:val="center"/>
          </w:tcPr>
          <w:p>
            <w:r/>
            <w:r>
              <w:rPr>
                <w:rFonts w:ascii="Aptos" w:hAnsi="Aptos"/>
                <w:b w:val="0"/>
                <w:sz w:val="18"/>
              </w:rPr>
              <w:t>classify_error_taxonomy</w:t>
            </w:r>
          </w:p>
        </w:tc>
        <w:tc>
          <w:tcPr>
            <w:tcW w:type="dxa" w:w="6009"/>
            <w:vAlign w:val="center"/>
          </w:tcPr>
          <w:p>
            <w:r/>
            <w:r>
              <w:rPr>
                <w:rFonts w:ascii="Aptos" w:hAnsi="Aptos"/>
                <w:b w:val="0"/>
                <w:sz w:val="18"/>
              </w:rPr>
              <w:t>Transformer des métriques en catégories d'erreurs lisibles.</w:t>
            </w:r>
          </w:p>
        </w:tc>
      </w:tr>
      <w:tr>
        <w:tc>
          <w:tcPr>
            <w:tcW w:type="dxa" w:w="3402"/>
            <w:vAlign w:val="center"/>
          </w:tcPr>
          <w:p>
            <w:r/>
            <w:r>
              <w:rPr>
                <w:rFonts w:ascii="Aptos" w:hAnsi="Aptos"/>
                <w:b w:val="0"/>
                <w:sz w:val="18"/>
              </w:rPr>
              <w:t>build_scores_overall_summary</w:t>
            </w:r>
          </w:p>
        </w:tc>
        <w:tc>
          <w:tcPr>
            <w:tcW w:type="dxa" w:w="6009"/>
            <w:vAlign w:val="center"/>
          </w:tcPr>
          <w:p>
            <w:r/>
            <w:r>
              <w:rPr>
                <w:rFonts w:ascii="Aptos" w:hAnsi="Aptos"/>
                <w:b w:val="0"/>
                <w:sz w:val="18"/>
              </w:rPr>
              <w:t>Résumer les scores du run complet sous forme de table compacte.</w:t>
            </w:r>
          </w:p>
        </w:tc>
      </w:tr>
      <w:tr>
        <w:tc>
          <w:tcPr>
            <w:tcW w:type="dxa" w:w="3402"/>
            <w:vAlign w:val="center"/>
          </w:tcPr>
          <w:p>
            <w:r/>
            <w:r>
              <w:rPr>
                <w:rFonts w:ascii="Aptos" w:hAnsi="Aptos"/>
                <w:b w:val="0"/>
                <w:sz w:val="18"/>
              </w:rPr>
              <w:t>build_scores_summary_by_note_style</w:t>
            </w:r>
          </w:p>
        </w:tc>
        <w:tc>
          <w:tcPr>
            <w:tcW w:type="dxa" w:w="6009"/>
            <w:vAlign w:val="center"/>
          </w:tcPr>
          <w:p>
            <w:r/>
            <w:r>
              <w:rPr>
                <w:rFonts w:ascii="Aptos" w:hAnsi="Aptos"/>
                <w:b w:val="0"/>
                <w:sz w:val="18"/>
              </w:rPr>
              <w:t>Résumer les scores style par style pour comparer les difficultés.</w:t>
            </w:r>
          </w:p>
        </w:tc>
      </w:tr>
    </w:tbl>
    <w:p>
      <w:pPr>
        <w:pStyle w:val="Heading1"/>
      </w:pPr>
      <w:r>
        <w:t>6. Les principaux datasets produits</w:t>
      </w:r>
    </w:p>
    <w:tbl>
      <w:tblPr>
        <w:tblStyle w:val="TableGrid"/>
        <w:tblW w:type="auto" w:w="0"/>
        <w:jc w:val="center"/>
        <w:tblLayout w:type="fixed"/>
        <w:tblLook w:firstColumn="1" w:firstRow="1" w:lastColumn="0" w:lastRow="0" w:noHBand="0" w:noVBand="1" w:val="04A0"/>
      </w:tblPr>
      <w:tblGrid>
        <w:gridCol w:w="4873"/>
        <w:gridCol w:w="4873"/>
      </w:tblGrid>
      <w:tr>
        <w:tc>
          <w:tcPr>
            <w:tcW w:type="dxa" w:w="3175"/>
            <w:vAlign w:val="center"/>
            <w:shd w:fill="5B9BD5"/>
          </w:tcPr>
          <w:p>
            <w:r/>
            <w:r>
              <w:rPr>
                <w:rFonts w:ascii="Aptos" w:hAnsi="Aptos"/>
                <w:b/>
                <w:color w:val="FFFFFF"/>
                <w:sz w:val="20"/>
              </w:rPr>
              <w:t>Dataset</w:t>
            </w:r>
          </w:p>
        </w:tc>
        <w:tc>
          <w:tcPr>
            <w:tcW w:type="dxa" w:w="6236"/>
            <w:vAlign w:val="center"/>
            <w:shd w:fill="5B9BD5"/>
          </w:tcPr>
          <w:p>
            <w:r/>
            <w:r>
              <w:rPr>
                <w:rFonts w:ascii="Aptos" w:hAnsi="Aptos"/>
                <w:b/>
                <w:color w:val="FFFFFF"/>
                <w:sz w:val="20"/>
              </w:rPr>
              <w:t>Rôle</w:t>
            </w:r>
          </w:p>
        </w:tc>
      </w:tr>
      <w:tr>
        <w:tc>
          <w:tcPr>
            <w:tcW w:type="dxa" w:w="3175"/>
            <w:vAlign w:val="center"/>
          </w:tcPr>
          <w:p>
            <w:r/>
            <w:r>
              <w:rPr>
                <w:rFonts w:ascii="Aptos" w:hAnsi="Aptos"/>
                <w:b w:val="0"/>
                <w:sz w:val="18"/>
              </w:rPr>
              <w:t>df_index</w:t>
            </w:r>
          </w:p>
        </w:tc>
        <w:tc>
          <w:tcPr>
            <w:tcW w:type="dxa" w:w="6236"/>
            <w:vAlign w:val="center"/>
          </w:tcPr>
          <w:p>
            <w:r/>
            <w:r>
              <w:rPr>
                <w:rFonts w:ascii="Aptos" w:hAnsi="Aptos"/>
                <w:b w:val="0"/>
                <w:sz w:val="18"/>
              </w:rPr>
              <w:t>Index des patients filtrés disponibles.</w:t>
            </w:r>
          </w:p>
        </w:tc>
      </w:tr>
      <w:tr>
        <w:tc>
          <w:tcPr>
            <w:tcW w:type="dxa" w:w="3175"/>
            <w:vAlign w:val="center"/>
          </w:tcPr>
          <w:p>
            <w:r/>
            <w:r>
              <w:rPr>
                <w:rFonts w:ascii="Aptos" w:hAnsi="Aptos"/>
                <w:b w:val="0"/>
                <w:sz w:val="18"/>
              </w:rPr>
              <w:t>df_gold</w:t>
            </w:r>
          </w:p>
        </w:tc>
        <w:tc>
          <w:tcPr>
            <w:tcW w:type="dxa" w:w="6236"/>
            <w:vAlign w:val="center"/>
          </w:tcPr>
          <w:p>
            <w:r/>
            <w:r>
              <w:rPr>
                <w:rFonts w:ascii="Aptos" w:hAnsi="Aptos"/>
                <w:b w:val="0"/>
                <w:sz w:val="18"/>
              </w:rPr>
              <w:t>Gold source par patient, avec note_style et aperçus.</w:t>
            </w:r>
          </w:p>
        </w:tc>
      </w:tr>
      <w:tr>
        <w:tc>
          <w:tcPr>
            <w:tcW w:type="dxa" w:w="3175"/>
            <w:vAlign w:val="center"/>
          </w:tcPr>
          <w:p>
            <w:r/>
            <w:r>
              <w:rPr>
                <w:rFonts w:ascii="Aptos" w:hAnsi="Aptos"/>
                <w:b w:val="0"/>
                <w:sz w:val="18"/>
              </w:rPr>
              <w:t>df_notes</w:t>
            </w:r>
          </w:p>
        </w:tc>
        <w:tc>
          <w:tcPr>
            <w:tcW w:type="dxa" w:w="6236"/>
            <w:vAlign w:val="center"/>
          </w:tcPr>
          <w:p>
            <w:r/>
            <w:r>
              <w:rPr>
                <w:rFonts w:ascii="Aptos" w:hAnsi="Aptos"/>
                <w:b w:val="0"/>
                <w:sz w:val="18"/>
              </w:rPr>
              <w:t>Notes générées, versions nettoyées, styles et longueurs.</w:t>
            </w:r>
          </w:p>
        </w:tc>
      </w:tr>
      <w:tr>
        <w:tc>
          <w:tcPr>
            <w:tcW w:type="dxa" w:w="3175"/>
            <w:vAlign w:val="center"/>
          </w:tcPr>
          <w:p>
            <w:r/>
            <w:r>
              <w:rPr>
                <w:rFonts w:ascii="Aptos" w:hAnsi="Aptos"/>
                <w:b w:val="0"/>
                <w:sz w:val="18"/>
              </w:rPr>
              <w:t>df_recon</w:t>
            </w:r>
          </w:p>
        </w:tc>
        <w:tc>
          <w:tcPr>
            <w:tcW w:type="dxa" w:w="6236"/>
            <w:vAlign w:val="center"/>
          </w:tcPr>
          <w:p>
            <w:r/>
            <w:r>
              <w:rPr>
                <w:rFonts w:ascii="Aptos" w:hAnsi="Aptos"/>
                <w:b w:val="0"/>
                <w:sz w:val="18"/>
              </w:rPr>
              <w:t>Reconstruction propre et éléments extraits.</w:t>
            </w:r>
          </w:p>
        </w:tc>
      </w:tr>
      <w:tr>
        <w:tc>
          <w:tcPr>
            <w:tcW w:type="dxa" w:w="3175"/>
            <w:vAlign w:val="center"/>
          </w:tcPr>
          <w:p>
            <w:r/>
            <w:r>
              <w:rPr>
                <w:rFonts w:ascii="Aptos" w:hAnsi="Aptos"/>
                <w:b w:val="0"/>
                <w:sz w:val="18"/>
              </w:rPr>
              <w:t>df_scores</w:t>
            </w:r>
          </w:p>
        </w:tc>
        <w:tc>
          <w:tcPr>
            <w:tcW w:type="dxa" w:w="6236"/>
            <w:vAlign w:val="center"/>
          </w:tcPr>
          <w:p>
            <w:r/>
            <w:r>
              <w:rPr>
                <w:rFonts w:ascii="Aptos" w:hAnsi="Aptos"/>
                <w:b w:val="0"/>
                <w:sz w:val="18"/>
              </w:rPr>
              <w:t>Scores détaillés patient par patient.</w:t>
            </w:r>
          </w:p>
        </w:tc>
      </w:tr>
      <w:tr>
        <w:tc>
          <w:tcPr>
            <w:tcW w:type="dxa" w:w="3175"/>
            <w:vAlign w:val="center"/>
          </w:tcPr>
          <w:p>
            <w:r/>
            <w:r>
              <w:rPr>
                <w:rFonts w:ascii="Aptos" w:hAnsi="Aptos"/>
                <w:b w:val="0"/>
                <w:sz w:val="18"/>
              </w:rPr>
              <w:t>df_verification</w:t>
            </w:r>
          </w:p>
        </w:tc>
        <w:tc>
          <w:tcPr>
            <w:tcW w:type="dxa" w:w="6236"/>
            <w:vAlign w:val="center"/>
          </w:tcPr>
          <w:p>
            <w:r/>
            <w:r>
              <w:rPr>
                <w:rFonts w:ascii="Aptos" w:hAnsi="Aptos"/>
                <w:b w:val="0"/>
                <w:sz w:val="18"/>
              </w:rPr>
              <w:t>Verdicts et confiance de la chaîne de vérification.</w:t>
            </w:r>
          </w:p>
        </w:tc>
      </w:tr>
      <w:tr>
        <w:tc>
          <w:tcPr>
            <w:tcW w:type="dxa" w:w="3175"/>
            <w:vAlign w:val="center"/>
          </w:tcPr>
          <w:p>
            <w:r/>
            <w:r>
              <w:rPr>
                <w:rFonts w:ascii="Aptos" w:hAnsi="Aptos"/>
                <w:b w:val="0"/>
                <w:sz w:val="18"/>
              </w:rPr>
              <w:t>df_error_taxonomy</w:t>
            </w:r>
          </w:p>
        </w:tc>
        <w:tc>
          <w:tcPr>
            <w:tcW w:type="dxa" w:w="6236"/>
            <w:vAlign w:val="center"/>
          </w:tcPr>
          <w:p>
            <w:r/>
            <w:r>
              <w:rPr>
                <w:rFonts w:ascii="Aptos" w:hAnsi="Aptos"/>
                <w:b w:val="0"/>
                <w:sz w:val="18"/>
              </w:rPr>
              <w:t>Classification lisible des erreurs.</w:t>
            </w:r>
          </w:p>
        </w:tc>
      </w:tr>
      <w:tr>
        <w:tc>
          <w:tcPr>
            <w:tcW w:type="dxa" w:w="3175"/>
            <w:vAlign w:val="center"/>
          </w:tcPr>
          <w:p>
            <w:r/>
            <w:r>
              <w:rPr>
                <w:rFonts w:ascii="Aptos" w:hAnsi="Aptos"/>
                <w:b w:val="0"/>
                <w:sz w:val="18"/>
              </w:rPr>
              <w:t>df_scores_overall_summary</w:t>
            </w:r>
          </w:p>
        </w:tc>
        <w:tc>
          <w:tcPr>
            <w:tcW w:type="dxa" w:w="6236"/>
            <w:vAlign w:val="center"/>
          </w:tcPr>
          <w:p>
            <w:r/>
            <w:r>
              <w:rPr>
                <w:rFonts w:ascii="Aptos" w:hAnsi="Aptos"/>
                <w:b w:val="0"/>
                <w:sz w:val="18"/>
              </w:rPr>
              <w:t>Résumé global des métriques du run.</w:t>
            </w:r>
          </w:p>
        </w:tc>
      </w:tr>
      <w:tr>
        <w:tc>
          <w:tcPr>
            <w:tcW w:type="dxa" w:w="3175"/>
            <w:vAlign w:val="center"/>
          </w:tcPr>
          <w:p>
            <w:r/>
            <w:r>
              <w:rPr>
                <w:rFonts w:ascii="Aptos" w:hAnsi="Aptos"/>
                <w:b w:val="0"/>
                <w:sz w:val="18"/>
              </w:rPr>
              <w:t>df_scores_summary_by_note_style</w:t>
            </w:r>
          </w:p>
        </w:tc>
        <w:tc>
          <w:tcPr>
            <w:tcW w:type="dxa" w:w="6236"/>
            <w:vAlign w:val="center"/>
          </w:tcPr>
          <w:p>
            <w:r/>
            <w:r>
              <w:rPr>
                <w:rFonts w:ascii="Aptos" w:hAnsi="Aptos"/>
                <w:b w:val="0"/>
                <w:sz w:val="18"/>
              </w:rPr>
              <w:t>Résumé statistique des métriques par style de note.</w:t>
            </w:r>
          </w:p>
        </w:tc>
      </w:tr>
      <w:tr>
        <w:tc>
          <w:tcPr>
            <w:tcW w:type="dxa" w:w="3175"/>
            <w:vAlign w:val="center"/>
          </w:tcPr>
          <w:p>
            <w:r/>
            <w:r>
              <w:rPr>
                <w:rFonts w:ascii="Aptos" w:hAnsi="Aptos"/>
                <w:b w:val="0"/>
                <w:sz w:val="18"/>
              </w:rPr>
              <w:t>df_hard_cases_by_note_style</w:t>
            </w:r>
          </w:p>
        </w:tc>
        <w:tc>
          <w:tcPr>
            <w:tcW w:type="dxa" w:w="6236"/>
            <w:vAlign w:val="center"/>
          </w:tcPr>
          <w:p>
            <w:r/>
            <w:r>
              <w:rPr>
                <w:rFonts w:ascii="Aptos" w:hAnsi="Aptos"/>
                <w:b w:val="0"/>
                <w:sz w:val="18"/>
              </w:rPr>
              <w:t>Cas difficiles triés par style.</w:t>
            </w:r>
          </w:p>
        </w:tc>
      </w:tr>
      <w:tr>
        <w:tc>
          <w:tcPr>
            <w:tcW w:type="dxa" w:w="3175"/>
            <w:vAlign w:val="center"/>
          </w:tcPr>
          <w:p>
            <w:r/>
            <w:r>
              <w:rPr>
                <w:rFonts w:ascii="Aptos" w:hAnsi="Aptos"/>
                <w:b w:val="0"/>
                <w:sz w:val="18"/>
              </w:rPr>
              <w:t>df_export_review</w:t>
            </w:r>
          </w:p>
        </w:tc>
        <w:tc>
          <w:tcPr>
            <w:tcW w:type="dxa" w:w="6236"/>
            <w:vAlign w:val="center"/>
          </w:tcPr>
          <w:p>
            <w:r/>
            <w:r>
              <w:rPr>
                <w:rFonts w:ascii="Aptos" w:hAnsi="Aptos"/>
                <w:b w:val="0"/>
                <w:sz w:val="18"/>
              </w:rPr>
              <w:t>Contrôle synthétique des fichiers exportés.</w:t>
            </w:r>
          </w:p>
        </w:tc>
      </w:tr>
    </w:tbl>
    <w:p>
      <w:pPr>
        <w:pStyle w:val="Heading1"/>
      </w:pPr>
      <w:r>
        <w:t>7. Pourquoi le notebook utilise plusieurs niveaux d'évaluation</w:t>
      </w:r>
    </w:p>
    <w:p>
      <w:r>
        <w:t>Le notebook ne s'appuie pas sur un seul score parce qu'un seul score serait trop pauvre. Une reconstruction peut être textuellement différente mais médicalement correcte. Elle peut aussi sembler correcte au score exact mais rester douteuse pour un lecteur clinique. C'est pourquoi le notebook combine des métriques exactes, des métriques sémantiques, une vérification LLM et une taxonomie d'erreurs.</w:t>
      </w:r>
    </w:p>
    <w:p>
      <w:pPr>
        <w:pStyle w:val="ListBullet"/>
      </w:pPr>
      <w:r>
        <w:t>Le score officiel répond à la question : la reconstruction est-elle fidèle à la note réellement produite ?</w:t>
      </w:r>
    </w:p>
    <w:p>
      <w:pPr>
        <w:pStyle w:val="ListBullet"/>
      </w:pPr>
      <w:r>
        <w:t>Le score secondaire répond à la question : la reconstruction permet-elle encore de retrouver la source structurée de départ ?</w:t>
      </w:r>
    </w:p>
    <w:p>
      <w:pPr>
        <w:pStyle w:val="ListBullet"/>
      </w:pPr>
      <w:r>
        <w:t>La vérification répond à la question : la reconstruction paraît-elle cohérente à la lecture ?</w:t>
      </w:r>
    </w:p>
    <w:p>
      <w:pPr>
        <w:pStyle w:val="ListBullet"/>
      </w:pPr>
      <w:r>
        <w:t>La taxonomie répond à la question : quel type d'échec se produit ?</w:t>
      </w:r>
    </w:p>
    <w:p>
      <w:pPr>
        <w:pStyle w:val="Heading1"/>
      </w:pPr>
      <w:r>
        <w:t>8. Comment exécuter le notebook de manière sûre</w:t>
      </w:r>
    </w:p>
    <w:p>
      <w:pPr>
        <w:pStyle w:val="ListBullet"/>
      </w:pPr>
      <w:r>
        <w:t>Démarrer dans une session propre.</w:t>
      </w:r>
    </w:p>
    <w:p>
      <w:pPr>
        <w:pStyle w:val="ListBullet"/>
      </w:pPr>
      <w:r>
        <w:t>Vérifier la configuration globale avant de lancer le run : modèle, nombre de patients, seed, budgets de tokens.</w:t>
      </w:r>
    </w:p>
    <w:p>
      <w:pPr>
        <w:pStyle w:val="ListBullet"/>
      </w:pPr>
      <w:r>
        <w:t>Utiliser la cellule de reset des sorties analytiques avant le benchmark final si l'on veut repartir d'un état propre.</w:t>
      </w:r>
    </w:p>
    <w:p>
      <w:pPr>
        <w:pStyle w:val="ListBullet"/>
      </w:pPr>
      <w:r>
        <w:t>Exécuter le notebook de haut en bas sans sauter d'étapes.</w:t>
      </w:r>
    </w:p>
    <w:p>
      <w:pPr>
        <w:pStyle w:val="ListBullet"/>
      </w:pPr>
      <w:r>
        <w:t>Surveiller les premiers fichiers créés dans gold, notes, reconstruction, scores et verification.</w:t>
      </w:r>
    </w:p>
    <w:p>
      <w:pPr>
        <w:pStyle w:val="ListBullet"/>
      </w:pPr>
      <w:r>
        <w:t>À la fin, récupérer le ZIP exporté et les principaux CSV de synthèse.</w:t>
      </w:r>
    </w:p>
    <w:p>
      <w:pPr>
        <w:pStyle w:val="Heading1"/>
      </w:pPr>
      <w:r>
        <w:t>9. Comment lire les résultats une fois le benchmark terminé</w:t>
      </w:r>
    </w:p>
    <w:p>
      <w:r>
        <w:t>Pour une lecture efficace, il faut partir de la synthèse globale, puis descendre vers les détails. L'ordre conseillé est le suivant.</w:t>
      </w:r>
    </w:p>
    <w:p>
      <w:pPr>
        <w:pStyle w:val="ListBullet"/>
      </w:pPr>
      <w:r>
        <w:t>Lire d'abord df_scores_overall_summary pour comprendre la performance globale.</w:t>
      </w:r>
    </w:p>
    <w:p>
      <w:pPr>
        <w:pStyle w:val="ListBullet"/>
      </w:pPr>
      <w:r>
        <w:t>Lire ensuite df_scores_summary_by_note_style pour voir quels styles de notes posent le plus de problèmes.</w:t>
      </w:r>
    </w:p>
    <w:p>
      <w:pPr>
        <w:pStyle w:val="ListBullet"/>
      </w:pPr>
      <w:r>
        <w:t>Passer ensuite à df_error_taxonomy et aux taxonomies par note_style pour comprendre les types d'erreurs dominants.</w:t>
      </w:r>
    </w:p>
    <w:p>
      <w:pPr>
        <w:pStyle w:val="ListBullet"/>
      </w:pPr>
      <w:r>
        <w:t>Consulter df_verification et df_verification_by_note_style pour vérifier si le modèle lui-même considère certaines reconstructions fragiles.</w:t>
      </w:r>
    </w:p>
    <w:p>
      <w:pPr>
        <w:pStyle w:val="ListBullet"/>
      </w:pPr>
      <w:r>
        <w:t>Finir par les hard cases pour examiner les patients les plus difficiles.</w:t>
      </w:r>
    </w:p>
    <w:p>
      <w:r>
        <w:br w:type="page"/>
      </w:r>
    </w:p>
    <w:p>
      <w:pPr>
        <w:pStyle w:val="Heading1"/>
      </w:pPr>
      <w:r>
        <w:t>Annexe A. Carte du notebook cellule par cellule</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vAlign w:val="center"/>
            <w:shd w:fill="5B9BD5"/>
          </w:tcPr>
          <w:p>
            <w:r/>
            <w:r>
              <w:rPr>
                <w:rFonts w:ascii="Aptos" w:hAnsi="Aptos"/>
                <w:b/>
                <w:color w:val="FFFFFF"/>
                <w:sz w:val="20"/>
              </w:rPr>
              <w:t>Cellule</w:t>
            </w:r>
          </w:p>
        </w:tc>
        <w:tc>
          <w:tcPr>
            <w:tcW w:type="dxa" w:w="1020"/>
            <w:vAlign w:val="center"/>
            <w:shd w:fill="5B9BD5"/>
          </w:tcPr>
          <w:p>
            <w:r/>
            <w:r>
              <w:rPr>
                <w:rFonts w:ascii="Aptos" w:hAnsi="Aptos"/>
                <w:b/>
                <w:color w:val="FFFFFF"/>
                <w:sz w:val="20"/>
              </w:rPr>
              <w:t>Type</w:t>
            </w:r>
          </w:p>
        </w:tc>
        <w:tc>
          <w:tcPr>
            <w:tcW w:type="dxa" w:w="3685"/>
            <w:vAlign w:val="center"/>
            <w:shd w:fill="5B9BD5"/>
          </w:tcPr>
          <w:p>
            <w:r/>
            <w:r>
              <w:rPr>
                <w:rFonts w:ascii="Aptos" w:hAnsi="Aptos"/>
                <w:b/>
                <w:color w:val="FFFFFF"/>
                <w:sz w:val="20"/>
              </w:rPr>
              <w:t>Repère</w:t>
            </w:r>
          </w:p>
        </w:tc>
        <w:tc>
          <w:tcPr>
            <w:tcW w:type="dxa" w:w="2835"/>
            <w:vAlign w:val="center"/>
            <w:shd w:fill="5B9BD5"/>
          </w:tcPr>
          <w:p>
            <w:r/>
            <w:r>
              <w:rPr>
                <w:rFonts w:ascii="Aptos" w:hAnsi="Aptos"/>
                <w:b/>
                <w:color w:val="FFFFFF"/>
                <w:sz w:val="20"/>
              </w:rPr>
              <w:t>Contexte</w:t>
            </w:r>
          </w:p>
        </w:tc>
        <w:tc>
          <w:tcPr>
            <w:tcW w:type="dxa" w:w="737"/>
            <w:vAlign w:val="center"/>
            <w:shd w:fill="5B9BD5"/>
          </w:tcPr>
          <w:p>
            <w:r/>
            <w:r>
              <w:rPr>
                <w:rFonts w:ascii="Aptos" w:hAnsi="Aptos"/>
                <w:b/>
                <w:color w:val="FFFFFF"/>
                <w:sz w:val="20"/>
              </w:rPr>
              <w:t>Lignes</w:t>
            </w:r>
          </w:p>
        </w:tc>
      </w:tr>
      <w:tr>
        <w:tc>
          <w:tcPr>
            <w:tcW w:type="dxa" w:w="737"/>
            <w:vAlign w:val="center"/>
          </w:tcPr>
          <w:p>
            <w:r/>
            <w:r>
              <w:rPr>
                <w:rFonts w:ascii="Aptos" w:hAnsi="Aptos"/>
                <w:b w:val="0"/>
                <w:sz w:val="16"/>
              </w:rPr>
              <w:t>0</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BUPA DDEFI - Conditions + MedicationRequest (version simplifiée)</w:t>
            </w:r>
          </w:p>
        </w:tc>
        <w:tc>
          <w:tcPr>
            <w:tcW w:type="dxa" w:w="2835"/>
            <w:vAlign w:val="center"/>
          </w:tcPr>
          <w:p>
            <w:r/>
            <w:r>
              <w:rPr>
                <w:rFonts w:ascii="Aptos" w:hAnsi="Aptos"/>
                <w:b w:val="0"/>
                <w:sz w:val="16"/>
              </w:rPr>
              <w:t xml:space="preserve">BUPA DDEFI - Conditions + MedicationRequest </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Run once to reset everything and remove already filtered data</w:t>
            </w:r>
          </w:p>
        </w:tc>
        <w:tc>
          <w:tcPr>
            <w:tcW w:type="dxa" w:w="2835"/>
            <w:vAlign w:val="center"/>
          </w:tcPr>
          <w:p>
            <w:r/>
            <w:r>
              <w:rPr>
                <w:rFonts w:ascii="Aptos" w:hAnsi="Aptos"/>
                <w:b w:val="0"/>
                <w:sz w:val="16"/>
              </w:rPr>
              <w:t xml:space="preserve">BUPA DDEFI - Conditions + MedicationRequest </w:t>
            </w:r>
          </w:p>
        </w:tc>
        <w:tc>
          <w:tcPr>
            <w:tcW w:type="dxa" w:w="737"/>
            <w:vAlign w:val="center"/>
          </w:tcPr>
          <w:p>
            <w:r/>
            <w:r>
              <w:rPr>
                <w:rFonts w:ascii="Aptos" w:hAnsi="Aptos"/>
                <w:b w:val="0"/>
                <w:sz w:val="16"/>
              </w:rPr>
              <w:t>6</w:t>
            </w:r>
          </w:p>
        </w:tc>
      </w:tr>
      <w:tr>
        <w:tc>
          <w:tcPr>
            <w:tcW w:type="dxa" w:w="737"/>
            <w:vAlign w:val="center"/>
          </w:tcPr>
          <w:p>
            <w:r/>
            <w:r>
              <w:rPr>
                <w:rFonts w:ascii="Aptos" w:hAnsi="Aptos"/>
                <w:b w:val="0"/>
                <w:sz w:val="16"/>
              </w:rPr>
              <w:t>2</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0) Installation (Colab)</w:t>
            </w:r>
          </w:p>
        </w:tc>
        <w:tc>
          <w:tcPr>
            <w:tcW w:type="dxa" w:w="2835"/>
            <w:vAlign w:val="center"/>
          </w:tcPr>
          <w:p>
            <w:r/>
            <w:r>
              <w:rPr>
                <w:rFonts w:ascii="Aptos" w:hAnsi="Aptos"/>
                <w:b w:val="0"/>
                <w:sz w:val="16"/>
              </w:rPr>
              <w:t>0) Installation (Colab)</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3</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Run once on Colab</w:t>
            </w:r>
          </w:p>
        </w:tc>
        <w:tc>
          <w:tcPr>
            <w:tcW w:type="dxa" w:w="2835"/>
            <w:vAlign w:val="center"/>
          </w:tcPr>
          <w:p>
            <w:r/>
            <w:r>
              <w:rPr>
                <w:rFonts w:ascii="Aptos" w:hAnsi="Aptos"/>
                <w:b w:val="0"/>
                <w:sz w:val="16"/>
              </w:rPr>
              <w:t>0) Installation (Colab)</w:t>
            </w:r>
          </w:p>
        </w:tc>
        <w:tc>
          <w:tcPr>
            <w:tcW w:type="dxa" w:w="737"/>
            <w:vAlign w:val="center"/>
          </w:tcPr>
          <w:p>
            <w:r/>
            <w:r>
              <w:rPr>
                <w:rFonts w:ascii="Aptos" w:hAnsi="Aptos"/>
                <w:b w:val="0"/>
                <w:sz w:val="16"/>
              </w:rPr>
              <w:t>4</w:t>
            </w:r>
          </w:p>
        </w:tc>
      </w:tr>
      <w:tr>
        <w:tc>
          <w:tcPr>
            <w:tcW w:type="dxa" w:w="737"/>
            <w:vAlign w:val="center"/>
          </w:tcPr>
          <w:p>
            <w:r/>
            <w:r>
              <w:rPr>
                <w:rFonts w:ascii="Aptos" w:hAnsi="Aptos"/>
                <w:b w:val="0"/>
                <w:sz w:val="16"/>
              </w:rPr>
              <w:t>4</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0.1) Authentification Hugging Face (si MedGemma est gated)</w:t>
            </w:r>
          </w:p>
        </w:tc>
        <w:tc>
          <w:tcPr>
            <w:tcW w:type="dxa" w:w="2835"/>
            <w:vAlign w:val="center"/>
          </w:tcPr>
          <w:p>
            <w:r/>
            <w:r>
              <w:rPr>
                <w:rFonts w:ascii="Aptos" w:hAnsi="Aptos"/>
                <w:b w:val="0"/>
                <w:sz w:val="16"/>
              </w:rPr>
              <w:t>0.1) Authentification Hugging Face (si MedGe</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5</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import os</w:t>
            </w:r>
          </w:p>
        </w:tc>
        <w:tc>
          <w:tcPr>
            <w:tcW w:type="dxa" w:w="2835"/>
            <w:vAlign w:val="center"/>
          </w:tcPr>
          <w:p>
            <w:r/>
            <w:r>
              <w:rPr>
                <w:rFonts w:ascii="Aptos" w:hAnsi="Aptos"/>
                <w:b w:val="0"/>
                <w:sz w:val="16"/>
              </w:rPr>
              <w:t>0.1) Authentification Hugging Face (si MedGe</w:t>
            </w:r>
          </w:p>
        </w:tc>
        <w:tc>
          <w:tcPr>
            <w:tcW w:type="dxa" w:w="737"/>
            <w:vAlign w:val="center"/>
          </w:tcPr>
          <w:p>
            <w:r/>
            <w:r>
              <w:rPr>
                <w:rFonts w:ascii="Aptos" w:hAnsi="Aptos"/>
                <w:b w:val="0"/>
                <w:sz w:val="16"/>
              </w:rPr>
              <w:t>10</w:t>
            </w:r>
          </w:p>
        </w:tc>
      </w:tr>
      <w:tr>
        <w:tc>
          <w:tcPr>
            <w:tcW w:type="dxa" w:w="737"/>
            <w:vAlign w:val="center"/>
          </w:tcPr>
          <w:p>
            <w:r/>
            <w:r>
              <w:rPr>
                <w:rFonts w:ascii="Aptos" w:hAnsi="Aptos"/>
                <w:b w:val="0"/>
                <w:sz w:val="16"/>
              </w:rPr>
              <w:t>6</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1) Imports, chemins, configuration</w:t>
            </w:r>
          </w:p>
        </w:tc>
        <w:tc>
          <w:tcPr>
            <w:tcW w:type="dxa" w:w="2835"/>
            <w:vAlign w:val="center"/>
          </w:tcPr>
          <w:p>
            <w:r/>
            <w:r>
              <w:rPr>
                <w:rFonts w:ascii="Aptos" w:hAnsi="Aptos"/>
                <w:b w:val="0"/>
                <w:sz w:val="16"/>
              </w:rPr>
              <w:t>1) Imports, chemins, configuration</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7</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from __future__ import annotations</w:t>
            </w:r>
          </w:p>
        </w:tc>
        <w:tc>
          <w:tcPr>
            <w:tcW w:type="dxa" w:w="2835"/>
            <w:vAlign w:val="center"/>
          </w:tcPr>
          <w:p>
            <w:r/>
            <w:r>
              <w:rPr>
                <w:rFonts w:ascii="Aptos" w:hAnsi="Aptos"/>
                <w:b w:val="0"/>
                <w:sz w:val="16"/>
              </w:rPr>
              <w:t>1) Imports, chemins, configuration</w:t>
            </w:r>
          </w:p>
        </w:tc>
        <w:tc>
          <w:tcPr>
            <w:tcW w:type="dxa" w:w="737"/>
            <w:vAlign w:val="center"/>
          </w:tcPr>
          <w:p>
            <w:r/>
            <w:r>
              <w:rPr>
                <w:rFonts w:ascii="Aptos" w:hAnsi="Aptos"/>
                <w:b w:val="0"/>
                <w:sz w:val="16"/>
              </w:rPr>
              <w:t>121</w:t>
            </w:r>
          </w:p>
        </w:tc>
      </w:tr>
      <w:tr>
        <w:tc>
          <w:tcPr>
            <w:tcW w:type="dxa" w:w="737"/>
            <w:vAlign w:val="center"/>
          </w:tcPr>
          <w:p>
            <w:r/>
            <w:r>
              <w:rPr>
                <w:rFonts w:ascii="Aptos" w:hAnsi="Aptos"/>
                <w:b w:val="0"/>
                <w:sz w:val="16"/>
              </w:rPr>
              <w:t>8</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Guide de lecture du notebook</w:t>
            </w:r>
          </w:p>
        </w:tc>
        <w:tc>
          <w:tcPr>
            <w:tcW w:type="dxa" w:w="2835"/>
            <w:vAlign w:val="center"/>
          </w:tcPr>
          <w:p>
            <w:r/>
            <w:r>
              <w:rPr>
                <w:rFonts w:ascii="Aptos" w:hAnsi="Aptos"/>
                <w:b w:val="0"/>
                <w:sz w:val="16"/>
              </w:rPr>
              <w:t>Guide de lecture du notebook</w:t>
            </w:r>
          </w:p>
        </w:tc>
        <w:tc>
          <w:tcPr>
            <w:tcW w:type="dxa" w:w="737"/>
            <w:vAlign w:val="center"/>
          </w:tcPr>
          <w:p>
            <w:r/>
            <w:r>
              <w:rPr>
                <w:rFonts w:ascii="Aptos" w:hAnsi="Aptos"/>
                <w:b w:val="0"/>
                <w:sz w:val="16"/>
              </w:rPr>
              <w:t>34</w:t>
            </w:r>
          </w:p>
        </w:tc>
      </w:tr>
      <w:tr>
        <w:tc>
          <w:tcPr>
            <w:tcW w:type="dxa" w:w="737"/>
            <w:vAlign w:val="center"/>
          </w:tcPr>
          <w:p>
            <w:r/>
            <w:r>
              <w:rPr>
                <w:rFonts w:ascii="Aptos" w:hAnsi="Aptos"/>
                <w:b w:val="0"/>
                <w:sz w:val="16"/>
              </w:rPr>
              <w:t>9</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2) Télécharger et extraire Synthea (local)</w:t>
            </w:r>
          </w:p>
        </w:tc>
        <w:tc>
          <w:tcPr>
            <w:tcW w:type="dxa" w:w="2835"/>
            <w:vAlign w:val="center"/>
          </w:tcPr>
          <w:p>
            <w:r/>
            <w:r>
              <w:rPr>
                <w:rFonts w:ascii="Aptos" w:hAnsi="Aptos"/>
                <w:b w:val="0"/>
                <w:sz w:val="16"/>
              </w:rPr>
              <w:t>2) Télécharger et extraire Synthea (local)</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10</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SYNTHEA_ZIP_URLS = [</w:t>
            </w:r>
          </w:p>
        </w:tc>
        <w:tc>
          <w:tcPr>
            <w:tcW w:type="dxa" w:w="2835"/>
            <w:vAlign w:val="center"/>
          </w:tcPr>
          <w:p>
            <w:r/>
            <w:r>
              <w:rPr>
                <w:rFonts w:ascii="Aptos" w:hAnsi="Aptos"/>
                <w:b w:val="0"/>
                <w:sz w:val="16"/>
              </w:rPr>
              <w:t>2) Télécharger et extraire Synthea (local)</w:t>
            </w:r>
          </w:p>
        </w:tc>
        <w:tc>
          <w:tcPr>
            <w:tcW w:type="dxa" w:w="737"/>
            <w:vAlign w:val="center"/>
          </w:tcPr>
          <w:p>
            <w:r/>
            <w:r>
              <w:rPr>
                <w:rFonts w:ascii="Aptos" w:hAnsi="Aptos"/>
                <w:b w:val="0"/>
                <w:sz w:val="16"/>
              </w:rPr>
              <w:t>54</w:t>
            </w:r>
          </w:p>
        </w:tc>
      </w:tr>
      <w:tr>
        <w:tc>
          <w:tcPr>
            <w:tcW w:type="dxa" w:w="737"/>
            <w:vAlign w:val="center"/>
          </w:tcPr>
          <w:p>
            <w:r/>
            <w:r>
              <w:rPr>
                <w:rFonts w:ascii="Aptos" w:hAnsi="Aptos"/>
                <w:b w:val="0"/>
                <w:sz w:val="16"/>
              </w:rPr>
              <w:t>11</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xml:space="preserve">## 3) Filtrer en amont (un seul passage) et créer un dataset dérivé </w:t>
            </w:r>
          </w:p>
        </w:tc>
        <w:tc>
          <w:tcPr>
            <w:tcW w:type="dxa" w:w="2835"/>
            <w:vAlign w:val="center"/>
          </w:tcPr>
          <w:p>
            <w:r/>
            <w:r>
              <w:rPr>
                <w:rFonts w:ascii="Aptos" w:hAnsi="Aptos"/>
                <w:b w:val="0"/>
                <w:sz w:val="16"/>
              </w:rPr>
              <w:t>3) Filtrer en amont (un seul passage) et cré</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12</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3A) Fonctions utilitaires et règles de préfiltrage</w:t>
            </w:r>
          </w:p>
        </w:tc>
        <w:tc>
          <w:tcPr>
            <w:tcW w:type="dxa" w:w="2835"/>
            <w:vAlign w:val="center"/>
          </w:tcPr>
          <w:p>
            <w:r/>
            <w:r>
              <w:rPr>
                <w:rFonts w:ascii="Aptos" w:hAnsi="Aptos"/>
                <w:b w:val="0"/>
                <w:sz w:val="16"/>
              </w:rPr>
              <w:t>3A) Fonctions utilitaires et règles de préfi</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13</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def safe_read_json(path: Path) -&gt; Optional[dict]:</w:t>
            </w:r>
          </w:p>
        </w:tc>
        <w:tc>
          <w:tcPr>
            <w:tcW w:type="dxa" w:w="2835"/>
            <w:vAlign w:val="center"/>
          </w:tcPr>
          <w:p>
            <w:r/>
            <w:r>
              <w:rPr>
                <w:rFonts w:ascii="Aptos" w:hAnsi="Aptos"/>
                <w:b w:val="0"/>
                <w:sz w:val="16"/>
              </w:rPr>
              <w:t>3A) Fonctions utilitaires et règles de préfi</w:t>
            </w:r>
          </w:p>
        </w:tc>
        <w:tc>
          <w:tcPr>
            <w:tcW w:type="dxa" w:w="737"/>
            <w:vAlign w:val="center"/>
          </w:tcPr>
          <w:p>
            <w:r/>
            <w:r>
              <w:rPr>
                <w:rFonts w:ascii="Aptos" w:hAnsi="Aptos"/>
                <w:b w:val="0"/>
                <w:sz w:val="16"/>
              </w:rPr>
              <w:t>130</w:t>
            </w:r>
          </w:p>
        </w:tc>
      </w:tr>
      <w:tr>
        <w:tc>
          <w:tcPr>
            <w:tcW w:type="dxa" w:w="737"/>
            <w:vAlign w:val="center"/>
          </w:tcPr>
          <w:p>
            <w:r/>
            <w:r>
              <w:rPr>
                <w:rFonts w:ascii="Aptos" w:hAnsi="Aptos"/>
                <w:b w:val="0"/>
                <w:sz w:val="16"/>
              </w:rPr>
              <w:t>14</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3B) Construction du dataset filtré (cache disque)</w:t>
            </w:r>
          </w:p>
        </w:tc>
        <w:tc>
          <w:tcPr>
            <w:tcW w:type="dxa" w:w="2835"/>
            <w:vAlign w:val="center"/>
          </w:tcPr>
          <w:p>
            <w:r/>
            <w:r>
              <w:rPr>
                <w:rFonts w:ascii="Aptos" w:hAnsi="Aptos"/>
                <w:b w:val="0"/>
                <w:sz w:val="16"/>
              </w:rPr>
              <w:t>3B) Construction du dataset filtré (cache di</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15</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def build_filtered_dataset(raw_dir: Path, out_dir: Path) -&gt; pd.DataF</w:t>
            </w:r>
          </w:p>
        </w:tc>
        <w:tc>
          <w:tcPr>
            <w:tcW w:type="dxa" w:w="2835"/>
            <w:vAlign w:val="center"/>
          </w:tcPr>
          <w:p>
            <w:r/>
            <w:r>
              <w:rPr>
                <w:rFonts w:ascii="Aptos" w:hAnsi="Aptos"/>
                <w:b w:val="0"/>
                <w:sz w:val="16"/>
              </w:rPr>
              <w:t>3B) Construction du dataset filtré (cache di</w:t>
            </w:r>
          </w:p>
        </w:tc>
        <w:tc>
          <w:tcPr>
            <w:tcW w:type="dxa" w:w="737"/>
            <w:vAlign w:val="center"/>
          </w:tcPr>
          <w:p>
            <w:r/>
            <w:r>
              <w:rPr>
                <w:rFonts w:ascii="Aptos" w:hAnsi="Aptos"/>
                <w:b w:val="0"/>
                <w:sz w:val="16"/>
              </w:rPr>
              <w:t>49</w:t>
            </w:r>
          </w:p>
        </w:tc>
      </w:tr>
      <w:tr>
        <w:tc>
          <w:tcPr>
            <w:tcW w:type="dxa" w:w="737"/>
            <w:vAlign w:val="center"/>
          </w:tcPr>
          <w:p>
            <w:r/>
            <w:r>
              <w:rPr>
                <w:rFonts w:ascii="Aptos" w:hAnsi="Aptos"/>
                <w:b w:val="0"/>
                <w:sz w:val="16"/>
              </w:rPr>
              <w:t>16</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3C) Index des patients filtrés</w:t>
            </w:r>
          </w:p>
        </w:tc>
        <w:tc>
          <w:tcPr>
            <w:tcW w:type="dxa" w:w="2835"/>
            <w:vAlign w:val="center"/>
          </w:tcPr>
          <w:p>
            <w:r/>
            <w:r>
              <w:rPr>
                <w:rFonts w:ascii="Aptos" w:hAnsi="Aptos"/>
                <w:b w:val="0"/>
                <w:sz w:val="16"/>
              </w:rPr>
              <w:t>3C) Index des patients filtrés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17</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df_index = build_filtered_dataset(RAW_DIR, FILTERED_DIR)</w:t>
            </w:r>
          </w:p>
        </w:tc>
        <w:tc>
          <w:tcPr>
            <w:tcW w:type="dxa" w:w="2835"/>
            <w:vAlign w:val="center"/>
          </w:tcPr>
          <w:p>
            <w:r/>
            <w:r>
              <w:rPr>
                <w:rFonts w:ascii="Aptos" w:hAnsi="Aptos"/>
                <w:b w:val="0"/>
                <w:sz w:val="16"/>
              </w:rPr>
              <w:t>3C) Index des patients filtrés</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18</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4) Construction de la source filtrée de référence (`gold_source`)</w:t>
            </w:r>
          </w:p>
        </w:tc>
        <w:tc>
          <w:tcPr>
            <w:tcW w:type="dxa" w:w="2835"/>
            <w:vAlign w:val="center"/>
          </w:tcPr>
          <w:p>
            <w:r/>
            <w:r>
              <w:rPr>
                <w:rFonts w:ascii="Aptos" w:hAnsi="Aptos"/>
                <w:b w:val="0"/>
                <w:sz w:val="16"/>
              </w:rPr>
              <w:t>4) Construction de la source filtrée de réfé</w:t>
            </w:r>
          </w:p>
        </w:tc>
        <w:tc>
          <w:tcPr>
            <w:tcW w:type="dxa" w:w="737"/>
            <w:vAlign w:val="center"/>
          </w:tcPr>
          <w:p>
            <w:r/>
            <w:r>
              <w:rPr>
                <w:rFonts w:ascii="Aptos" w:hAnsi="Aptos"/>
                <w:b w:val="0"/>
                <w:sz w:val="16"/>
              </w:rPr>
              <w:t>4</w:t>
            </w:r>
          </w:p>
        </w:tc>
      </w:tr>
      <w:tr>
        <w:tc>
          <w:tcPr>
            <w:tcW w:type="dxa" w:w="737"/>
            <w:vAlign w:val="center"/>
          </w:tcPr>
          <w:p>
            <w:r/>
            <w:r>
              <w:rPr>
                <w:rFonts w:ascii="Aptos" w:hAnsi="Aptos"/>
                <w:b w:val="0"/>
                <w:sz w:val="16"/>
              </w:rPr>
              <w:t>19</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xml:space="preserve">### 4A) Extraire une représentation patient simple depuis le Bundle </w:t>
            </w:r>
          </w:p>
        </w:tc>
        <w:tc>
          <w:tcPr>
            <w:tcW w:type="dxa" w:w="2835"/>
            <w:vAlign w:val="center"/>
          </w:tcPr>
          <w:p>
            <w:r/>
            <w:r>
              <w:rPr>
                <w:rFonts w:ascii="Aptos" w:hAnsi="Aptos"/>
                <w:b w:val="0"/>
                <w:sz w:val="16"/>
              </w:rPr>
              <w:t>4A) Extraire une représentation patient simp</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20</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Inspired by the "extract_complete_patient_data" idea: one canonica</w:t>
            </w:r>
          </w:p>
        </w:tc>
        <w:tc>
          <w:tcPr>
            <w:tcW w:type="dxa" w:w="2835"/>
            <w:vAlign w:val="center"/>
          </w:tcPr>
          <w:p>
            <w:r/>
            <w:r>
              <w:rPr>
                <w:rFonts w:ascii="Aptos" w:hAnsi="Aptos"/>
                <w:b w:val="0"/>
                <w:sz w:val="16"/>
              </w:rPr>
              <w:t>4A) Extraire une représentation patient simp</w:t>
            </w:r>
          </w:p>
        </w:tc>
        <w:tc>
          <w:tcPr>
            <w:tcW w:type="dxa" w:w="737"/>
            <w:vAlign w:val="center"/>
          </w:tcPr>
          <w:p>
            <w:r/>
            <w:r>
              <w:rPr>
                <w:rFonts w:ascii="Aptos" w:hAnsi="Aptos"/>
                <w:b w:val="0"/>
                <w:sz w:val="16"/>
              </w:rPr>
              <w:t>64</w:t>
            </w:r>
          </w:p>
        </w:tc>
      </w:tr>
      <w:tr>
        <w:tc>
          <w:tcPr>
            <w:tcW w:type="dxa" w:w="737"/>
            <w:vAlign w:val="center"/>
          </w:tcPr>
          <w:p>
            <w:r/>
            <w:r>
              <w:rPr>
                <w:rFonts w:ascii="Aptos" w:hAnsi="Aptos"/>
                <w:b w:val="0"/>
                <w:sz w:val="16"/>
              </w:rPr>
              <w:t>21</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4B) Choisir l’échantillon et construire la source préfiltrée</w:t>
            </w:r>
          </w:p>
        </w:tc>
        <w:tc>
          <w:tcPr>
            <w:tcW w:type="dxa" w:w="2835"/>
            <w:vAlign w:val="center"/>
          </w:tcPr>
          <w:p>
            <w:r/>
            <w:r>
              <w:rPr>
                <w:rFonts w:ascii="Aptos" w:hAnsi="Aptos"/>
                <w:b w:val="0"/>
                <w:sz w:val="16"/>
              </w:rPr>
              <w:t>4B) Choisir l’échantillon et construire la s</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22</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Choose sample</w:t>
            </w:r>
          </w:p>
        </w:tc>
        <w:tc>
          <w:tcPr>
            <w:tcW w:type="dxa" w:w="2835"/>
            <w:vAlign w:val="center"/>
          </w:tcPr>
          <w:p>
            <w:r/>
            <w:r>
              <w:rPr>
                <w:rFonts w:ascii="Aptos" w:hAnsi="Aptos"/>
                <w:b w:val="0"/>
                <w:sz w:val="16"/>
              </w:rPr>
              <w:t>4B) Choisir l’échantillon et construire la s</w:t>
            </w:r>
          </w:p>
        </w:tc>
        <w:tc>
          <w:tcPr>
            <w:tcW w:type="dxa" w:w="737"/>
            <w:vAlign w:val="center"/>
          </w:tcPr>
          <w:p>
            <w:r/>
            <w:r>
              <w:rPr>
                <w:rFonts w:ascii="Aptos" w:hAnsi="Aptos"/>
                <w:b w:val="0"/>
                <w:sz w:val="16"/>
              </w:rPr>
              <w:t>22</w:t>
            </w:r>
          </w:p>
        </w:tc>
      </w:tr>
      <w:tr>
        <w:tc>
          <w:tcPr>
            <w:tcW w:type="dxa" w:w="737"/>
            <w:vAlign w:val="center"/>
          </w:tcPr>
          <w:p>
            <w:r/>
            <w:r>
              <w:rPr>
                <w:rFonts w:ascii="Aptos" w:hAnsi="Aptos"/>
                <w:b w:val="0"/>
                <w:sz w:val="16"/>
              </w:rPr>
              <w:t>23</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4C) Charger le modèle partagé pour finaliser le `gold_source` et</w:t>
            </w:r>
          </w:p>
        </w:tc>
        <w:tc>
          <w:tcPr>
            <w:tcW w:type="dxa" w:w="2835"/>
            <w:vAlign w:val="center"/>
          </w:tcPr>
          <w:p>
            <w:r/>
            <w:r>
              <w:rPr>
                <w:rFonts w:ascii="Aptos" w:hAnsi="Aptos"/>
                <w:b w:val="0"/>
                <w:sz w:val="16"/>
              </w:rPr>
              <w:t>4C) Charger le modèle partagé pour finaliser</w:t>
            </w:r>
          </w:p>
        </w:tc>
        <w:tc>
          <w:tcPr>
            <w:tcW w:type="dxa" w:w="737"/>
            <w:vAlign w:val="center"/>
          </w:tcPr>
          <w:p>
            <w:r/>
            <w:r>
              <w:rPr>
                <w:rFonts w:ascii="Aptos" w:hAnsi="Aptos"/>
                <w:b w:val="0"/>
                <w:sz w:val="16"/>
              </w:rPr>
              <w:t>7</w:t>
            </w:r>
          </w:p>
        </w:tc>
      </w:tr>
      <w:tr>
        <w:tc>
          <w:tcPr>
            <w:tcW w:type="dxa" w:w="737"/>
            <w:vAlign w:val="center"/>
          </w:tcPr>
          <w:p>
            <w:r/>
            <w:r>
              <w:rPr>
                <w:rFonts w:ascii="Aptos" w:hAnsi="Aptos"/>
                <w:b w:val="0"/>
                <w:sz w:val="16"/>
              </w:rPr>
              <w:t>24</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4C.1) Charger MedGemma une seule fois</w:t>
            </w:r>
          </w:p>
        </w:tc>
        <w:tc>
          <w:tcPr>
            <w:tcW w:type="dxa" w:w="2835"/>
            <w:vAlign w:val="center"/>
          </w:tcPr>
          <w:p>
            <w:r/>
            <w:r>
              <w:rPr>
                <w:rFonts w:ascii="Aptos" w:hAnsi="Aptos"/>
                <w:b w:val="0"/>
                <w:sz w:val="16"/>
              </w:rPr>
              <w:t>4C.1) Charger MedGemma une seule fois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25</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import torch</w:t>
            </w:r>
          </w:p>
        </w:tc>
        <w:tc>
          <w:tcPr>
            <w:tcW w:type="dxa" w:w="2835"/>
            <w:vAlign w:val="center"/>
          </w:tcPr>
          <w:p>
            <w:r/>
            <w:r>
              <w:rPr>
                <w:rFonts w:ascii="Aptos" w:hAnsi="Aptos"/>
                <w:b w:val="0"/>
                <w:sz w:val="16"/>
              </w:rPr>
              <w:t>4C.1) Charger MedGemma une seule fois</w:t>
            </w:r>
          </w:p>
        </w:tc>
        <w:tc>
          <w:tcPr>
            <w:tcW w:type="dxa" w:w="737"/>
            <w:vAlign w:val="center"/>
          </w:tcPr>
          <w:p>
            <w:r/>
            <w:r>
              <w:rPr>
                <w:rFonts w:ascii="Aptos" w:hAnsi="Aptos"/>
                <w:b w:val="0"/>
                <w:sz w:val="16"/>
              </w:rPr>
              <w:t>64</w:t>
            </w:r>
          </w:p>
        </w:tc>
      </w:tr>
      <w:tr>
        <w:tc>
          <w:tcPr>
            <w:tcW w:type="dxa" w:w="737"/>
            <w:vAlign w:val="center"/>
          </w:tcPr>
          <w:p>
            <w:r/>
            <w:r>
              <w:rPr>
                <w:rFonts w:ascii="Aptos" w:hAnsi="Aptos"/>
                <w:b w:val="0"/>
                <w:sz w:val="16"/>
              </w:rPr>
              <w:t>26</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4D) Finaliser le `gold_source` avec un filtre LLM sur les condit</w:t>
            </w:r>
          </w:p>
        </w:tc>
        <w:tc>
          <w:tcPr>
            <w:tcW w:type="dxa" w:w="2835"/>
            <w:vAlign w:val="center"/>
          </w:tcPr>
          <w:p>
            <w:r/>
            <w:r>
              <w:rPr>
                <w:rFonts w:ascii="Aptos" w:hAnsi="Aptos"/>
                <w:b w:val="0"/>
                <w:sz w:val="16"/>
              </w:rPr>
              <w:t>4D) Finaliser le `gold_source` avec un filtr</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27</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w:t>
            </w:r>
          </w:p>
        </w:tc>
        <w:tc>
          <w:tcPr>
            <w:tcW w:type="dxa" w:w="2835"/>
            <w:vAlign w:val="center"/>
          </w:tcPr>
          <w:p>
            <w:r/>
            <w:r>
              <w:rPr>
                <w:rFonts w:ascii="Aptos" w:hAnsi="Aptos"/>
                <w:b w:val="0"/>
                <w:sz w:val="16"/>
              </w:rPr>
              <w:t>4D) Finaliser le `gold_source` avec un filtr</w:t>
            </w:r>
          </w:p>
        </w:tc>
        <w:tc>
          <w:tcPr>
            <w:tcW w:type="dxa" w:w="737"/>
            <w:vAlign w:val="center"/>
          </w:tcPr>
          <w:p>
            <w:r/>
            <w:r>
              <w:rPr>
                <w:rFonts w:ascii="Aptos" w:hAnsi="Aptos"/>
                <w:b w:val="0"/>
                <w:sz w:val="16"/>
              </w:rPr>
              <w:t>195</w:t>
            </w:r>
          </w:p>
        </w:tc>
      </w:tr>
      <w:tr>
        <w:tc>
          <w:tcPr>
            <w:tcW w:type="dxa" w:w="737"/>
            <w:vAlign w:val="center"/>
          </w:tcPr>
          <w:p>
            <w:r/>
            <w:r>
              <w:rPr>
                <w:rFonts w:ascii="Aptos" w:hAnsi="Aptos"/>
                <w:b w:val="0"/>
                <w:sz w:val="16"/>
              </w:rPr>
              <w:t>28</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5) Génération des notes non structurées à partir du `gold_source`</w:t>
            </w:r>
          </w:p>
        </w:tc>
        <w:tc>
          <w:tcPr>
            <w:tcW w:type="dxa" w:w="2835"/>
            <w:vAlign w:val="center"/>
          </w:tcPr>
          <w:p>
            <w:r/>
            <w:r>
              <w:rPr>
                <w:rFonts w:ascii="Aptos" w:hAnsi="Aptos"/>
                <w:b w:val="0"/>
                <w:sz w:val="16"/>
              </w:rPr>
              <w:t>5) Génération des notes non structurées à pa</w:t>
            </w:r>
          </w:p>
        </w:tc>
        <w:tc>
          <w:tcPr>
            <w:tcW w:type="dxa" w:w="737"/>
            <w:vAlign w:val="center"/>
          </w:tcPr>
          <w:p>
            <w:r/>
            <w:r>
              <w:rPr>
                <w:rFonts w:ascii="Aptos" w:hAnsi="Aptos"/>
                <w:b w:val="0"/>
                <w:sz w:val="16"/>
              </w:rPr>
              <w:t>9</w:t>
            </w:r>
          </w:p>
        </w:tc>
      </w:tr>
      <w:tr>
        <w:tc>
          <w:tcPr>
            <w:tcW w:type="dxa" w:w="737"/>
            <w:vAlign w:val="center"/>
          </w:tcPr>
          <w:p>
            <w:r/>
            <w:r>
              <w:rPr>
                <w:rFonts w:ascii="Aptos" w:hAnsi="Aptos"/>
                <w:b w:val="0"/>
                <w:sz w:val="16"/>
              </w:rPr>
              <w:t>29</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import ast</w:t>
            </w:r>
          </w:p>
        </w:tc>
        <w:tc>
          <w:tcPr>
            <w:tcW w:type="dxa" w:w="2835"/>
            <w:vAlign w:val="center"/>
          </w:tcPr>
          <w:p>
            <w:r/>
            <w:r>
              <w:rPr>
                <w:rFonts w:ascii="Aptos" w:hAnsi="Aptos"/>
                <w:b w:val="0"/>
                <w:sz w:val="16"/>
              </w:rPr>
              <w:t>5) Génération des notes non structurées à pa</w:t>
            </w:r>
          </w:p>
        </w:tc>
        <w:tc>
          <w:tcPr>
            <w:tcW w:type="dxa" w:w="737"/>
            <w:vAlign w:val="center"/>
          </w:tcPr>
          <w:p>
            <w:r/>
            <w:r>
              <w:rPr>
                <w:rFonts w:ascii="Aptos" w:hAnsi="Aptos"/>
                <w:b w:val="0"/>
                <w:sz w:val="16"/>
              </w:rPr>
              <w:t>335</w:t>
            </w:r>
          </w:p>
        </w:tc>
      </w:tr>
      <w:tr>
        <w:tc>
          <w:tcPr>
            <w:tcW w:type="dxa" w:w="737"/>
            <w:vAlign w:val="center"/>
          </w:tcPr>
          <w:p>
            <w:r/>
            <w:r>
              <w:rPr>
                <w:rFonts w:ascii="Aptos" w:hAnsi="Aptos"/>
                <w:b w:val="0"/>
                <w:sz w:val="16"/>
              </w:rPr>
              <w:t>30</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6) Reconstruction structurée depuis `note_text`</w:t>
            </w:r>
          </w:p>
        </w:tc>
        <w:tc>
          <w:tcPr>
            <w:tcW w:type="dxa" w:w="2835"/>
            <w:vAlign w:val="center"/>
          </w:tcPr>
          <w:p>
            <w:r/>
            <w:r>
              <w:rPr>
                <w:rFonts w:ascii="Aptos" w:hAnsi="Aptos"/>
                <w:b w:val="0"/>
                <w:sz w:val="16"/>
              </w:rPr>
              <w:t>6) Reconstruction structurée depuis `note_te</w:t>
            </w:r>
          </w:p>
        </w:tc>
        <w:tc>
          <w:tcPr>
            <w:tcW w:type="dxa" w:w="737"/>
            <w:vAlign w:val="center"/>
          </w:tcPr>
          <w:p>
            <w:r/>
            <w:r>
              <w:rPr>
                <w:rFonts w:ascii="Aptos" w:hAnsi="Aptos"/>
                <w:b w:val="0"/>
                <w:sz w:val="16"/>
              </w:rPr>
              <w:t>6</w:t>
            </w:r>
          </w:p>
        </w:tc>
      </w:tr>
      <w:tr>
        <w:tc>
          <w:tcPr>
            <w:tcW w:type="dxa" w:w="737"/>
            <w:vAlign w:val="center"/>
          </w:tcPr>
          <w:p>
            <w:r/>
            <w:r>
              <w:rPr>
                <w:rFonts w:ascii="Aptos" w:hAnsi="Aptos"/>
                <w:b w:val="0"/>
                <w:sz w:val="16"/>
              </w:rPr>
              <w:t>31</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class Extracted(BaseModel):</w:t>
            </w:r>
          </w:p>
        </w:tc>
        <w:tc>
          <w:tcPr>
            <w:tcW w:type="dxa" w:w="2835"/>
            <w:vAlign w:val="center"/>
          </w:tcPr>
          <w:p>
            <w:r/>
            <w:r>
              <w:rPr>
                <w:rFonts w:ascii="Aptos" w:hAnsi="Aptos"/>
                <w:b w:val="0"/>
                <w:sz w:val="16"/>
              </w:rPr>
              <w:t>6) Reconstruction structurée depuis `note_te</w:t>
            </w:r>
          </w:p>
        </w:tc>
        <w:tc>
          <w:tcPr>
            <w:tcW w:type="dxa" w:w="737"/>
            <w:vAlign w:val="center"/>
          </w:tcPr>
          <w:p>
            <w:r/>
            <w:r>
              <w:rPr>
                <w:rFonts w:ascii="Aptos" w:hAnsi="Aptos"/>
                <w:b w:val="0"/>
                <w:sz w:val="16"/>
              </w:rPr>
              <w:t>351</w:t>
            </w:r>
          </w:p>
        </w:tc>
      </w:tr>
      <w:tr>
        <w:tc>
          <w:tcPr>
            <w:tcW w:type="dxa" w:w="737"/>
            <w:vAlign w:val="center"/>
          </w:tcPr>
          <w:p>
            <w:r/>
            <w:r>
              <w:rPr>
                <w:rFonts w:ascii="Aptos" w:hAnsi="Aptos"/>
                <w:b w:val="0"/>
                <w:sz w:val="16"/>
              </w:rPr>
              <w:t>32</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7) Scoring officiel et scoring secondaire</w:t>
            </w:r>
          </w:p>
        </w:tc>
        <w:tc>
          <w:tcPr>
            <w:tcW w:type="dxa" w:w="2835"/>
            <w:vAlign w:val="center"/>
          </w:tcPr>
          <w:p>
            <w:r/>
            <w:r>
              <w:rPr>
                <w:rFonts w:ascii="Aptos" w:hAnsi="Aptos"/>
                <w:b w:val="0"/>
                <w:sz w:val="16"/>
              </w:rPr>
              <w:t>7) Scoring officiel et scoring secondaire</w:t>
            </w:r>
          </w:p>
        </w:tc>
        <w:tc>
          <w:tcPr>
            <w:tcW w:type="dxa" w:w="737"/>
            <w:vAlign w:val="center"/>
          </w:tcPr>
          <w:p>
            <w:r/>
            <w:r>
              <w:rPr>
                <w:rFonts w:ascii="Aptos" w:hAnsi="Aptos"/>
                <w:b w:val="0"/>
                <w:sz w:val="16"/>
              </w:rPr>
              <w:t>23</w:t>
            </w:r>
          </w:p>
        </w:tc>
      </w:tr>
      <w:tr>
        <w:tc>
          <w:tcPr>
            <w:tcW w:type="dxa" w:w="737"/>
            <w:vAlign w:val="center"/>
          </w:tcPr>
          <w:p>
            <w:r/>
            <w:r>
              <w:rPr>
                <w:rFonts w:ascii="Aptos" w:hAnsi="Aptos"/>
                <w:b w:val="0"/>
                <w:sz w:val="16"/>
              </w:rPr>
              <w:t>33</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Scoring officiel et secondaire</w:t>
            </w:r>
          </w:p>
        </w:tc>
        <w:tc>
          <w:tcPr>
            <w:tcW w:type="dxa" w:w="2835"/>
            <w:vAlign w:val="center"/>
          </w:tcPr>
          <w:p>
            <w:r/>
            <w:r>
              <w:rPr>
                <w:rFonts w:ascii="Aptos" w:hAnsi="Aptos"/>
                <w:b w:val="0"/>
                <w:sz w:val="16"/>
              </w:rPr>
              <w:t>7) Scoring officiel et scoring secondaire</w:t>
            </w:r>
          </w:p>
        </w:tc>
        <w:tc>
          <w:tcPr>
            <w:tcW w:type="dxa" w:w="737"/>
            <w:vAlign w:val="center"/>
          </w:tcPr>
          <w:p>
            <w:r/>
            <w:r>
              <w:rPr>
                <w:rFonts w:ascii="Aptos" w:hAnsi="Aptos"/>
                <w:b w:val="0"/>
                <w:sz w:val="16"/>
              </w:rPr>
              <w:t>492</w:t>
            </w:r>
          </w:p>
        </w:tc>
      </w:tr>
      <w:tr>
        <w:tc>
          <w:tcPr>
            <w:tcW w:type="dxa" w:w="737"/>
            <w:vAlign w:val="center"/>
          </w:tcPr>
          <w:p>
            <w:r/>
            <w:r>
              <w:rPr>
                <w:rFonts w:ascii="Aptos" w:hAnsi="Aptos"/>
                <w:b w:val="0"/>
                <w:sz w:val="16"/>
              </w:rPr>
              <w:t>34</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8) Chaîne de vérification LLM</w:t>
            </w:r>
          </w:p>
        </w:tc>
        <w:tc>
          <w:tcPr>
            <w:tcW w:type="dxa" w:w="2835"/>
            <w:vAlign w:val="center"/>
          </w:tcPr>
          <w:p>
            <w:r/>
            <w:r>
              <w:rPr>
                <w:rFonts w:ascii="Aptos" w:hAnsi="Aptos"/>
                <w:b w:val="0"/>
                <w:sz w:val="16"/>
              </w:rPr>
              <w:t>8) Chaîne de vérification LLM</w:t>
            </w:r>
          </w:p>
        </w:tc>
        <w:tc>
          <w:tcPr>
            <w:tcW w:type="dxa" w:w="737"/>
            <w:vAlign w:val="center"/>
          </w:tcPr>
          <w:p>
            <w:r/>
            <w:r>
              <w:rPr>
                <w:rFonts w:ascii="Aptos" w:hAnsi="Aptos"/>
                <w:b w:val="0"/>
                <w:sz w:val="16"/>
              </w:rPr>
              <w:t>12</w:t>
            </w:r>
          </w:p>
        </w:tc>
      </w:tr>
      <w:tr>
        <w:tc>
          <w:tcPr>
            <w:tcW w:type="dxa" w:w="737"/>
            <w:vAlign w:val="center"/>
          </w:tcPr>
          <w:p>
            <w:r/>
            <w:r>
              <w:rPr>
                <w:rFonts w:ascii="Aptos" w:hAnsi="Aptos"/>
                <w:b w:val="0"/>
                <w:sz w:val="16"/>
              </w:rPr>
              <w:t>35</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8) LLM verification chain (note_clean + recon_clean -&gt; verificatio</w:t>
            </w:r>
          </w:p>
        </w:tc>
        <w:tc>
          <w:tcPr>
            <w:tcW w:type="dxa" w:w="2835"/>
            <w:vAlign w:val="center"/>
          </w:tcPr>
          <w:p>
            <w:r/>
            <w:r>
              <w:rPr>
                <w:rFonts w:ascii="Aptos" w:hAnsi="Aptos"/>
                <w:b w:val="0"/>
                <w:sz w:val="16"/>
              </w:rPr>
              <w:t>8) Chaîne de vérification LLM</w:t>
            </w:r>
          </w:p>
        </w:tc>
        <w:tc>
          <w:tcPr>
            <w:tcW w:type="dxa" w:w="737"/>
            <w:vAlign w:val="center"/>
          </w:tcPr>
          <w:p>
            <w:r/>
            <w:r>
              <w:rPr>
                <w:rFonts w:ascii="Aptos" w:hAnsi="Aptos"/>
                <w:b w:val="0"/>
                <w:sz w:val="16"/>
              </w:rPr>
              <w:t>164</w:t>
            </w:r>
          </w:p>
        </w:tc>
      </w:tr>
      <w:tr>
        <w:tc>
          <w:tcPr>
            <w:tcW w:type="dxa" w:w="737"/>
            <w:vAlign w:val="center"/>
          </w:tcPr>
          <w:p>
            <w:r/>
            <w:r>
              <w:rPr>
                <w:rFonts w:ascii="Aptos" w:hAnsi="Aptos"/>
                <w:b w:val="0"/>
                <w:sz w:val="16"/>
              </w:rPr>
              <w:t>36</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9) Analyse des erreurs, taxonomie et difficulté par `note_style`</w:t>
            </w:r>
          </w:p>
        </w:tc>
        <w:tc>
          <w:tcPr>
            <w:tcW w:type="dxa" w:w="2835"/>
            <w:vAlign w:val="center"/>
          </w:tcPr>
          <w:p>
            <w:r/>
            <w:r>
              <w:rPr>
                <w:rFonts w:ascii="Aptos" w:hAnsi="Aptos"/>
                <w:b w:val="0"/>
                <w:sz w:val="16"/>
              </w:rPr>
              <w:t>9) Analyse des erreurs, taxonomie et difficu</w:t>
            </w:r>
          </w:p>
        </w:tc>
        <w:tc>
          <w:tcPr>
            <w:tcW w:type="dxa" w:w="737"/>
            <w:vAlign w:val="center"/>
          </w:tcPr>
          <w:p>
            <w:r/>
            <w:r>
              <w:rPr>
                <w:rFonts w:ascii="Aptos" w:hAnsi="Aptos"/>
                <w:b w:val="0"/>
                <w:sz w:val="16"/>
              </w:rPr>
              <w:t>88</w:t>
            </w:r>
          </w:p>
        </w:tc>
      </w:tr>
      <w:tr>
        <w:tc>
          <w:tcPr>
            <w:tcW w:type="dxa" w:w="737"/>
            <w:vAlign w:val="center"/>
          </w:tcPr>
          <w:p>
            <w:r/>
            <w:r>
              <w:rPr>
                <w:rFonts w:ascii="Aptos" w:hAnsi="Aptos"/>
                <w:b w:val="0"/>
                <w:sz w:val="16"/>
              </w:rPr>
              <w:t>37</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9) Error taxonomy (interpretation layer on top of the scores)</w:t>
            </w:r>
          </w:p>
        </w:tc>
        <w:tc>
          <w:tcPr>
            <w:tcW w:type="dxa" w:w="2835"/>
            <w:vAlign w:val="center"/>
          </w:tcPr>
          <w:p>
            <w:r/>
            <w:r>
              <w:rPr>
                <w:rFonts w:ascii="Aptos" w:hAnsi="Aptos"/>
                <w:b w:val="0"/>
                <w:sz w:val="16"/>
              </w:rPr>
              <w:t>9) Analyse des erreurs, taxonomie et difficu</w:t>
            </w:r>
          </w:p>
        </w:tc>
        <w:tc>
          <w:tcPr>
            <w:tcW w:type="dxa" w:w="737"/>
            <w:vAlign w:val="center"/>
          </w:tcPr>
          <w:p>
            <w:r/>
            <w:r>
              <w:rPr>
                <w:rFonts w:ascii="Aptos" w:hAnsi="Aptos"/>
                <w:b w:val="0"/>
                <w:sz w:val="16"/>
              </w:rPr>
              <w:t>223</w:t>
            </w:r>
          </w:p>
        </w:tc>
      </w:tr>
      <w:tr>
        <w:tc>
          <w:tcPr>
            <w:tcW w:type="dxa" w:w="737"/>
            <w:vAlign w:val="center"/>
          </w:tcPr>
          <w:p>
            <w:r/>
            <w:r>
              <w:rPr>
                <w:rFonts w:ascii="Aptos" w:hAnsi="Aptos"/>
                <w:b w:val="0"/>
                <w:sz w:val="16"/>
              </w:rPr>
              <w:t>38</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9.1) Score summaries</w:t>
            </w:r>
          </w:p>
        </w:tc>
        <w:tc>
          <w:tcPr>
            <w:tcW w:type="dxa" w:w="2835"/>
            <w:vAlign w:val="center"/>
          </w:tcPr>
          <w:p>
            <w:r/>
            <w:r>
              <w:rPr>
                <w:rFonts w:ascii="Aptos" w:hAnsi="Aptos"/>
                <w:b w:val="0"/>
                <w:sz w:val="16"/>
              </w:rPr>
              <w:t>9.1) Score summaries</w:t>
            </w:r>
          </w:p>
        </w:tc>
        <w:tc>
          <w:tcPr>
            <w:tcW w:type="dxa" w:w="737"/>
            <w:vAlign w:val="center"/>
          </w:tcPr>
          <w:p>
            <w:r/>
            <w:r>
              <w:rPr>
                <w:rFonts w:ascii="Aptos" w:hAnsi="Aptos"/>
                <w:b w:val="0"/>
                <w:sz w:val="16"/>
              </w:rPr>
              <w:t>10</w:t>
            </w:r>
          </w:p>
        </w:tc>
      </w:tr>
      <w:tr>
        <w:tc>
          <w:tcPr>
            <w:tcW w:type="dxa" w:w="737"/>
            <w:vAlign w:val="center"/>
          </w:tcPr>
          <w:p>
            <w:r/>
            <w:r>
              <w:rPr>
                <w:rFonts w:ascii="Aptos" w:hAnsi="Aptos"/>
                <w:b w:val="0"/>
                <w:sz w:val="16"/>
              </w:rPr>
              <w:t>39</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9.1) Score summaries</w:t>
            </w:r>
          </w:p>
        </w:tc>
        <w:tc>
          <w:tcPr>
            <w:tcW w:type="dxa" w:w="2835"/>
            <w:vAlign w:val="center"/>
          </w:tcPr>
          <w:p>
            <w:r/>
            <w:r>
              <w:rPr>
                <w:rFonts w:ascii="Aptos" w:hAnsi="Aptos"/>
                <w:b w:val="0"/>
                <w:sz w:val="16"/>
              </w:rPr>
              <w:t>9.1) Score summaries</w:t>
            </w:r>
          </w:p>
        </w:tc>
        <w:tc>
          <w:tcPr>
            <w:tcW w:type="dxa" w:w="737"/>
            <w:vAlign w:val="center"/>
          </w:tcPr>
          <w:p>
            <w:r/>
            <w:r>
              <w:rPr>
                <w:rFonts w:ascii="Aptos" w:hAnsi="Aptos"/>
                <w:b w:val="0"/>
                <w:sz w:val="16"/>
              </w:rPr>
              <w:t>221</w:t>
            </w:r>
          </w:p>
        </w:tc>
      </w:tr>
      <w:tr>
        <w:tc>
          <w:tcPr>
            <w:tcW w:type="dxa" w:w="737"/>
            <w:vAlign w:val="center"/>
          </w:tcPr>
          <w:p>
            <w:r/>
            <w:r>
              <w:rPr>
                <w:rFonts w:ascii="Aptos" w:hAnsi="Aptos"/>
                <w:b w:val="0"/>
                <w:sz w:val="16"/>
              </w:rPr>
              <w:t>40</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10) Fichiers produits et lecture des sorties</w:t>
            </w:r>
          </w:p>
        </w:tc>
        <w:tc>
          <w:tcPr>
            <w:tcW w:type="dxa" w:w="2835"/>
            <w:vAlign w:val="center"/>
          </w:tcPr>
          <w:p>
            <w:r/>
            <w:r>
              <w:rPr>
                <w:rFonts w:ascii="Aptos" w:hAnsi="Aptos"/>
                <w:b w:val="0"/>
                <w:sz w:val="16"/>
              </w:rPr>
              <w:t>10) Fichiers produits et lecture des sorties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41</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Dataset filtré: `synthea_local_simplified/filtered_conditions_medr</w:t>
            </w:r>
          </w:p>
        </w:tc>
        <w:tc>
          <w:tcPr>
            <w:tcW w:type="dxa" w:w="2835"/>
            <w:vAlign w:val="center"/>
          </w:tcPr>
          <w:p>
            <w:r/>
            <w:r>
              <w:rPr>
                <w:rFonts w:ascii="Aptos" w:hAnsi="Aptos"/>
                <w:b w:val="0"/>
                <w:sz w:val="16"/>
              </w:rPr>
              <w:t>10) Fichiers produits et lecture des sorties</w:t>
            </w:r>
          </w:p>
        </w:tc>
        <w:tc>
          <w:tcPr>
            <w:tcW w:type="dxa" w:w="737"/>
            <w:vAlign w:val="center"/>
          </w:tcPr>
          <w:p>
            <w:r/>
            <w:r>
              <w:rPr>
                <w:rFonts w:ascii="Aptos" w:hAnsi="Aptos"/>
                <w:b w:val="0"/>
                <w:sz w:val="16"/>
              </w:rPr>
              <w:t>5</w:t>
            </w:r>
          </w:p>
        </w:tc>
      </w:tr>
      <w:tr>
        <w:tc>
          <w:tcPr>
            <w:tcW w:type="dxa" w:w="737"/>
            <w:vAlign w:val="center"/>
          </w:tcPr>
          <w:p>
            <w:r/>
            <w:r>
              <w:rPr>
                <w:rFonts w:ascii="Aptos" w:hAnsi="Aptos"/>
                <w:b w:val="0"/>
                <w:sz w:val="16"/>
              </w:rPr>
              <w:t>42</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10.1) Reset final benchmark outputs (optionnel mais recommandé av</w:t>
            </w:r>
          </w:p>
        </w:tc>
        <w:tc>
          <w:tcPr>
            <w:tcW w:type="dxa" w:w="2835"/>
            <w:vAlign w:val="center"/>
          </w:tcPr>
          <w:p>
            <w:r/>
            <w:r>
              <w:rPr>
                <w:rFonts w:ascii="Aptos" w:hAnsi="Aptos"/>
                <w:b w:val="0"/>
                <w:sz w:val="16"/>
              </w:rPr>
              <w:t>10.1) Reset final benchmark outputs (optionn</w:t>
            </w:r>
          </w:p>
        </w:tc>
        <w:tc>
          <w:tcPr>
            <w:tcW w:type="dxa" w:w="737"/>
            <w:vAlign w:val="center"/>
          </w:tcPr>
          <w:p>
            <w:r/>
            <w:r>
              <w:rPr>
                <w:rFonts w:ascii="Aptos" w:hAnsi="Aptos"/>
                <w:b w:val="0"/>
                <w:sz w:val="16"/>
              </w:rPr>
              <w:t>9</w:t>
            </w:r>
          </w:p>
        </w:tc>
      </w:tr>
      <w:tr>
        <w:tc>
          <w:tcPr>
            <w:tcW w:type="dxa" w:w="737"/>
            <w:vAlign w:val="center"/>
          </w:tcPr>
          <w:p>
            <w:r/>
            <w:r>
              <w:rPr>
                <w:rFonts w:ascii="Aptos" w:hAnsi="Aptos"/>
                <w:b w:val="0"/>
                <w:sz w:val="16"/>
              </w:rPr>
              <w:t>43</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Reset final benchmark outputs (safe cleanup of final analytical ar</w:t>
            </w:r>
          </w:p>
        </w:tc>
        <w:tc>
          <w:tcPr>
            <w:tcW w:type="dxa" w:w="2835"/>
            <w:vAlign w:val="center"/>
          </w:tcPr>
          <w:p>
            <w:r/>
            <w:r>
              <w:rPr>
                <w:rFonts w:ascii="Aptos" w:hAnsi="Aptos"/>
                <w:b w:val="0"/>
                <w:sz w:val="16"/>
              </w:rPr>
              <w:t>10.1) Reset final benchmark outputs (optionn</w:t>
            </w:r>
          </w:p>
        </w:tc>
        <w:tc>
          <w:tcPr>
            <w:tcW w:type="dxa" w:w="737"/>
            <w:vAlign w:val="center"/>
          </w:tcPr>
          <w:p>
            <w:r/>
            <w:r>
              <w:rPr>
                <w:rFonts w:ascii="Aptos" w:hAnsi="Aptos"/>
                <w:b w:val="0"/>
                <w:sz w:val="16"/>
              </w:rPr>
              <w:t>36</w:t>
            </w:r>
          </w:p>
        </w:tc>
      </w:tr>
      <w:tr>
        <w:tc>
          <w:tcPr>
            <w:tcW w:type="dxa" w:w="737"/>
            <w:vAlign w:val="center"/>
          </w:tcPr>
          <w:p>
            <w:r/>
            <w:r>
              <w:rPr>
                <w:rFonts w:ascii="Aptos" w:hAnsi="Aptos"/>
                <w:b w:val="0"/>
                <w:sz w:val="16"/>
              </w:rPr>
              <w:t>44</w:t>
            </w:r>
          </w:p>
        </w:tc>
        <w:tc>
          <w:tcPr>
            <w:tcW w:type="dxa" w:w="1020"/>
            <w:vAlign w:val="center"/>
          </w:tcPr>
          <w:p>
            <w:r/>
            <w:r>
              <w:rPr>
                <w:rFonts w:ascii="Aptos" w:hAnsi="Aptos"/>
                <w:b w:val="0"/>
                <w:sz w:val="16"/>
              </w:rPr>
              <w:t>markdown</w:t>
            </w:r>
          </w:p>
        </w:tc>
        <w:tc>
          <w:tcPr>
            <w:tcW w:type="dxa" w:w="3685"/>
            <w:vAlign w:val="center"/>
          </w:tcPr>
          <w:p>
            <w:r/>
            <w:r>
              <w:rPr>
                <w:rFonts w:ascii="Aptos" w:hAnsi="Aptos"/>
                <w:b w:val="0"/>
                <w:sz w:val="16"/>
              </w:rPr>
              <w:t>## 11) Export des datasets depuis le cache</w:t>
            </w:r>
          </w:p>
        </w:tc>
        <w:tc>
          <w:tcPr>
            <w:tcW w:type="dxa" w:w="2835"/>
            <w:vAlign w:val="center"/>
          </w:tcPr>
          <w:p>
            <w:r/>
            <w:r>
              <w:rPr>
                <w:rFonts w:ascii="Aptos" w:hAnsi="Aptos"/>
                <w:b w:val="0"/>
                <w:sz w:val="16"/>
              </w:rPr>
              <w:t>11) Export des datasets depuis le cache</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45</w:t>
            </w:r>
          </w:p>
        </w:tc>
        <w:tc>
          <w:tcPr>
            <w:tcW w:type="dxa" w:w="1020"/>
            <w:vAlign w:val="center"/>
          </w:tcPr>
          <w:p>
            <w:r/>
            <w:r>
              <w:rPr>
                <w:rFonts w:ascii="Aptos" w:hAnsi="Aptos"/>
                <w:b w:val="0"/>
                <w:sz w:val="16"/>
              </w:rPr>
              <w:t>code</w:t>
            </w:r>
          </w:p>
        </w:tc>
        <w:tc>
          <w:tcPr>
            <w:tcW w:type="dxa" w:w="3685"/>
            <w:vAlign w:val="center"/>
          </w:tcPr>
          <w:p>
            <w:r/>
            <w:r>
              <w:rPr>
                <w:rFonts w:ascii="Aptos" w:hAnsi="Aptos"/>
                <w:b w:val="0"/>
                <w:sz w:val="16"/>
              </w:rPr>
              <w:t xml:space="preserve"># Export and inspect full datasets from on-disk cache (no truncated </w:t>
            </w:r>
          </w:p>
        </w:tc>
        <w:tc>
          <w:tcPr>
            <w:tcW w:type="dxa" w:w="2835"/>
            <w:vAlign w:val="center"/>
          </w:tcPr>
          <w:p>
            <w:r/>
            <w:r>
              <w:rPr>
                <w:rFonts w:ascii="Aptos" w:hAnsi="Aptos"/>
                <w:b w:val="0"/>
                <w:sz w:val="16"/>
              </w:rPr>
              <w:t>11) Export des datasets depuis le cache</w:t>
            </w:r>
          </w:p>
        </w:tc>
        <w:tc>
          <w:tcPr>
            <w:tcW w:type="dxa" w:w="737"/>
            <w:vAlign w:val="center"/>
          </w:tcPr>
          <w:p>
            <w:r/>
            <w:r>
              <w:rPr>
                <w:rFonts w:ascii="Aptos" w:hAnsi="Aptos"/>
                <w:b w:val="0"/>
                <w:sz w:val="16"/>
              </w:rPr>
              <w:t>877</w:t>
            </w:r>
          </w:p>
        </w:tc>
      </w:tr>
    </w:tbl>
    <w:p>
      <w:r>
        <w:br w:type="page"/>
      </w:r>
    </w:p>
    <w:p>
      <w:pPr>
        <w:pStyle w:val="Heading1"/>
      </w:pPr>
      <w:r>
        <w:t>Conclusion</w:t>
      </w:r>
    </w:p>
    <w:p>
      <w:r>
        <w:t>Ce notebook est une vraie chaîne de benchmark, pas seulement un brouillon d'exploration. Sa qualité principale est de rendre visibles toutes les étapes importantes du problème : ce qu'on garde de la structure FHIR, comment on la transforme en texte, comment on revient vers le structuré, puis comment on mesure, vérifie et interprète le résultat.</w:t>
      </w:r>
    </w:p>
    <w:p>
      <w:r>
        <w:t>Pour un lecteur débutant, l'idée clé à retenir est la suivante : le notebook ne cherche pas simplement à produire des scores. Il cherche à construire un protocole complet, compréhensible et traçable pour tester la reconstruction d'information médicale à partir de notes cliniques générées.</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7"/>
      </w:rPr>
      <w:t>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8"/>
      </w:rPr>
      <w:t>Documentation du notebook BUPA_benchmark.ipynb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color w:val="585858"/>
      <w:sz w:val="18"/>
    </w:rPr>
  </w:style>
  <w:style w:type="paragraph" w:customStyle="1" w:styleId="Codeish">
    <w:name w:val="Codeish"/>
    <w:pPr>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