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三、研究計畫內容</w:t>
      </w:r>
    </w:p>
    <w:p>
      <w:pPr>
        <w:pStyle w:val="Heading2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（一）研究計畫之背景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 研究問題與整體目標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本計畫擬建立面向先進節點與電光異質整合之寄生感知 AI 類比混合訊號佈局平台，以網表分群、鄰接與雜訊關係建模、自動配置繞線，以及後佈局回饋重規劃為四項核心工作。研究由可取得授權之 4nm FinFET 電路出發，延伸至 2nm GAA／nanosheet 之製程描述與可驗證案例，並建立電子積體電路 EIC 與光子積體電路 PIC 的電光熱共同設計介面。平台之決策依據為製程合法性、完整寄生萃取及電路規格達成情形；AI 用於整理設計意圖、產生候選與管理迭代，數值結果由確定性工具計算。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先進節點的器件量化、連續 active 環境、接點與局部互連，使匹配、漏電、寄生及 pin 可達性相互制約 [1], [27]。同一電路即使保持拓樸與器件尺寸，仍可能因 dummy 接法、邊界環境、via 數量、供電回流與繞線鄰接不同而改變性能。現有流程常於繞線、密度填充及 PEX 完成後才發現問題；若缺乏從原網表至萃取網路、操作相位與波形的對照，就難以有效決定應修改配置、路由或電源結構。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本研究將解決三個相連問題。第一，如何由網表辨識功能群組與設計約束，同時保留跨群組敏感連接。第二，如何把匹配、耦合、IR drop、電遷移與熱串擾轉為具有單位、操作條件及來源的模型，導引合法配置與繞線。第三，如何利用完整後佈局結果定位失效機制，選擇可回復的局部 ECO，使有限模擬預算產生可重現的電氣改善。這些問題共同構成本計畫之研究主體。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2 應用需求與研究範圍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AI 運算系統的成長，使研究需求由單一 ADC 擴展至高速 SerDes、CTLE／Gm-TIA 接收前端、DAC／調變器驅動、PLL／時脈單元、記憶體 PHY、SRAM 周邊及安全雜訊電路 [9], [17]–[26], [44], [45], [47], [48]。上述電路的敏感指標不同，不能用總線長或總寄生電容作為唯一目標。例如 TIA 重視輸入節點負載與雜訊增益，PLL 重視供電推頻及相位雜訊，TRNG 則須保留所需熵來源並抑制外部可操控擾動。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CPO 將光引擎與運算／交換晶片置於鄰近封裝環境，縮短高速電氣通道，也使 EIC–PIC 接面、供電、熱源、光纖出口與對位公差成為共同設計問題 [35]–[43], [49]。CoWoS 為封裝整合技術，COUPE 為電光引擎整合方案，SoIC 為高密度晶片堆疊技術；三者的角色與製程節點分別描述。PIC 的波導及光子器件也不以電子晶片的 2nm 節點名稱定義。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兩年期研究採三層執行範圍。核心層完成 4nm 主 SAR ADC 及至少兩類非 ADC 子電路的實際版圖與完整驗證。延伸層完成具光子 PDK／經校正模型之 PIC 小型案例及 EIC–PIC 共同模擬。前瞻層完成 2nm adapter、跨節點約束與模型差異表；取得 2nm PDK 與相應工具權限時，另完成一個 2nm 子電路實作。三層均有可查核輸出，缺乏特定製程或封裝資料時，明列模型條件，不以較成熟節點結果宣稱完成 2nm 或 COUPE 簽核。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研究層級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主要案例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兩年期交付與條件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4nm 核心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SAR ADC；接收前端；時脈單元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具授權 PDK 之 DRC／LVS、完整 PEX 與後模擬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跨電路泛化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比較器、Gm-TIA／CTLE、ring oscillator／clock buffer；TRNG 為候選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至少兩類非 ADC 子電路；各自固定原理圖及負載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PIC 與電光整合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MZI／microring 小型網路；TIA／driver 介面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合法光子版圖、路由損耗及電光熱共同模擬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2nm 前瞻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GAA adapter；PLL／sense amplifier／latch 類單元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必交 adapter 與移植評估；實體版圖依 PDK 授權啟動</w:t>
            </w:r>
          </w:p>
        </w:tc>
      </w:tr>
    </w:tbl>
    <w:p>
      <w:pPr>
        <w:spacing w:after="40" w:before="0" w:line="40" w:lineRule="exact"/>
      </w:pP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3 文獻選取與證據界線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本版引用62篇不同研究，其中54篇屬2023–2026年，含53篇正式期刊／會議論文與1篇既有預印本；其餘8篇為基礎文獻。本次新增[51]–[62]共12篇，均為2025–2026年正式發表研究。原來源包之10篇PDF維持[1]–[10]。同一研究的會議／期刊與預印本版本只計一篇，年份採正式卷期／會議年度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近期文獻依節點、研究層級與可移植範圍分別標示。對只取得公開摘要的工作，僅引用可支持的問題與方法，不推定設計規則或量化效益。新增文獻以出版者、正式會議、作者版本及Crossref書目核對至2026年10月21日；既有[1]–[50]保留v7查證紀錄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 國內外研究與文獻評述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4.1 4nm 與 2nm 製程及局部佈局環境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Yasuda-Masuoka 等人的 Samsung 4LPE 研究說明，接點、MOL 與低層金屬的 DTCO 會影響電阻與電容取捨 [1]。其標準單元平台成果支持將局部互連納入研究，但不代表類比電路可直接獲得同幅度改善。Goyal 等人則針對 5nm 類比混合訊號設計，討論連續 active 佈局下 dummy 漏電、ring oscillator 寄生及取樣開關的閘極誘發汲極漏電 [27]。這使 dummy 從幾何補邊元件，轉為需同時檢查接法、偏壓、漏電與寄生的研究變因。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Yeap 等人提出之 TSMC N2 平台，涵蓋 nanosheet 元件、MOL／BEOL、SRAM 與 3DIC 協同設計 [23]。Chang 等人之 2nm SRAM，則提供長位元線、預充電、寫入輔助及感測周邊相互作用的電路背景 [24]。本研究據此將器件量化、端點可達性、局部供電與跨群組時序納入 adapter，而不把 4nm 的 fin、finger 或幾何倍率直接映射為 2nm 器件。</w:t>
      </w:r>
    </w:p>
    <w:p>
      <w:pPr/>
      <w:r>
        <w:rPr>
          <w:rFonts w:ascii="Liberation Serif" w:hAnsi="Liberation Serif" w:eastAsia="Noto Serif CJK TC"/>
          <w:color w:val="000000"/>
        </w:rPr>
        <w:t>Trivedi等人於ISSCC 2026展示2nm nanosheet單電源SRAM，採雙位元線與logic-bitcell結構，為低電壓感測與位元線負載提供實作背景[60]。本案將其轉為感測周邊之端點、供電與寄生需求，不把記憶體操作電壓直接當作類比器件額定值，亦不增加完整SRAM重製工作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Xie 等人比較 2nm 以下 nanosheet 的背面供電方案，指出接點結構、對位及 via 電阻之差異 [25]。Hafez 等人的 PowerVia 工作則於 Intel 4 平台展示背面供電技術 [26]；Intel 4 為製程名稱，本文不將其寫成其他廠商的 4nm。兩者支持前後面供電與訊號路由資源共同規劃，但背面供電是否可用須依目標平台確認，不能把所有 2nm 製程視為同一結構。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Li 等人以假設性 3nm CFET SRAM 進行 MEOL 圖形化研究，說明局部走線方向、接點包覆與圖形化裕度間的制約 [3]。本案保留其前瞻性作為規則描述擴充方向；實際 4nm／2nm 搜尋只使用目標 PDK 允許之幾何，不從文中推定可使用任意 45 度走線或 CFET 堆疊器件。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4.2 超越 SAR ADC 的高速電路與時脈需求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Dickson 等人的 4nm DAC-based transmitter，將高速資料轉換、分段驅動與輸出頻寬結合 [9]。Chen 等人於 4nm 提出 212.5Gb/s PAM4 收發器，面向大型 AI 系統互連 [17]；Park 等人的 4nm 接收器採 LC-resonator CTLE [18]，Kwon 等人則以互感耦合 Gm-TIA 建立 212.5Gb/s 接收前端 [19]。這些工作顯示，配置需兼顧輸入／輸出負載、回流、時脈與高頻耦合，單純最短路由可能無法保持差動頻率響應。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Jung 等人的 4nm ring-oscillator PLL，使振盪節點、取樣鑑相器與偏壓網路成為可獨立研究的單元 [20]。Jin 等人的 4nm 單端 PAM4 並列收發器，則補足同步切換與通道間擾動的需求 [21]。Gu 等人的 3nm chiplet I/O 使用 2.5D CoWoS 與每通道監測，支持將 die-to-die 通道與晶粒邊界端點納入實體設計 [22]。本案將以其中的局部單元及介面負載作研究案例，完整 SerDes／PLL／記憶體 PHY 的系統重製不列為兩年期必要成果。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Datta 等人以 2nm MBCFET 實作 PCIe Gen6 reference PLL，公開摘要同時討論薄氧器件耐壓、溫漂及快速鎖定，並明確涉及進階佈局技巧 [45]。Choi 等人的 2nm LPDDR6 PHY 則以 quarter-rate clocking 與 FIFO-based speculative DFE 處理時序需求 [44]。二者提供 2nm 的實際電路證據，也說明電子介面的可用時序與可靠度需共同規劃；本案的可驗證移植對象將限縮為其中的敏感子單元。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4.3 SAR ADC 與取樣介面的既有研究銜接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Chiang 等人於 28nm 研究 Finger-Cap 陣列之寄生匹配，結合部分交錯共同質心與路由最佳化 [2]。其價值在於同時處理電容比例與寄生；本案延伸至陣列端點、比較器及參考網路。Yonar 等人的 4nm、56GS/s ADC，指出 CDAC 配線對速度的限制 [4]。Nani 等人之 5nm 交錯 ADC、Park 等人之 timing-skew 校正，以及 Liu 等人之 4nm 時間域 ADC，分別補充比較器負載、通道時序與延遲變異議題 [5]–[7]。</w:t>
      </w:r>
    </w:p>
    <w:p>
      <w:pPr/>
      <w:r>
        <w:rPr>
          <w:rFonts w:ascii="Liberation Serif" w:hAnsi="Liberation Serif" w:eastAsia="Noto Serif CJK TC"/>
          <w:color w:val="000000"/>
        </w:rPr>
        <w:t>Hsieh等人於ISSCC 2025提出4nm、12b／16GS/s階層時間交錯ADC，將自校正、穩壓及參考緩衝納入實作[59]。這使本案除CDAC與比較器外，亦須保存取樣時脈、參考及供電之模型邊界。文中高速ADC為需求背景，本案12-bit、100MS/s主基準仍以獨立可行性及固定負載驗證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Lee 等人於 3nm GAA 提出耐高電壓 bootstrap 取樣器，顯示低額定電壓器件與較大輸入範圍需要逐相位端點保護 [8]。本案不由單一節點對地電壓判定可靠度，而追蹤 VGS、VGD、VDS、接面偏壓及超限持續時間。StrongARM 的再生與踢回機制則以基礎文獻 [16] 說明，與先進節點的實際寄生模型共同驗證。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ADC 將保留為完整系統基準，使配置與繞線改善能由 SNDR、SFDR、INL／DNL 及缺碼檢查判定。新增的 TIA、時脈與雜訊電路則檢驗方法是否能跨電路泛化，避免平台只學會單一 SAR ADC 的幾何規則。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4.4 網表分群與約束學習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ALIGN 與 MAGICAL 建立由網表、器件產生器、階層與設計約束組合版圖的基本流程 [11], [12]。Xu 等人的圖注意力方法辨識類比對稱約束 [29]；Chen 與 Gielen 的 Net-First GNN 及選擇性拓樸搜尋，進一步處理階層 AMS 的分群、阻抗匹配及配置／繞線約束學習與轉移 [50]。後者直接支持本案第一、二階段由網表生成候選關係的研究設計。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這些方法仍須處理一項實體設計界線：網表可確認電氣連接、端點角色及部分功能關係，卻無法在尚未配置繞線時給出真實物理距離、耦合電容或溫度。因此，本案將連通、匹配意圖、期望鄰近、雜訊隔離與實際物理鄰接分別保存。模型提出的關係含來源與不確定性；無法由拓樸確認的功能標註由設計者核對，後續再以路由與模擬更新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4.5 AI 生成與自動配置繞線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Gao 等人的互動式佈局編輯將配置合法化與繞線調整結合，並以 OTA、LDO 等後佈局結果評估修改 [28]。Chen 等人的強化學習詳細繞線則處理 custom circuit 之路徑匹配及工業規則 [30]。兩者支持本案把局部修改與實際路由可行性共同考慮，並比較規則式、受約束搜尋與學習方法。</w:t>
      </w:r>
    </w:p>
    <w:p>
      <w:pPr/>
      <w:r>
        <w:rPr>
          <w:rFonts w:ascii="Liberation Serif" w:hAnsi="Liberation Serif" w:eastAsia="Noto Serif CJK TC"/>
          <w:color w:val="000000"/>
        </w:rPr>
        <w:t>GRAIN以階層設計意圖與導引式路由完成65nm至40／28nm的類比移植[55]，提供約束中介表示與連通重建方法。本案將意圖保留、合法器件重建、模型重校正及LVS分別驗收；2nm分支依實際PDK規則實作，成熟節點的移植成功率不作先進節點保證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Jeong 等人的自監督基礎模型，將接點、via、dummy fingers、N-well 及金屬路由列為下游生成任務 [31]。這些圖樣生成能力提供小資料學習方向，但 DRC／LVS 正確仍不足以證明類比性能合格。本案生成器先輸出目標 PDK 的合法模板參數與工具動作；產生之候選必須再經萃取及電路模擬，不以影像相似度或 token 正確率取代電氣驗證。</w:t>
      </w:r>
    </w:p>
    <w:p>
      <w:pPr/>
      <w:r>
        <w:rPr>
          <w:rFonts w:ascii="Liberation Serif" w:hAnsi="Liberation Serif" w:eastAsia="Noto Serif CJK TC"/>
          <w:color w:val="000000"/>
        </w:rPr>
        <w:t>模型導引配置及路由納入[52]–[54]的可重製子集，依資料與授權條件選一類實作，與B1、B2採相同完整驗證預算。原文資料不可取得時，記錄重製範圍；以相同特徵的本地實作比較，避免將他人表列最佳值混入本案配對統計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LayoutCopilot 以 LLM 多代理將設計意圖轉為佈局指令 [14]，本版改引用 2025 TCAD 正式期刊版。AnalogAgent 以執行回饋與自我演進記憶支援類比電路設計 [15]，目前引用版本為 2026 預印本，亦非 4nm 自動佈局實證。平台之多代理研究將比較相同模型與工具預算下的失敗恢復、人工介入及重跑一致性，代理數量本身不作新穎性證據。</w:t>
      </w:r>
    </w:p>
    <w:p>
      <w:pPr/>
      <w:r>
        <w:rPr>
          <w:rFonts w:ascii="Liberation Serif" w:hAnsi="Liberation Serif" w:eastAsia="Noto Serif CJK TC"/>
          <w:color w:val="000000"/>
        </w:rPr>
        <w:t>近期性能驅動方法已形成直接比較對象。OSIRIS於130nm建立版圖生成、DRC／LVS、寄生及性能回饋資料管線[51]；PAPlace以40nm OTA驗證可微分性能配置[52]；PARoute2與DaVinci分別以性能導向路由指引及網表／版圖多模態特徵連結繞線與電氣目標[54], [53]。本研究據此比較幾何、單一寄生特徵與性能模型導引，並量測本地4nm資料的校正及完整驗證成本。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4.6 PEX 與後佈局模型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ParaGraph 以圖神經網路預測寄生及器件參數 [13]，提供幾何之前的快速估測方向。Woonggyu Lee 等人則利用 4nm LVS rule deck 保留必要器件及全區互連寄生，再執行正常 PEX，以降低後佈局模擬成本 [10]。本案承接這兩種層級：預測模型負責排序，選擇性萃取負責經校正之篩選，完整 PEX 負責標籤與最終驗收。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選擇性移除 MOS 並不會由配線 RC 自動補回其非線性端點電容、動態負載或噪聲；對 ADC、TIA、PLL 與 TRNG，必要器件集合也不相同。因此，本研究將 SE 的保留條件與誤差門檻視為待驗證問題，超出校正範圍即回到完整模式。高頻磁耦合與封裝效應另接電磁／S 參數模型，不宣稱標準 RC PEX 已包含所有 EMI、電感或輻射效應。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4.7 IR drop 電遷移與熱感知設計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CircuitNet 2.0 提供 14nm FinFET 設計流程中的可繞性、時序與供電資料 [32]，可供特徵與資料切分方法參考，不能直接作為 4nm 類比標籤。PGAU 以 Attention U-Net 與標籤分布平滑處理靜態 IR drop 預測 [33]；其任務範圍也說明靜態電壓降與切換瞬間 droop 應分別建模。ATPlace2.5D 將熱模型納入 chiplet 解析式配置，則支持熱源、距離與互連共同最佳化 [34]。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本案分別量測直流供電電壓降、操作相位的動態 droop、電流密度與電遷移限制、導體間電磁耦合，以及穩態／暫態溫升。EM 在供電可靠度情境指 electromigration；電磁場求解則使用 electromagnetic 字義，與 EMI 分開標示。溫度模型將回寫器件及互連的可用溫度依存參數，避免只用單一熱點溫度解釋全部性能變化。</w:t>
      </w:r>
    </w:p>
    <w:p>
      <w:pPr/>
      <w:r>
        <w:rPr>
          <w:rFonts w:ascii="Liberation Serif" w:hAnsi="Liberation Serif" w:eastAsia="Noto Serif CJK TC"/>
          <w:color w:val="000000"/>
        </w:rPr>
        <w:t>Fu等人以雙路徑時空注意力區分幾何與切換活動[57]；Lee等人針對3nm數位設計的ECO，以周圍cell特徵及XGBoost預測動態電壓降[58]。本案將靜態IR與相位相關droop分開學習，並測量ECO後的預測誤差與漏報。數位資料只作方法基準，類比結果仍依本地器件電流與完整PDN求解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4.8 TSMC COUPE CoWoS 與電光整合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Lu 等人的 2024 COUPE 論文，研究以 SoIC bond 結合 EIC 與 PIC，並分析驅動端、TIA 及系統互連的效益 [35]。Chen 等人於 2025 進一步報告 COUPE 晶圓級光電表徵，涉及光學路徑、耦合器損耗及波長分布 [36]。本案據此將 EIC–PIC 接面電容與電阻、光子負載及光學公差納入介面，並區分系統估算與實際量測條件。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Yeh 等人的 TSMC SiPh 平台論文，描述光子器件與製程能力 [37]；Hsia 等人的 EPIC-BOE 將寬頻光引擎連結至 CoWoS 系統 [38]。Lo 等人的 2025 BOE 工作，則結合 COUPE、光互連及光纖陣列，報告晶圓級製程與量測／模型對照 [49]。這些研究使本案的配置範圍必須包含光纖出口、可接合區域與光學公差，而不只處理 EIC 平面金屬。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TSMC 於 2026 年 4 月官方公告 COUPE on substrate 的 CPO 方案預計於 2026 年開始生產 [O1]；本文將其視為當時公告之時程，不推定所有 COUPE／CoWoS 組合均已量產。Cadence 亦於 2025 年公告與 Samsung 完成 analog cell-based 4nm IP 向 2nm 自動移植 [O2]，提供產業需求背景；官方公告與62篇學術文獻分列，不混入篇數。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4.9 PIC 自動配置繞線與共同模擬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Zhou 等人的 LiDAR 詳細繞線處理曲線波導、彎曲、端口方向及交叉 [39]；Apollo 進一步在配置階段納入路由需求 [40]。這些方法顯示 PIC 需要以插入損耗、彎曲與交叉為實際目標，不能直接沿用電子 Manhattan 路由與最短線長假設。Hwang 等人於 2026 提出 Samsung 300mm SiPh 平台與 PDK 背景 [43]，亦支持以可替換光子製程介面研究跨平台適用性。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Gao 等人的 SPIPE 提供可微分 SPICE 級電光共同模擬，將電子與光子模型連結 [46]。本案將其作為共同模擬介面與敏感度分析之參考；實作時確認器件模型、時間步長、相位、頻率響應及數值穩定性，再接入實際萃取網路。Yang 等人的 2026 CPO 熱管理綜述，進一步區分 PIC 內部、EIC 至 PIC 及 ASIC 至光引擎之熱串擾 [41]；Tan 等人的 CPO 綜述則提供整體架構與跨領域問題背景 [42]。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LiDAR 3.0已將光子波導與主動式PIC金屬繞線接入共同流程，處理pad分配、波導避讓、track assignment及via成本[56]。本案進一步連結電子端PEX、動態供電及光子溫漂，檢驗共同約束在小型EIC–PIC案例中的性能與成本。研究問題因此聚焦於跨域模型閉合與可信驗證，而非僅將兩種路由工具串接。</w:t>
      </w:r>
    </w:p>
    <w:p>
      <w:pPr/>
      <w:r>
        <w:rPr>
          <w:rFonts w:ascii="Liberation Serif" w:hAnsi="Liberation Serif" w:eastAsia="Noto Serif CJK TC"/>
          <w:color w:val="000000"/>
        </w:rPr>
        <w:t>Saiham與Rahman將工作負載造成的電子熱分布連結至光子傳輸及配置選擇[61]；Biswas等人研究稀疏感測、層密度與材料幾何的多層溫度估測[62]。本案將固定功率、工作負載分布與瞬時切換條件分列，並明確區分實測校正與模型敏感度情境，以免將有限邊界下的最優位置誤作通用封裝結論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4.10 TRNG 與雜訊目標的電路相依性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Lee 等人的 4nm latch-based TRNG，以器件與寄生失配抵消及多熵源組合處理隨機性 [48]；Youn 等人的 2nm 亞穩態 TRNG，結合可調失調比較器與環境擾動容忍設計 [47]。二者提供超越資料轉換器的直接案例：部分電路需要放大內在噪聲，並避免外部供電／時脈擾動主導結果。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因此，本案不以「所有雜訊越低越好」作通用目標。ADC 與 TIA 的訊號品質、PLL 的相位誤差，以及 TRNG 的熵與偏置，各使用不同量測腳本。TRNG 若納入驗證，將比較 intrinsic noise、系統性失調及外部注入的貢獻，並記錄後處理條件；小樣本隨機性測試不能替代完整安全認證。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5 先期基礎與本計畫原創性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既有v6與來源包記載比較器網表分群、抽象LEF／APR／GDS交換示範及TKU網表分析至下線審查的銜接規劃[S1]–[S3]。原始模型與TN16／TSMC16FFC流程尚待核對，不能視為4nm簽核成果。現有GitHub資料保存AI生成netlist、正確／刻意含錯審查表與研究分類，適合做輸入檢查及來源追蹤；性能證據仍須由原始工具日誌重建。</w:t>
      </w:r>
      <w:r>
        <w:rPr>
          <w:rFonts w:ascii="Liberation Serif" w:hAnsi="Liberation Serif" w:eastAsia="Noto Serif CJK TC"/>
          <w:color w:val="000000"/>
          <w:highlight w:val="yellow"/>
        </w:rPr>
        <w:t>【M03 請補前期計畫編號、本人貢獻、原始版圖及DRC／LVS／PEX／模擬日誌，或調整為研究準備工作】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本計畫的原創性界定為先進節點與電光熱約束下的可驗證共同表示。相對既有性能驅動配置／繞線與閉迴路資料流程[51]–[58]，本案研究4nm合法dummy／fill／局部互連對動態電氣性能的影響、快速模型的false pass邊界，以及PEX、供電、場與光熱模型的去重銜接；2nm移植以獨立PDK／模型驗收。四階段保留跨群組敏感端點、可執行ECO與回復證據，效益以跨電路保留測試和相同工具預算下的消融確認。</w:t>
      </w:r>
    </w:p>
    <w:p>
      <w:pPr>
        <w:pStyle w:val="Heading2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（二）研究方法、進行步驟及執行進度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 四階段流程與資料介面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研究流程由原始 netlist 進入分群與約束，再形成鄰接／雜訊關係，經合法配置與電子／光子繞線，最後以完整驗證結果修正下一輪。每一候選均保留不可變版本 ID、PDK／model／deck hash、工具版本、規格、隨機種子及量測腳本。失敗、逾時、缺模型及未完成情形均保留，不將缺失結果當作零誤差。</w:t>
      </w:r>
    </w:p>
    <w:p>
      <w:pPr>
        <w:keepNext/>
        <w:jc w:val="center"/>
      </w:pPr>
      <w:r>
        <w:rPr>
          <w:rFonts w:ascii="Liberation Serif" w:hAnsi="Liberation Serif" w:eastAsia="Noto Serif CJK TC"/>
          <w:color w:val="000000"/>
        </w:rPr>
        <w:drawing>
          <wp:inline xmlns:a="http://schemas.openxmlformats.org/drawingml/2006/main" xmlns:pic="http://schemas.openxmlformats.org/drawingml/2006/picture">
            <wp:extent cx="5903999" cy="2454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 w:line="240" w:lineRule="auto"/>
        <w:ind w:firstLine="0"/>
        <w:jc w:val="center"/>
      </w:pPr>
      <w:r>
        <w:rPr>
          <w:rFonts w:ascii="Liberation Serif" w:hAnsi="Liberation Serif" w:eastAsia="Noto Serif CJK TC"/>
          <w:b w:val="0"/>
          <w:color w:val="000000"/>
          <w:sz w:val="24"/>
        </w:rPr>
        <w:t>圖1　網表分群至後模擬回饋之四階段流程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1191"/>
        <w:gridCol w:w="2721"/>
        <w:gridCol w:w="2835"/>
        <w:gridCol w:w="2891"/>
      </w:tblGrid>
      <w:tr>
        <w:trPr>
          <w:cantSplit/>
          <w:tblHeader/>
        </w:trPr>
        <w:tc>
          <w:tcPr>
            <w:tcW w:type="dxa" w:w="119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階段</w:t>
            </w:r>
          </w:p>
        </w:tc>
        <w:tc>
          <w:tcPr>
            <w:tcW w:type="dxa" w:w="272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主要輸入</w:t>
            </w:r>
          </w:p>
        </w:tc>
        <w:tc>
          <w:tcPr>
            <w:tcW w:type="dxa" w:w="2835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主要輸出</w:t>
            </w:r>
          </w:p>
        </w:tc>
        <w:tc>
          <w:tcPr>
            <w:tcW w:type="dxa" w:w="289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可執行驗證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1 網表 AI 分群</w:t>
            </w:r>
          </w:p>
        </w:tc>
        <w:tc>
          <w:tcPr>
            <w:tcW w:type="dxa" w:w="272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SPICE／階層／端點／操作相位</w:t>
            </w:r>
          </w:p>
        </w:tc>
        <w:tc>
          <w:tcPr>
            <w:tcW w:type="dxa" w:w="2835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groups、port map、匹配與電壓域約束</w:t>
            </w:r>
          </w:p>
        </w:tc>
        <w:tc>
          <w:tcPr>
            <w:tcW w:type="dxa" w:w="28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連通與跨群組網路對照；標註比較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2 鄰接與雜訊關係</w:t>
            </w:r>
          </w:p>
        </w:tc>
        <w:tc>
          <w:tcPr>
            <w:tcW w:type="dxa" w:w="272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圖、敏感度、粗路由、供電及熱邊界</w:t>
            </w:r>
          </w:p>
        </w:tc>
        <w:tc>
          <w:tcPr>
            <w:tcW w:type="dxa" w:w="2835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多種關係矩陣、隔離與路由預算</w:t>
            </w:r>
          </w:p>
        </w:tc>
        <w:tc>
          <w:tcPr>
            <w:tcW w:type="dxa" w:w="28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單位／來源檢查；與 PEX／注入結果校正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3 配置與繞線</w:t>
            </w:r>
          </w:p>
        </w:tc>
        <w:tc>
          <w:tcPr>
            <w:tcW w:type="dxa" w:w="272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合法模板、矩陣與電路規格</w:t>
            </w:r>
          </w:p>
        </w:tc>
        <w:tc>
          <w:tcPr>
            <w:tcW w:type="dxa" w:w="2835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座標、variant、電子路由、光子波導</w:t>
            </w:r>
          </w:p>
        </w:tc>
        <w:tc>
          <w:tcPr>
            <w:tcW w:type="dxa" w:w="28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DRC／LVS、pin 可達性與光子規則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4 後模擬重規劃</w:t>
            </w:r>
          </w:p>
        </w:tc>
        <w:tc>
          <w:tcPr>
            <w:tcW w:type="dxa" w:w="272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全元件 PEX、場／熱／光子模型</w:t>
            </w:r>
          </w:p>
        </w:tc>
        <w:tc>
          <w:tcPr>
            <w:tcW w:type="dxa" w:w="2835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失效分類、ECO、接受或回復紀錄</w:t>
            </w:r>
          </w:p>
        </w:tc>
        <w:tc>
          <w:tcPr>
            <w:tcW w:type="dxa" w:w="289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完整 post-sim；候選配對與統計</w:t>
            </w:r>
          </w:p>
        </w:tc>
      </w:tr>
    </w:tbl>
    <w:p>
      <w:pPr>
        <w:spacing w:after="40" w:before="0" w:line="40" w:lineRule="exact"/>
      </w:pP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2 第一階段 網表解析與 AI 佈局分群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建立器件、net、pin 與階層的異質圖。器件節點保存模型家族、端點角色、尺寸量化、multiplicity、額定電壓及可用操作條件；net 節點保存訊號型別、負載、切換相位、時脈及供應屬性。電源與地另建 PDN 表示，避免所有共用 VDD 的器件被錯誤合併成同一功能群組。器件 multiplicity 與實體 finger 的對應依 PDK／LVS 定義解讀。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以拓樸規則與設計者標註形成可追溯基準，候選群組包括差動輸入對、電流鏡、偏壓、再生 latch、取樣開關、CDAC、TIA 回授、CTLE、振盪器、時脈緩衝、driver、sense amplifier 與 TRNG 熵源。再比較圖注意力與 Net-First GNN／選擇性搜尋 [29], [50]。GNN 未見之器件或拓樸不強制分類，改輸出未知及所需核對項目。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分群結果採階層與可重疊語意，不假設一個器件只能屬於一個設計意圖。例如 TIA 的差動匹配與回授迴路，可共享器件但具有不同路由限制。對每個群組輸出 members、external ports、sensitive nets、must-link、cannot-link、電壓域與來源。拆分前後重建 net-to-pin 對照，確認回授、偏壓、跨域與供應連接均未遺失。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分群評估分為三項：功能標註與專家標籤的一致性；硬性匹配／隔離約束的遺漏與誤判；所產生群組進入物理設計後的可行率。F1 僅評估標註品質，不直接代表電氣性能。測試集依拓樸族群、原始設計與節點切分，同源網表、改名版本及近似位移不得跨訓練與保留測試。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3 第二階段 路由鄰接矩陣與雜訊建模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網表首先生成電氣連通與候選匹配關係；尚未配置的物理鄰接、RC 與溫度均為未知或預測，不填入虛構量測值。配置後利用座標、pin、金屬層與粗路由更新預測；詳細路由及萃取後，則以實際 coupling pair、分布網路與場／熱結果取代預測。每一關係附上來源、單位、頻率／相位與精度層級。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關係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定義與單位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來源與用途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Aconn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器件／net／pin 之連通，布林值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原網表；驗證群組邊界與回授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Mmatch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對稱、比值、阻抗或路徑匹配意圖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規則、設計標註與學習候選；硬／軟約束分列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Anear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期望鄰近與實際鄰接，含距離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前者為建議；後者由座標／路由計算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Nnoise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aggressor 至 victim 的有向響應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注入／AC／暫態；依頻率與操作相位保存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RC／Z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R、對地／互耦 C；高頻阻抗或 S 參數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PEX 與場求解；Ω、F 及明列頻率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Kth／Zth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溫度對功率的穩態／暫態響應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熱求解或經校正模型；K/W 與時間</w:t>
            </w:r>
          </w:p>
        </w:tc>
      </w:tr>
    </w:tbl>
    <w:p>
      <w:pPr>
        <w:spacing w:after="40" w:before="0" w:line="40" w:lineRule="exact"/>
      </w:pP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對敏感電氣網路以受控注入辨識 Nnoise(i←j,f,φ)，φ 表示操作相位。有向關係可區分時脈對比較器輸入、driver 對 TIA、heater 對 ring，以及供電支路對振盪器的影響。耦合電容與 aggressor 的 dV/dt 可提供初步風險排序；最終雜訊、安定時間及相位誤差由含器件非線性與真實源阻抗的模擬決定。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路由預算由凍結規格反推，包括差動 RC 差、可用安定時間、skew、最大輸入節點電容、阻抗／群延遲與供電擾動。頻率相關或操作相位相關的矩陣不強制對稱；光路連接與電路耦合亦不共用未定義的權重。若需合成配置成本，先以校正集決定尺度，再保存各原始物理量供取捨分析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熱關係以可校正之熱阻／暫態網路建立，明列功耗分布、材料、散熱邊界與接觸熱阻。PIC heater、EIC driver／TIA 與鄰近高功率 ASIC 分別作熱源，參照 [41] 的問題分類。若僅有估計材料參數，結果標為敏感度情境；不宣稱其代表特定 CoWoS／COUPE 封裝之已驗證溫度。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4 第三階段 AI 建議與合法自動配置繞線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第一年以受約束 simulated annealing 建立可重現配置基準，並以 ILP／SMT 或等價求解處理有限匹配、朝向及端點分配。第二年比較模型建議排序、主動選樣與生成式候選。LLM 只提出已定義之模板參數、相對位置與工具動作，所有輸出先經 ID、單位、電壓域及約束 schema 檢查，再交由合法化與路由工具執行。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配置分成 L0 與 L1。L0 固定巨集／單元內部，只搜尋座標、朝向、供應端與外部 pin。L1 再選擇已通過基本 DRC／LVS 的合法 variant，允許成對調整 dummy、pin 出口、via 與局部路由。若修改拓樸、器件尺寸或電容值，另建原理圖基準，不與純佈局改善混合統計。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電子繞線優先維持連通、合法層別／方向、端點包覆與 pin 可達性，再比較差動匹配、路徑阻抗、時脈隔離與供電回流。學習式路由以 [30] 為方法參考，與規則式詳細路由在相同候選及工具預算下比較。跨工具介面先以最小案例核對 GDS／OASIS 單位、layer map、via、LEF boundary／obstruction 及實體 pin，再擴大至完整電路。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PIC 採獨立的器件與波導合法化。配置與路由保存端口位置／方向、波導型別、最小彎曲半徑、交叉、長度／相位預算及 keep-out。參照 LiDAR 與 Apollo [39], [40]，比較先配置後路由與路由感知配置，避免產生幾何相近但不可連接或損耗過高的候選。光子網表另保存 optical port；與 EIC 的電氣控制端相連時保持 domain 標記。</w:t>
      </w:r>
    </w:p>
    <w:p>
      <w:pPr/>
      <w:r>
        <w:rPr>
          <w:rFonts w:ascii="Liberation Serif" w:hAnsi="Liberation Serif" w:eastAsia="Noto Serif CJK TC"/>
          <w:color w:val="000000"/>
        </w:rPr>
        <w:t>依LiDAR 3.0[56]，在相同PIC器件與I/O下，對照先波導後金屬與具波導感知的金屬路由，記錄共線長度、跨越、via、電氣連通及光學損耗。金屬靠近heater／ring的限制分成PDK硬規則及研究隔離距離；後者由光熱模型校正，避免把幾何間距直接當作溫漂真值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5 Dummy 密度填充與局部環境實驗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將 dummy transistor、被動陣列邊緣 dummy、金屬密度 fill 與 decap 分為不同物件。Dummy 器件的端點接法、偏壓及漏電依 PDK 核准模板；金屬 fill 依密度與製程規則插入；MOS decap 則保留其器件模型與供電連接。三者不能由同一幾何填空規則取代。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局部變因包括 matched devices 的同向／交錯排列、邊界距離、相鄰 dummy、接點／via 數量、pin 出口及屏蔽回流。共同質心、guard ring、深井與任意朝向均先確認 PDK 可用性，再納入候選。若缺乏 LDE 或失配模型，僅報告可計算的幾何與 RC，不將未建模效應寫成已驗證的匹配改善。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每一候選先通過電氣連通與合法性檢查，再比較 fill 前、後 PEX，以區分密度處理對耦合、安定與雜訊的影響。最終驗收版圖必須包含完成之 fill、實際屏蔽接地阻抗與供應回流。屏蔽可能增加負載，增加間距可能增加線長，冗餘 via 也可能增加電容；均以配對模擬呈現取捨。</w:t>
      </w:r>
    </w:p>
    <w:p>
      <w:pPr/>
      <w:r>
        <w:rPr>
          <w:rFonts w:ascii="Liberation Serif" w:hAnsi="Liberation Serif" w:eastAsia="Noto Serif CJK TC"/>
          <w:color w:val="000000"/>
        </w:rPr>
        <w:t>供電增量驗證以[57], [58]為對照，每次ECO重建受影響供電支路、時窗及切換電流。除了平均誤差，檢查最差droop、熱點排序、違規召回率及false pass；超出校正範圍即執行完整分析。不得用文獻的數位3nm誤差門檻判定本案4nm類比達規。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6 供電 電磁與熱模型的整合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靜態 IR drop 以電源網路與平均／指定直流電流求解；動態 droop 以操作相位電流、供應阻抗、decap 與必要封裝電感求解。PGAU 類模型 [33] 作快速熱點預測，最終以可用之 EMIR 工具或明列範圍的電源網路分析驗證。若未取得電流承載與壽命規則，只報告電流密度及電壓降，不聲稱通過 foundry 電遷移簽核。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對 CTLE 電感、Gm-TIA 互感、高速 driver 及 EIC–PIC／封裝介面，採電磁場或經校正 RLGC／S 參數模型。檢查模型頻寬、port 定義、passivity／causality 與參考阻抗，再接入電路模擬。避免 PEX 與場模型重複計入相同導體，或在交界漏失寄生；每段互連記錄所屬模型與去嵌入邊界。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熱求解先由單一熱源與簡單幾何建立校正，再加入多源及暫態。溫度回寫器件、互連及光子模型時，只使用其支援的依存關係；需迭代求解的電熱回饋，以穩定性與收斂門檻控制。PIC 額外量測熱漂移造成的共振波長、相位及插入損耗變化，並分列維持設定點所需的 heater 功耗。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7 第四階段 後模擬與 AI 佈局重規劃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驗證採三層。快速層以硬性規則、幾何 RC 及模型區間排序；中間層於校正情境執行 SE／子電路模擬；完整層以原始 DRC／LVS、全器件 PEX、電源／場／熱及電路結果驗收。快速預測與 SE 資料各自標記，不寫入完整真值欄位。候選初步合格後仍須重新完成完整模式。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後模擬輸出依敏感網路與操作相位定位失效，包括差動不匹配、比較器踢回殘餘、再生過慢、TIA 輸入負載過大、PLL 供電調變、TRNG 外部擾動、光路損耗超標或熱漂移。AI 根據此分類提出有限鄰域動作，再由搜尋器或設計者核定之規則執行。每次 ECO 保留原因、受影響物件、預測與實際變化及成本，失去合法性或未改善即回復。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失效機制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可控制的 ECO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必須重驗之指標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差動 RC／系統性失調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成對 pin、via、dummy 或路徑調整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完整 RC、失調與操作時序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時脈或輸出耦合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合法隔離、層別、屏蔽與回流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victim 波形、殘餘誤差與新增負載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TIA／CTLE 頻寬不足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輸入端點、回授路徑及高頻互連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增益、BW、群延遲、雜訊與穩定度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供電 droop／熱點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幹線、via、decap 位置或熱源分散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DC／動態供電、電流密度與溫升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PIC 損耗或溫漂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路徑、交叉、端口或 heater 鄰接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插入損耗、相位、波長及調諧功耗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TRNG 偏置或外部同步化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匹配環境、供電隔離及熵源鄰接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原始位元偏置、熵估計與注入敏感度</w:t>
            </w:r>
          </w:p>
        </w:tc>
      </w:tr>
    </w:tbl>
    <w:p>
      <w:pPr>
        <w:spacing w:after="40" w:before="0" w:line="40" w:lineRule="exact"/>
      </w:pP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代理角色分為設計／約束、配置／ECO、模型／選樣、工具執行及性能審查。角色間只交換具版本的物件與實際報告；缺模型、執行失敗或未知規則均回傳明確狀態。比較多代理與單一協調流程時，固定 LLM、提示知識、候選及工具預算，評估約束錯誤攔截、恢復率、人工工時及結果重現性。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8 完整基準與跨電路案例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主案例維持 12-bit SAR ADC、100MS/s 初始目標，M3 依授權器件與原理圖可行性凍結。低頻／近 Nyquist SNDR 初始目標為至少 62／60dB，INL／DNL 絕對值不超過 1LSB 且無缺碼。供應、參考、滿刻度與共模依 PDK 安全範圍決定。功耗及面積以凍結 P0、A0 設定不超過 1.05P0、1.05A0 的比較限制；這些為研究目標，並非先期達成數據。</w:t>
      </w:r>
      <w:r>
        <w:rPr>
          <w:rFonts w:ascii="Liberation Serif" w:hAnsi="Liberation Serif" w:eastAsia="Noto Serif CJK TC"/>
          <w:color w:val="000000"/>
          <w:highlight w:val="yellow"/>
        </w:rPr>
        <w:t>【M04 請由主持人確認12-bit／100MS/s規格、P0／A0及驗證預算可行性】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非 ADC 核心案例至少兩類：一類為差動接收前端，優先 Gm-TIA／CTLE；另一類為 ring oscillator／clock buffer，可選 PLL 敏感子單元。各類先凍結增益、頻寬、負載、供電、輸出及操作條件，再比較版圖。TRNG 作候選跨域案例，若資源允許則以 latch／熵源小單元完成失配及外部注入測試，不增加完整高速系統的設計負擔。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電路類別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主要性能與佈局量測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比較原則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比較器與 ADC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踢回峰值／殘餘、判定、SNDR、INL／DNL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相同源阻抗、CDAC、刺激與校正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Gm-TIA／CTLE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輸入 C、差動 BW、雜訊、穩定度／群延遲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相同光偵測器等效負載及高頻模型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振盪與時脈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頻率、相位／時序、供電推頻及功耗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相同負載與支援的 noise 模擬條件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TRNG 候選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偏置、熵估計、失配與供電注入敏感度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固定種子與後處理；區分內外雜訊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PIC 與 EIC–PIC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插入損耗、相位、光電響應及溫漂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同一模型邊界、波長與光功率預算</w:t>
            </w:r>
          </w:p>
        </w:tc>
      </w:tr>
    </w:tbl>
    <w:p>
      <w:pPr>
        <w:spacing w:after="40" w:before="0" w:line="40" w:lineRule="exact"/>
      </w:pP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9 PEX 資料集與模型校正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第一年目標建立至少 200 組完整 RC 標籤及 48 個局部合法變體；第二年另累積至少 60 組主 ADC 動態性能標籤，並於至少兩類非 ADC 電路各取得 20 組完整 PEX／性能觀察。各觀察值與獨立設計數分別報告，相同版圖之多角落不視為多個獨立電路。候選失敗與工具成本一併保存。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資料以 netlist、PDK／模型、layout、fill、PEX、testbench、波形／輸出碼及腳本版本連結。幾何到寄生、寄生到性能分別建模，先比較幾何 RC 與樹模型，再依資料量評估 GNN。訓練／校正／保留集原則採 60／20／20%，依拓樸與變體族群分組；不得將同一萃取網路的近似修正版分散至不同資料集。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模型同時評估絕對誤差、敏感 coupling pair、候選排序與區間涵蓋率。相對誤差對近零項使用預先凍結的尺度下限；未知製程、負載、幾何或熱邊界提高完整驗證優先序。每輪選樣兼顧預測改善、不確定性與少量隨機候選，所有模型訓練與重訓時間計入成本。</w:t>
      </w:r>
    </w:p>
    <w:p>
      <w:pPr/>
      <w:r>
        <w:rPr>
          <w:rFonts w:ascii="Liberation Serif" w:hAnsi="Liberation Serif" w:eastAsia="Noto Serif CJK TC"/>
          <w:color w:val="000000"/>
        </w:rPr>
        <w:t>參照OSIRIS[51]，資料另記錄原理圖族群、finger／halo變體、合法化、fill及驗證失敗狀態；公開資料與本地4nm資料分開管理。加入外部資料只用於特徵預訓練或流程測試，保留集完全排除其同源變體。模型評估同時報告資料量、完整標籤成本與未知拓樸的回退率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10 選擇性萃取與可信度門檻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SE 由量測目的建立必要器件集合，再沿偏壓、回授、動態負載與耦合路徑擴張。比較器、取樣開關、CDAC 切換、TIA 回授、振盪迴路與相關偏壓原則上保留；MOS 電容、decap 與噪聲來源均須辨識。實作可採授權允許之研究 runset 或完整萃取後之網路選取，與原文 LVS-based 方法分別標記，簽核 deck 保留原始版本。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比較 S0 全器件完整 PEX、S1 工具既有簡化、S2 必要器件與完整互連 RC，以及 S3 加入完整模式校正之邊界負載。被刪除 MOS 的非線性與動態效應需由保留集合或明列邊界模型處理，不能假設均由配線 RC 補回。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以至少 12 組獨立版圖／負載設計及每設計五種操作／PVT 條件建立成對觀察，分校正與保留測試。ADC 初始門檻為判定／安定時間差不超過 5%、決策時刻差動電壓不超過 0.1LSB、SNDR／SFDR 差不超過 0.25／0.5dB、INL／DNL 曲線差各不超過 0.2LSB，並不得漏報任何已定義端點超限。非 ADC 門檻依各自規格於保留測試前凍結，不沿用 LSB。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任一門檻不符即擴大保留集合或回退 S0。記錄 SE 判合格而 S0 失敗的 false pass，依設計群組估計區間；即使未觀察誤判，也報告樣本規模。適用子電路中位模擬加速以至少二倍為研究目標，另列萃取、處理、授權等待、失敗重跑及人工時間。SE 不適用時，核心研究仍以完整模式完成。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11 2nm 移植與 EIC PIC 實驗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2nm adapter 保存器件家族、量化方式、額定電壓、合法朝向、接點／低層金屬、LDE／失配、前後面供電及抽象／萃取介面。M6 完成授權與模型可用性盤點。取得 PDK 時，從 latch、時脈或感測前端選一類小單元，重建原理圖基準與合法變體，再評估跨節點約束轉移與重新校正成本。未取得時交付完整欄位、公開文獻映射、可執行介面測試及缺項表；參數化情境與真實 2nm 結果分列。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PIC 實驗優先採可合法取得之光子 PDK 或經校正模型，建立 MZI／microring 小型網路，至少 12 組配置／路由／熱鄰接組合。固定波長、輸入光功率、器件、端口與調諧目標，比較規則式與路由感知配置之損耗、長度／相位、交叉、可繞性與熱漂移。若只有 compact model、未具版圖規則，該項僅列共同模擬，不能列為已通過光子 DRC。</w:t>
      </w:r>
    </w:p>
    <w:p>
      <w:pPr/>
      <w:r>
        <w:rPr>
          <w:rFonts w:ascii="Liberation Serif" w:hAnsi="Liberation Serif" w:eastAsia="Noto Serif CJK TC"/>
          <w:color w:val="000000"/>
        </w:rPr>
        <w:t>PIC原定12組情境採四種可行配置／路由方案乘三種電子功率分布，分別代表均勻負載、鄰近局部熱點與偏移熱點[61], [62]，維持相同總功率以辨識位置效應。每組比較冷態及電光熱耦合結果，記錄溫升、波長／相位漂移、損耗及調諧功耗；材料與散熱邊界不明者另列參數範圍。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EIC–PIC 以 photodetector–TIA 與 driver–modulator 其中一條鏈路作主要示範。電子端加入 PEX 與必要場模型；光子端保存振幅、相位、波長依存及熱端口，依 [46] 的共同模擬觀念整合。接面使用經校正或明列範圍的 R／C、S 參數與熱網路，分析接面距離、bond／via 及 heater 鄰接的敏感度。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系統能耗界線包含 EIC、clock／DSP、PIC 調諧及所需 laser 電功率，分項列示後再計總量。比較情境必須保持資料率、調變、通道與 BER／眼圖判準一致；光功率與電功耗不混用。不具雷射效率或封裝實測時，採參數範圍及敏感度分析，不將名目模型結果宣稱為 COUPE 產品性能。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12 實驗設計與可檢驗假設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E1以比較器、取樣開關及CDAC端點三類ADC局部單元，估計dummy／鄰接、via、pin與隔離的主效應及交互作用。每類各四個二水準因子的完整因子設計為16組，合計48組；PDK不可行者保存原因並分析可行子矩陣。接收／時脈變體另依其敏感指標建立。所有變體依固定負載完成DRC／LVS／PEX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E2 檢驗分群及矩陣是否改善可繞性與電氣排序；分別移除匹配、noise、PDN 或熱關係，觀察對完整結果的影響。E3 為 SE 對照與誤判分析。E4 比較人工基準 B0、幾何與硬約束搜尋 B1、寄生回饋 B2，以及完整平台 P。E5 為 2nm 移植與 PIC／EIC–PIC 情境，著重 adapter 完整性、模型邊界與跨域路由，不與 4nm 主 ADC 混合成單一性能分數。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主 ADC 的 B1、B2、P 至少採十組配對種子，每種子每方法初始規劃至少三個完整候選，合計至少 90 次完整評估；該預算與訓練標籤分開統計，M3 依單次成本盤點確認。非 ADC 各案例至少五組配對搜尋種子。方法分別在相同完整驗證次數與相同端到端時間下比較，保留工具與生成成本。</w:t>
      </w:r>
    </w:p>
    <w:p>
      <w:pPr/>
      <w:r>
        <w:rPr>
          <w:rFonts w:ascii="Liberation Serif" w:hAnsi="Liberation Serif" w:eastAsia="Noto Serif CJK TC"/>
          <w:color w:val="000000"/>
        </w:rPr>
        <w:t>新增比較重點為[51]–[58]所代表的方法能力：去除性能回饋、去除時序活動、去除多模態特徵或移植意圖，以及PIC波導／金屬分離規劃。相關比較納入原E2、E4、E5的配對預算，先固定主指標與可重製範圍，再比較完整性能、失敗率及總成本；方法數增加時仍固定每輪完整驗證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假設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研究目標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判定與限制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H1 局部電氣對稱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差動寄生或踢回殘餘中位降低至少 20%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決策時間不劣化超過 5%；面積功耗受限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H2 關係矩陣與泛化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至少兩類非 ADC 有可重現效益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以各自凍結主指標評估；報告無改善及取捨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H3 快速驗證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適用子電路中位加速至少二倍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全部精度門檻通過；最終仍用完整模式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H4 閉迴路效益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主 ADC SNDR 中位改善至少 1dB，或達規率增加至少 10 個百分點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相同驗證預算；完整驗證需求減少 20% 為效率目標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H5 電光整合可行性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完成 PIC 與 EIC–PIC 模型閉合及至少 12 組情境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報告損耗、供電、溫漂與能耗取捨，不預設改善比例</w:t>
            </w:r>
          </w:p>
        </w:tc>
      </w:tr>
    </w:tbl>
    <w:p>
      <w:pPr>
        <w:spacing w:after="40" w:before="0" w:line="40" w:lineRule="exact"/>
      </w:pP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最終 ADC 動態測試固定幅度、共模、穩態丟棄區段、FFT 與諧波／alias 處理，至少 8192 輸出碼，涵蓋低頻、約 0.25fs 與近 0.45fs。ENOB 由 SNDR 換算，不重複加權。INL／DNL 依固定 ramp 或 code-density 另行量測，報告缺碼及校正條件。比較器至少 100 組配對失配種子；完整 ADC 先 30 組試跑，再依成本擴充至 100 組。PVT、RC 角落與 noise／失配僅使用工具支援的合法模型。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報告中位差、達規率與依設計群組重抽樣之 95% 區間，單一最佳候選僅作案例。TIA、時脈與 TRNG 各保存獨立量測程序。所有改善門檻為擬檢驗之研究假設，未達成時以原因、適用範圍與反例呈現，不作事後選擇性宣稱。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13 困難與解決途徑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324"/>
        <w:gridCol w:w="7313"/>
      </w:tblGrid>
      <w:tr>
        <w:trPr>
          <w:cantSplit/>
          <w:tblHeader/>
        </w:trPr>
        <w:tc>
          <w:tcPr>
            <w:tcW w:type="dxa" w:w="2324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困難</w:t>
            </w:r>
          </w:p>
        </w:tc>
        <w:tc>
          <w:tcPr>
            <w:tcW w:type="dxa" w:w="7313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具體處理與查核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4nm／2nm PDK 或模型不完備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M2／M6 分別盤點；核心實作、adapter 與參數情境分列，不混用節點證據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非 ADC 案例增加工作量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以兩類敏感子單元為必要範圍；完整高速系統另列延伸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跨工具抽象不一致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最小片段先驗單位、pin、via 與 layer map，再執行階層 LVS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網表誤判功能或約束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保留來源與未知狀態；專家標註與規則核對，禁止靜默放寬硬約束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電磁與 PEX 重複或漏算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以互連分段及 port／去嵌入邊界核對；確認模型帶寬與穩定性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熱模型缺少材料／封裝條件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單熱源校正、範圍敏感度；不以未校正模型代表商用封裝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SE 無法縮小器件集合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擴大保留範圍或回退完整模式，研究流程不依賴 SE 成功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訓練資料不足或跨節點失效</w:t>
            </w:r>
          </w:p>
        </w:tc>
        <w:tc>
          <w:tcPr>
            <w:tcW w:type="dxa" w:w="7313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幾何基準起步、族群保留、區間與隨機選樣；新情境優先完整驗證</w:t>
            </w:r>
          </w:p>
        </w:tc>
      </w:tr>
    </w:tbl>
    <w:p>
      <w:pPr>
        <w:spacing w:after="40" w:before="0" w:line="40" w:lineRule="exact"/>
      </w:pP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14 儀器 軟體與人力資源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使用既有 CPU／GPU 工作站、資料庫、版圖及抽象化工具、APR、DRC／LVS／PEX、SPICE 與可用的 EMIR 工具。Custom Compiler／Virtuoso、Innovus、Calibre 或相容工具依授權配置；不預設已具全部產品。PIC 另需合法器件模型、光子 DRC／連通檢查及電光模擬，電磁與熱分析工具於 M1–M3 盤點並建立簡單校正案例。</w:t>
      </w:r>
      <w:r>
        <w:rPr>
          <w:rFonts w:ascii="Liberation Serif" w:hAnsi="Liberation Serif" w:eastAsia="Noto Serif CJK TC"/>
          <w:color w:val="000000"/>
          <w:highlight w:val="yellow"/>
        </w:rPr>
        <w:t>【M05 請填4nm／2nm及光子PDK可用性、EDA產品與版本、授權期限及noise／失配／LDE／場熱模型清單】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主持人統籌規格、研究設計與模型邊界，專任研究助理負責工具、資料與版本，學生分擔電路／版圖及模型／最佳化。核心研究以完整後佈局模擬與可重現原型驗收；MPW、COUPE／CoWoS 實體封裝及高速量測依額外授權、預算與合作條件啟動，未核定前不列已承諾成果。無必要赴國外或大陸地區移地研究，國際會議依投稿與錄取情形編列。</w:t>
      </w:r>
      <w:r>
        <w:rPr>
          <w:rFonts w:ascii="Liberation Serif" w:hAnsi="Liberation Serif" w:eastAsia="Noto Serif CJK TC"/>
          <w:color w:val="000000"/>
          <w:highlight w:val="yellow"/>
        </w:rPr>
        <w:t>【M06 請確認研究助理與學生人數、分工及可投入工時】</w:t>
      </w:r>
    </w:p>
    <w:p>
      <w:pPr>
        <w:pStyle w:val="Heading3"/>
        <w:keepNext/>
        <w:spacing w:before="12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15 分年進度與里程碑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工作項目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第一年 M1–M12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第二年 M13–M24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網表與製程介面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M1–M6 解析、PDK、基準及資料分組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維護 adapter；2nm 條件案例與缺項報告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分群與關係矩陣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M2–M10 規則、標註及初始圖模型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M13–M20 跨電路保留測試及消融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合法變體與完整標籤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M3–M12 48 變體、目標 200 RC 標籤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非 ADC 各 20 觀察、主 ADC 60 標籤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SE 與模型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M4–M12 完整基準及校正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M13–M18 保留測試、誤判及邊界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配置繞線與 ECO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M6–M12 搜尋與局部回復原型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M13–M22 閉迴路、配對及失敗恢復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供電 電磁與熱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M5–M12 最小模型及校正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M13–M22 共同分析與候選回饋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PIC 與 EIC–PIC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M8–M12 PDK／模型與端口定義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M13–M23 小型版圖、12 情境及共同模擬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成果與論文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M10–M12 第一年度報告與投稿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M18–M24 完整對照、文件、投稿及交付</w:t>
            </w:r>
          </w:p>
        </w:tc>
      </w:tr>
    </w:tbl>
    <w:p>
      <w:pPr>
        <w:spacing w:after="40" w:before="0" w:line="40" w:lineRule="exact"/>
      </w:pP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M3 完成主 ADC 與非 ADC 案例選擇、原理圖規格及單次工具成本。M6 凍結資料切分、完整驗證預算及 2nm 授權分支，形成四階段 schema。M12 交付變體、矩陣校正、完整 RC 與 SE 初步報告。M18 完成平台閉迴路、跨電路及 PIC 共同模擬原型。M24 交付完整配對／消融、PVT／失配、移植與應用報告。若規格或資源需調整，在保留測試前核定並保留原版本，對照期間不任意改動。</w:t>
      </w:r>
    </w:p>
    <w:p>
      <w:pPr>
        <w:pStyle w:val="Heading2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（三）預期完成之工作項目及成果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041"/>
        <w:gridCol w:w="3798"/>
        <w:gridCol w:w="3798"/>
      </w:tblGrid>
      <w:tr>
        <w:trPr>
          <w:cantSplit/>
          <w:tblHeader/>
        </w:trPr>
        <w:tc>
          <w:tcPr>
            <w:tcW w:type="dxa" w:w="2041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成果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第一年</w:t>
            </w:r>
          </w:p>
        </w:tc>
        <w:tc>
          <w:tcPr>
            <w:tcW w:type="dxa" w:w="3798"/>
            <w:vAlign w:val="center"/>
            <w:shd w:fill="E8EDF2"/>
          </w:tcPr>
          <w:p>
            <w:pPr>
              <w:widowControl/>
              <w:spacing w:after="20" w:line="240" w:lineRule="auto"/>
              <w:jc w:val="center"/>
            </w:pPr>
            <w:r>
              <w:rPr>
                <w:rFonts w:ascii="Liberation Serif" w:hAnsi="Liberation Serif" w:eastAsia="Noto Serif CJK TC"/>
                <w:b/>
                <w:color w:val="000000"/>
                <w:sz w:val="24"/>
              </w:rPr>
              <w:t>第二年及驗收依據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四階段資料及平台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網表、groups、矩陣與工具 schema v1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可執行平台一套；版本與失敗恢復紀錄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4nm 變體與資料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目標 48 合法變體、200 完整 RC 標籤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主 ADC 60 性能標籤；非 ADC 兩類各 20 觀察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寄生與快速驗證方法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模型、SE 原型及校正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至少 12 獨立設計之誤判、門檻與成本報告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完整電路方法對照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原理圖與人工／幾何基準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ADC 與兩類非 ADC 的完整配對及消融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2nm 移植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adapter 與公開文獻差異表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移植報告一份；授權成立時附一個實體單元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PIC 及電光共同設計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器件、端口與模型邊界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小型 PIC／共同模擬、至少 12 組情境及取捨報告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人才及學術成果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研討會目標投稿一篇</w:t>
            </w:r>
          </w:p>
        </w:tc>
        <w:tc>
          <w:tcPr>
            <w:tcW w:type="dxa" w:w="3798"/>
            <w:vAlign w:val="center"/>
          </w:tcPr>
          <w:p>
            <w:pPr>
              <w:widowControl/>
              <w:spacing w:after="20" w:line="240" w:lineRule="auto"/>
              <w:jc w:val="left"/>
            </w:pPr>
            <w:r>
              <w:rPr>
                <w:rFonts w:ascii="Liberation Serif" w:hAnsi="Liberation Serif" w:eastAsia="Noto Serif CJK TC"/>
                <w:b w:val="0"/>
                <w:color w:val="000000"/>
                <w:sz w:val="24"/>
              </w:rPr>
              <w:t>再投稿期刊或研討會一至二篇；培育碩士生一至二名</w:t>
            </w:r>
          </w:p>
        </w:tc>
      </w:tr>
    </w:tbl>
    <w:p>
      <w:pPr>
        <w:spacing w:after="40" w:before="0" w:line="40" w:lineRule="exact"/>
      </w:pP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參與人員將接受先進節點器件量化、dummy 與匹配、供電與高頻互連、DRC／LVS／PEX、電路性能量測、光子路由與模型、統計及工具代理整合訓練。每月以實際網表、版圖、日誌與可重跑案例檢討，使研究能力涵蓋由設計意圖至電氣／光學結果的完整鏈結。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學術貢獻為可校正的跨電路關係表示、dummy／鄰接／供電／熱對性能之定量關係，以及快速驗證的適用邊界。應用貢獻為可在本地部署之設計與審查介面，支援 AI 高速電子前端、2nm 移植準備與 EIC–PIC 協同設計。公開成果以不含 PDK 機密之 schema、腳本、方法與可再散佈案例為主；受授權限制的模型與版圖依規定管理。合作、專利及技轉依實際研究結果評估，不預設量產或商業收益。</w:t>
      </w:r>
    </w:p>
    <w:p>
      <w:pPr>
        <w:pStyle w:val="Heading2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（四）整合型研究計畫說明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color w:val="000000"/>
        </w:rPr>
        <w:t>本案為個別型兩年期計畫，由主持人整合電路、物理設計、驗證及 AI 工具鏈，非整合型總計畫／子計畫組合。各工作包共用凍結規格、版本及查核文件；整合型 CM04 不適用。行政資料、正式起訖日、主持人著作及經費依申請機構與國科會當年度系統填列。</w:t>
      </w:r>
      <w:r>
        <w:rPr>
          <w:rFonts w:ascii="Liberation Serif" w:hAnsi="Liberation Serif" w:eastAsia="Noto Serif CJK TC"/>
          <w:color w:val="000000"/>
          <w:highlight w:val="yellow"/>
        </w:rPr>
        <w:t>【M07 請補代表著作、前期計畫及經費表；M08 請核對116年度公告、CM302與頁數規定】</w:t>
      </w:r>
    </w:p>
    <w:p>
      <w:pPr>
        <w:pStyle w:val="Heading1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參考文獻</w:t>
      </w:r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[1] Y. Yasuda-Masuoka, J. Jeong, K. Son et al., “High Performance 4nm FinFET Platform (4LPE) with Novel Advanced Transistor Level DTCO for Dual-CPP/HP-HD Standard Cells,” 2021 IEEE International Electron Devices Meeting (IEDM), pp. 13.3.1-13.3.4, 2021. </w:t>
      </w:r>
      <w:hyperlink r:id="rId14">
        <w:r>
          <w:rPr>
            <w:rFonts w:ascii="Liberation Serif" w:hAnsi="Liberation Serif" w:eastAsia="Noto Serif CJK TC"/>
            <w:sz w:val="24"/>
            <w:color w:val="000000"/>
          </w:rPr>
          <w:t>DOI: 10.1109/iedm19574.2021.9720656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[2] C. Y. Chiang, C. L. Hu, M. P. H. Lin et al., “On Automating Finger-Cap Array Synthesis with Optimal Parasitic Matching for Custom SAR ADC,” Proceedings of the 28th Asia and South Pacific Design Automation Conference, pp. 352-357, 2023. </w:t>
      </w:r>
      <w:hyperlink r:id="rId15">
        <w:r>
          <w:rPr>
            <w:rFonts w:ascii="Liberation Serif" w:hAnsi="Liberation Serif" w:eastAsia="Noto Serif CJK TC"/>
            <w:sz w:val="24"/>
            <w:color w:val="000000"/>
          </w:rPr>
          <w:t>DOI: 10.1145/3566097.3567878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[3] Y. Li, Q. Wu, X. Liu, “A MEOL logic layout optimization recommendation under 3 nm CFET architecture and beyond,” 2022 IEEE 16th International Conference on Solid-State &amp; Integrated Circuit Technology (ICSICT), pp. 1-4, 2022. </w:t>
      </w:r>
      <w:hyperlink r:id="rId16">
        <w:r>
          <w:rPr>
            <w:rFonts w:ascii="Liberation Serif" w:hAnsi="Liberation Serif" w:eastAsia="Noto Serif CJK TC"/>
            <w:sz w:val="24"/>
            <w:color w:val="000000"/>
          </w:rPr>
          <w:t>DOI: 10.1109/icsict55466.2022.9963470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[4] A. S. Yonar, P. A. Francese, M. Brandli et al., “An 8-bit 56GS/s 64x Time-Interleaved ADC with Bootstrapped Sampler and Class-AB Buffer in 4nm CMOS,” 2022 IEEE Symposium on VLSI Technology and Circuits (VLSI Technology and Circuits), pp. 168-169, 2022. </w:t>
      </w:r>
      <w:hyperlink r:id="rId17">
        <w:r>
          <w:rPr>
            <w:rFonts w:ascii="Liberation Serif" w:hAnsi="Liberation Serif" w:eastAsia="Noto Serif CJK TC"/>
            <w:sz w:val="24"/>
            <w:color w:val="000000"/>
          </w:rPr>
          <w:t>DOI: 10.1109/vlsitechnologyandcir46769.2022.9830308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[5] C. Nani, E. Monaco, N. Ghittori et al., “A 5-nm 60-GS/s 7b 64-Way Time Interleaved Partial Loop Unrolled SAR ADC Achieving 35.2dB SNDR up to 32 GHz,” IEEE Journal of Solid-State Circuits, vol. 60, no. 4, pp. 1210-1222, 2025. </w:t>
      </w:r>
      <w:hyperlink r:id="rId18">
        <w:r>
          <w:rPr>
            <w:rFonts w:ascii="Liberation Serif" w:hAnsi="Liberation Serif" w:eastAsia="Noto Serif CJK TC"/>
            <w:sz w:val="24"/>
            <w:color w:val="000000"/>
          </w:rPr>
          <w:t>DOI: 10.1109/jssc.2024.3517333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[6] J. Park, J. Park, J. Hong et al., “A 12-bit 10GS/s Time-Interleaved SAR ADC with Even/Odd Channel-Correlated Absolute Error-Based Over-Nyquist Timing-Skew Calibration in 5nm FinFET,” 2024 IEEE Symposium on VLSI Technology and Circuits (VLSI Technology and Circuits), pp. 1-2, 2024. </w:t>
      </w:r>
      <w:hyperlink r:id="rId19">
        <w:r>
          <w:rPr>
            <w:rFonts w:ascii="Liberation Serif" w:hAnsi="Liberation Serif" w:eastAsia="Noto Serif CJK TC"/>
            <w:sz w:val="24"/>
            <w:color w:val="000000"/>
          </w:rPr>
          <w:t>DOI: 10.1109/vlsitechnologyandcir46783.2024.10631314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[7] J. Liu, A. Shabra, S. Ho et al., “A 16GS/s 10b Time-domain ADC using Pipelined-SAR TDC with Delay Variability Compensation and Background Calibration Achieving 153.8dB FoM in 4nm CMOS,” 2024 IEEE Symposium on VLSI Technology and Circuits (VLSI Technology and Circuits), pp. 1-2, 2024. </w:t>
      </w:r>
      <w:hyperlink r:id="rId20">
        <w:r>
          <w:rPr>
            <w:rFonts w:ascii="Liberation Serif" w:hAnsi="Liberation Serif" w:eastAsia="Noto Serif CJK TC"/>
            <w:sz w:val="24"/>
            <w:color w:val="000000"/>
          </w:rPr>
          <w:t>DOI: 10.1109/vlsitechnologyandcir46783.2024.10631373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[8] S. Lee, J. Park, J. Park et al., “3.9 A 1.2V High-Voltage-Tolerant Bootstrapped Analog Sampler in 12-bit SAR ADC Using 3nm GAA’s 0.7V Thin-Gate-Oxide Transistor,” 2024 IEEE International Solid-State Circuits Conference (ISSCC), pp. 70-72, 2024. </w:t>
      </w:r>
      <w:hyperlink r:id="rId21">
        <w:r>
          <w:rPr>
            <w:rFonts w:ascii="Liberation Serif" w:hAnsi="Liberation Serif" w:eastAsia="Noto Serif CJK TC"/>
            <w:sz w:val="24"/>
            <w:color w:val="000000"/>
          </w:rPr>
          <w:t>DOI: 10.1109/isscc49657.2024.10454351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[9] T. O. Dickson, Z. T. Deniz, M. Cochet et al., “A 72-GS/s, 8-Bit DAC-Based Wireline Transmitter in 4-nm FinFET CMOS for 200+ Gb/s Serial Links,” IEEE Journal of Solid-State Circuits, vol. 58, no. 4, pp. 1074-1086, 2023. </w:t>
      </w:r>
      <w:hyperlink r:id="rId22">
        <w:r>
          <w:rPr>
            <w:rFonts w:ascii="Liberation Serif" w:hAnsi="Liberation Serif" w:eastAsia="Noto Serif CJK TC"/>
            <w:sz w:val="24"/>
            <w:color w:val="000000"/>
          </w:rPr>
          <w:t>DOI: 10.1109/jssc.2022.3228632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[10] W. Lee, J. Park, J. Park et al., “Fast and Accurate post-layout simulation methodology using 4nm LVS rule deck,” 2022 IEEE 31st Microelectronics Design &amp; Test Symposium (MDTS), pp. 1-5, 2022. </w:t>
      </w:r>
      <w:hyperlink r:id="rId23">
        <w:r>
          <w:rPr>
            <w:rFonts w:ascii="Liberation Serif" w:hAnsi="Liberation Serif" w:eastAsia="Noto Serif CJK TC"/>
            <w:sz w:val="24"/>
            <w:color w:val="000000"/>
          </w:rPr>
          <w:t>DOI: 10.1109/mdts54894.2022.9826968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[11] T. Dhar, K. Kunal, Y. Li et al., “ALIGN: A System for Automating Analog Layout,” IEEE Design &amp; Test, vol. 38, no. 2, pp. 8-18, 2021. </w:t>
      </w:r>
      <w:hyperlink r:id="rId24">
        <w:r>
          <w:rPr>
            <w:rFonts w:ascii="Liberation Serif" w:hAnsi="Liberation Serif" w:eastAsia="Noto Serif CJK TC"/>
            <w:sz w:val="24"/>
            <w:color w:val="000000"/>
          </w:rPr>
          <w:t>DOI: 10.1109/mdat.2020.3042177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[12] B. Xu et al., “MAGICAL: Toward Fully Automated Analog IC Layout Leveraging Human and Machine Intelligence,” ICCAD, 2019. </w:t>
      </w:r>
      <w:hyperlink r:id="rId25">
        <w:r>
          <w:rPr>
            <w:rFonts w:ascii="Liberation Serif" w:hAnsi="Liberation Serif" w:eastAsia="Noto Serif CJK TC"/>
            <w:sz w:val="24"/>
            <w:color w:val="000000"/>
          </w:rPr>
          <w:t>作者／會議來源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[13] H. Ren et al., “ParaGraph: Layout Parasitics and Device Parameter Prediction Using Graph Neural Networks,” DAC, 2020. </w:t>
      </w:r>
      <w:hyperlink r:id="rId26">
        <w:r>
          <w:rPr>
            <w:rFonts w:ascii="Liberation Serif" w:hAnsi="Liberation Serif" w:eastAsia="Noto Serif CJK TC"/>
            <w:sz w:val="24"/>
            <w:color w:val="000000"/>
          </w:rPr>
          <w:t>作者／會議來源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[14] B. Liu, H. Zhang, X. Gao et al., “LayoutCopilot: An LLM-Powered Multiagent Collaborative Framework for Interactive Analog Layout Design,” IEEE Transactions on Computer-Aided Design of Integrated Circuits and Systems, vol. 44, no. 8, pp. 3126-3139, 2025. </w:t>
      </w:r>
      <w:hyperlink r:id="rId27">
        <w:r>
          <w:rPr>
            <w:rFonts w:ascii="Liberation Serif" w:hAnsi="Liberation Serif" w:eastAsia="Noto Serif CJK TC"/>
            <w:sz w:val="24"/>
            <w:color w:val="000000"/>
          </w:rPr>
          <w:t>DOI: 10.1109/tcad.2025.3529805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[15] Z. Bao et al., “AnalogAgent: Self-Improving Analog Circuit Design Automation with LLM Agents,” arXiv:2603.23910v1 預印本, 2026. </w:t>
      </w:r>
      <w:hyperlink r:id="rId28">
        <w:r>
          <w:rPr>
            <w:rFonts w:ascii="Liberation Serif" w:hAnsi="Liberation Serif" w:eastAsia="Noto Serif CJK TC"/>
            <w:sz w:val="24"/>
            <w:color w:val="000000"/>
          </w:rPr>
          <w:t>DOI: 10.48550/arXiv.2603.23910</w:t>
        </w:r>
      </w:hyperlink>
      <w:r>
        <w:rPr>
          <w:rFonts w:ascii="Liberation Serif" w:hAnsi="Liberation Serif" w:eastAsia="Noto Serif CJK TC"/>
          <w:color w:val="000000"/>
          <w:sz w:val="24"/>
        </w:rPr>
        <w:t xml:space="preserve"> 此處引用預印本。</w:t>
      </w:r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[16] B. Razavi, “The StrongARM Latch [A Circuit for All Seasons],” IEEE Solid-State Circuits Magazine, vol. 7, no. 2, pp. 12-17, 2015. </w:t>
      </w:r>
      <w:hyperlink r:id="rId29">
        <w:r>
          <w:rPr>
            <w:rFonts w:ascii="Liberation Serif" w:hAnsi="Liberation Serif" w:eastAsia="Noto Serif CJK TC"/>
            <w:sz w:val="24"/>
            <w:color w:val="000000"/>
          </w:rPr>
          <w:t>DOI: 10.1109/mssc.2015.2418155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[17] E. H. Chen, H. Park, M. Abdullatif et al., “7.1 A 212.5Gb/s DSP-Based PAM-4 Transceiver with 50dB Loss Compensation for Large AI System Interconnects in 4nm FinFET,” 2025 IEEE International Solid-State Circuits Conference (ISSCC), pp. 1-3, 2025. </w:t>
      </w:r>
      <w:hyperlink r:id="rId30">
        <w:r>
          <w:rPr>
            <w:rFonts w:ascii="Liberation Serif" w:hAnsi="Liberation Serif" w:eastAsia="Noto Serif CJK TC"/>
            <w:sz w:val="24"/>
            <w:color w:val="000000"/>
          </w:rPr>
          <w:t>DOI: 10.1109/isscc49661.2025.10904601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[18] H. Park, Q. Nehal, M. Gandara et al., “7.4 A 112Gb/s DSP-Based PAM-4 Receiver with an LC-Resonator-Based CTLE for &gt;52dB Loss Compensation in 4nm FinFET,” 2025 IEEE International Solid-State Circuits Conference (ISSCC), pp. 142-144, 2025. </w:t>
      </w:r>
      <w:hyperlink r:id="rId31">
        <w:r>
          <w:rPr>
            <w:rFonts w:ascii="Liberation Serif" w:hAnsi="Liberation Serif" w:eastAsia="Noto Serif CJK TC"/>
            <w:sz w:val="24"/>
            <w:color w:val="000000"/>
          </w:rPr>
          <w:t>DOI: 10.1109/isscc49661.2025.10904638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[19] K. Kwon, H. Roh, K. Kim et al., “A 212.5Gb/s Pam-4 Receiver With Mutual Inductive Coupled Gm-Tia in 4nm Finfet,” 2025 Symposium on VLSI Technology and Circuits (VLSI Technology and Circuits), pp. 1-3, 2025. </w:t>
      </w:r>
      <w:hyperlink r:id="rId32">
        <w:r>
          <w:rPr>
            <w:rFonts w:ascii="Liberation Serif" w:hAnsi="Liberation Serif" w:eastAsia="Noto Serif CJK TC"/>
            <w:sz w:val="24"/>
            <w:color w:val="000000"/>
          </w:rPr>
          <w:t>DOI: 10.23919/vlsitechnologyandcir65189.2025.11074881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[20] J. Jung, K. Lee, G. Kong et al., “A 2.4-to-4.2GHz 440.2fsrms-Integrated-Jitter 4.3mW Ring-Oscillator-Based PLL Using a Switched-Capacitor-Bias-Based Sampling PD in 4nm FinFET CMOS,” 2023 IEEE Symposium on VLSI Technology and Circuits (VLSI Technology and Circuits), pp. 1-2, 2023. </w:t>
      </w:r>
      <w:hyperlink r:id="rId33">
        <w:r>
          <w:rPr>
            <w:rFonts w:ascii="Liberation Serif" w:hAnsi="Liberation Serif" w:eastAsia="Noto Serif CJK TC"/>
            <w:sz w:val="24"/>
            <w:color w:val="000000"/>
          </w:rPr>
          <w:t>DOI: 10.23919/vlsitechnologyandcir57934.2023.10185300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[21] J. Jin, S. M. Lee, K. Min et al., “A 4-nm 16-Gb/s/pin Single-Ended PAM-4 Parallel Transceiver With Switching-Jitter Compensation and Transmitter Optimization,” IEEE Journal of Solid-State Circuits, vol. 59, no. 1, pp. 184-195, 2024. </w:t>
      </w:r>
      <w:hyperlink r:id="rId34">
        <w:r>
          <w:rPr>
            <w:rFonts w:ascii="Liberation Serif" w:hAnsi="Liberation Serif" w:eastAsia="Noto Serif CJK TC"/>
            <w:sz w:val="24"/>
            <w:color w:val="000000"/>
          </w:rPr>
          <w:t>DOI: 10.1109/jssc.2023.3319637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[22] J. Gu, J. Ma, J. Guo et al., “A 32Gb/s 0.36pJ/bit 3nm Chiplet IO Using 2.5D CoWoS Package with Real-Time and Per-Lane CDR and Bathtub Monitoring,” 2024 IEEE Symposium on VLSI Technology and Circuits (VLSI Technology and Circuits), pp. 1-2, 2024. </w:t>
      </w:r>
      <w:hyperlink r:id="rId35">
        <w:r>
          <w:rPr>
            <w:rFonts w:ascii="Liberation Serif" w:hAnsi="Liberation Serif" w:eastAsia="Noto Serif CJK TC"/>
            <w:sz w:val="24"/>
            <w:color w:val="000000"/>
          </w:rPr>
          <w:t>DOI: 10.1109/vlsitechnologyandcir46783.2024.10631527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[23] G. Yeap, S. S. Lin, H. L. Shang et al., “2nm Platform Technology Featuring Energy-Efficient Nanosheet Transistors and Interconnects Co-Optimized with 3DIC for AI, HPC and Mobile SoC Applications,” 2024 IEEE International Electron Devices Meeting (IEDM), pp. 1-4, 2024. </w:t>
      </w:r>
      <w:hyperlink r:id="rId36">
        <w:r>
          <w:rPr>
            <w:rFonts w:ascii="Liberation Serif" w:hAnsi="Liberation Serif" w:eastAsia="Noto Serif CJK TC"/>
            <w:sz w:val="24"/>
            <w:color w:val="000000"/>
          </w:rPr>
          <w:t>DOI: 10.1109/iedm50854.2024.10873475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[24] T. Y. J. Chang, Y. H. Chen, K. V. Reddy et al., “A 38.1Mb/mm2 SRAM in a 2nm-CMOS-Nanosheet Technology for High-Density and Energy-Efficient Compute,” 2025 IEEE International Solid-State Circuits Conference (ISSCC), pp. 492-494, 2025. </w:t>
      </w:r>
      <w:hyperlink r:id="rId37">
        <w:r>
          <w:rPr>
            <w:rFonts w:ascii="Liberation Serif" w:hAnsi="Liberation Serif" w:eastAsia="Noto Serif CJK TC"/>
            <w:sz w:val="24"/>
            <w:color w:val="000000"/>
          </w:rPr>
          <w:t>DOI: 10.1109/isscc49661.2025.10904759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[25] R. Xie, W. Hong, C. Zhang et al., “Backside Power Distribution for Nanosheet Technologies Beyond 2nm,” 2024 IEEE Symposium on VLSI Technology and Circuits (VLSI Technology and Circuits), pp. 1-2, 2024. </w:t>
      </w:r>
      <w:hyperlink r:id="rId38">
        <w:r>
          <w:rPr>
            <w:rFonts w:ascii="Liberation Serif" w:hAnsi="Liberation Serif" w:eastAsia="Noto Serif CJK TC"/>
            <w:sz w:val="24"/>
            <w:color w:val="000000"/>
          </w:rPr>
          <w:t>DOI: 10.1109/vlsitechnologyandcir46783.2024.10631449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[26] W. Hafez, P. Agnihotri, M. Asoro et al., “Intel PowerVia Technology: Backside Power Delivery for High Density and High-Performance Computing,” 2023 IEEE Symposium on VLSI Technology and Circuits (VLSI Technology and Circuits), pp. 1-2, 2023. </w:t>
      </w:r>
      <w:hyperlink r:id="rId39">
        <w:r>
          <w:rPr>
            <w:rFonts w:ascii="Liberation Serif" w:hAnsi="Liberation Serif" w:eastAsia="Noto Serif CJK TC"/>
            <w:sz w:val="24"/>
            <w:color w:val="000000"/>
          </w:rPr>
          <w:t>DOI: 10.23919/vlsitechnologyandcir57934.2023.10185208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[27] S. Goyal, S. K. Wadhwa, D. Tripathi et al., “Design Challenges and Techniques for 5nm FinFET CMOS Analog/Mixed-Signal Circuits,” 2023 36th International Conference on VLSI Design and 2023 22nd International Conference on Embedded Systems (VLSID), 2023. </w:t>
      </w:r>
      <w:hyperlink r:id="rId40">
        <w:r>
          <w:rPr>
            <w:rFonts w:ascii="Liberation Serif" w:hAnsi="Liberation Serif" w:eastAsia="Noto Serif CJK TC"/>
            <w:sz w:val="24"/>
            <w:color w:val="000000"/>
          </w:rPr>
          <w:t>DOI: 10.1109/vlsid57277.2023.00033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[28] X. Gao, H. Zhang, M. Liu et al., “Interactive Analog Layout Editing With Instant Placement and Routing Legalization,” IEEE Transactions on Computer-Aided Design of Integrated Circuits and Systems, vol. 42, no. 3, pp. 698-711, 2023. </w:t>
      </w:r>
      <w:hyperlink r:id="rId41">
        <w:r>
          <w:rPr>
            <w:rFonts w:ascii="Liberation Serif" w:hAnsi="Liberation Serif" w:eastAsia="Noto Serif CJK TC"/>
            <w:sz w:val="24"/>
            <w:color w:val="000000"/>
          </w:rPr>
          <w:t>DOI: 10.1109/tcad.2022.3190234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[29] Q. Xu, L. Wang, J. Wang et al., “Graph Attention-Based Symmetry Constraint Extraction for Analog Circuits,” IEEE Transactions on Circuits and Systems I: Regular Papers, vol. 71, no. 8, pp. 3754-3763, 2024. </w:t>
      </w:r>
      <w:hyperlink r:id="rId42">
        <w:r>
          <w:rPr>
            <w:rFonts w:ascii="Liberation Serif" w:hAnsi="Liberation Serif" w:eastAsia="Noto Serif CJK TC"/>
            <w:sz w:val="24"/>
            <w:color w:val="000000"/>
          </w:rPr>
          <w:t>DOI: 10.1109/tcsi.2024.3391187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[30] H. Chen, K. C. Hsu, W. J. Turner et al., “Reinforcement Learning Guided Detailed Routing for Custom Circuits,” Proceedings of the 2023 International Symposium on Physical Design, pp. 26-34, 2023. </w:t>
      </w:r>
      <w:hyperlink r:id="rId43">
        <w:r>
          <w:rPr>
            <w:rFonts w:ascii="Liberation Serif" w:hAnsi="Liberation Serif" w:eastAsia="Noto Serif CJK TC"/>
            <w:sz w:val="24"/>
            <w:color w:val="000000"/>
          </w:rPr>
          <w:t>DOI: 10.1145/3569052.3571874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[31] S. Jeong, W. J. Choi, J. Choi et al., “A Self-Supervised Learning of a Foundation Model for Analog Layout Design Automation,” IEEE Transactions on Circuits and Systems I: Regular Papers, vol. 73, no. 2, pp. 1220-1230, 2026. </w:t>
      </w:r>
      <w:hyperlink r:id="rId44">
        <w:r>
          <w:rPr>
            <w:rFonts w:ascii="Liberation Serif" w:hAnsi="Liberation Serif" w:eastAsia="Noto Serif CJK TC"/>
            <w:sz w:val="24"/>
            <w:color w:val="000000"/>
          </w:rPr>
          <w:t>DOI: 10.1109/tcsi.2025.3615646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[32] X. Jiang et al., “CircuitNet 2.0: An Advanced Dataset for Promoting Machine Learning Innovations in Realistic Chip Design Environment,” ICLR, 2024. </w:t>
      </w:r>
      <w:hyperlink r:id="rId45">
        <w:r>
          <w:rPr>
            <w:rFonts w:ascii="Liberation Serif" w:hAnsi="Liberation Serif" w:eastAsia="Noto Serif CJK TC"/>
            <w:sz w:val="24"/>
            <w:color w:val="000000"/>
          </w:rPr>
          <w:t>作者／會議來源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[33] F. Guo, J. Liu, J. Zhai et al., “PGAU: Static IR Drop Analysis for Power Grid using Attention U-Net Architecture and Label Distribution Smoothing,” Proceedings of the Great Lakes Symposium on VLSI 2024, pp. 452-458, 2024. </w:t>
      </w:r>
      <w:hyperlink r:id="rId46">
        <w:r>
          <w:rPr>
            <w:rFonts w:ascii="Liberation Serif" w:hAnsi="Liberation Serif" w:eastAsia="Noto Serif CJK TC"/>
            <w:sz w:val="24"/>
            <w:color w:val="000000"/>
          </w:rPr>
          <w:t>DOI: 10.1145/3649476.3658711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[34] Q. Wang, X. Li, T. Jia et al., “ATPlace2.5D: Analytical Thermal-Aware Chiplet Placement Framework for Large-Scale 2.5D-IC,” Proceedings of the 43rd IEEE/ACM International Conference on Computer-Aided Design, pp. 1-9, 2024. </w:t>
      </w:r>
      <w:hyperlink r:id="rId47">
        <w:r>
          <w:rPr>
            <w:rFonts w:ascii="Liberation Serif" w:hAnsi="Liberation Serif" w:eastAsia="Noto Serif CJK TC"/>
            <w:sz w:val="24"/>
            <w:color w:val="000000"/>
          </w:rPr>
          <w:t>DOI: 10.1145/3676536.3676648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[35] C. H. Lu, C. C. Lin, T. C. Tang et al., “High Bandwidth and Energy Efficient Electrical-Optical System Integration Using COUPE Technology,” 2024 IEEE 74th Electronic Components and Technology Conference (ECTC), pp. 893-897, 2024. </w:t>
      </w:r>
      <w:hyperlink r:id="rId48">
        <w:r>
          <w:rPr>
            <w:rFonts w:ascii="Liberation Serif" w:hAnsi="Liberation Serif" w:eastAsia="Noto Serif CJK TC"/>
            <w:sz w:val="24"/>
            <w:color w:val="000000"/>
          </w:rPr>
          <w:t>DOI: 10.1109/ectc51529.2024.00144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[36] M. F. Chen, H. T. Cheng, C. H. Tsou et al., “Optical and Electrical Characterization of a Compact Universal Photonic Engine,” 2025 IEEE 75th Electronic Components and Technology Conference (ECTC), pp. 54-58, 2025. </w:t>
      </w:r>
      <w:hyperlink r:id="rId49">
        <w:r>
          <w:rPr>
            <w:rFonts w:ascii="Liberation Serif" w:hAnsi="Liberation Serif" w:eastAsia="Noto Serif CJK TC"/>
            <w:sz w:val="24"/>
            <w:color w:val="000000"/>
          </w:rPr>
          <w:t>DOI: 10.1109/ectc51687.2025.00015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[37] S. K. Yeh, C. T. Shih, F. Yuan et al., “Silicon Photonics Platform for Next Generation Data Communication Technologies,” 2024 IEEE International Electron Devices Meeting (IEDM), pp. 1-4, 2024. </w:t>
      </w:r>
      <w:hyperlink r:id="rId50">
        <w:r>
          <w:rPr>
            <w:rFonts w:ascii="Liberation Serif" w:hAnsi="Liberation Serif" w:eastAsia="Noto Serif CJK TC"/>
            <w:sz w:val="24"/>
            <w:color w:val="000000"/>
          </w:rPr>
          <w:t>DOI: 10.1109/iedm50854.2024.10873369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[38] H. Hsia, J. Y. Wu, S. W. Liang et al., “EPIC-BOE: An Electronic-Photonic Chiplet Integration Technology with IC Processes for Broadband Optical Engine Applications,” 2024 IEEE International Electron Devices Meeting (IEDM), pp. 1-4, 2024. </w:t>
      </w:r>
      <w:hyperlink r:id="rId51">
        <w:r>
          <w:rPr>
            <w:rFonts w:ascii="Liberation Serif" w:hAnsi="Liberation Serif" w:eastAsia="Noto Serif CJK TC"/>
            <w:sz w:val="24"/>
            <w:color w:val="000000"/>
          </w:rPr>
          <w:t>DOI: 10.1109/iedm50854.2024.10873589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[39] H. Zhou, K. Zhu, J. Gu, “LiDAR: Automated Curvy Waveguide Detailed Routing for Large-Scale Photonic Integrated Circuits,” Proceedings of the 2025 International Symposium on Physical Design, pp. 64-72, 2025. </w:t>
      </w:r>
      <w:hyperlink r:id="rId52">
        <w:r>
          <w:rPr>
            <w:rFonts w:ascii="Liberation Serif" w:hAnsi="Liberation Serif" w:eastAsia="Noto Serif CJK TC"/>
            <w:sz w:val="24"/>
            <w:color w:val="000000"/>
          </w:rPr>
          <w:t>DOI: 10.1145/3698364.3705355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[40] H. Zhou, H. Yang, N. Gangi et al., “Apollo: Automated Routing-Informed Placement for Large-Scale Photonic Integrated Circuits,” 2025 IEEE/ACM International Conference On Computer Aided Design (ICCAD), pp. 1-9, 2025. </w:t>
      </w:r>
      <w:hyperlink r:id="rId53">
        <w:r>
          <w:rPr>
            <w:rFonts w:ascii="Liberation Serif" w:hAnsi="Liberation Serif" w:eastAsia="Noto Serif CJK TC"/>
            <w:sz w:val="24"/>
            <w:color w:val="000000"/>
          </w:rPr>
          <w:t>DOI: 10.1109/iccad66269.2025.11240728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[41] Z. Yang, G. He, Y. Li et al., “Thermal management in copackaged optics: from device assembly to system operation,” Advanced Photonics Nexus, vol. 5, no. 03, pp. 1-23, 2026. </w:t>
      </w:r>
      <w:hyperlink r:id="rId54">
        <w:r>
          <w:rPr>
            <w:rFonts w:ascii="Liberation Serif" w:hAnsi="Liberation Serif" w:eastAsia="Noto Serif CJK TC"/>
            <w:sz w:val="24"/>
            <w:color w:val="000000"/>
          </w:rPr>
          <w:t>DOI: 10.1117/1.apn.5.3.034001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[42] M. Tan, J. Xu, S. Liu et al., “Co-packaged optics (CPO): status, challenges, and solutions,” Frontiers of Optoelectronics, vol. 16, no. 1, 2023. </w:t>
      </w:r>
      <w:hyperlink r:id="rId55">
        <w:r>
          <w:rPr>
            <w:rFonts w:ascii="Liberation Serif" w:hAnsi="Liberation Serif" w:eastAsia="Noto Serif CJK TC"/>
            <w:sz w:val="24"/>
            <w:color w:val="000000"/>
          </w:rPr>
          <w:t>DOI: 10.1007/s12200-022-00055-y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[43] S. H. Hwang, S. H. Kim, J. Park et al., “Samsung Foundry 300-mm Silicon Photonics Platform for HPC/AI Applications,” Optical Fiber Communication Conference (OFC) 2026, pp. Tu2D.3, 2026. </w:t>
      </w:r>
      <w:hyperlink r:id="rId56">
        <w:r>
          <w:rPr>
            <w:rFonts w:ascii="Liberation Serif" w:hAnsi="Liberation Serif" w:eastAsia="Noto Serif CJK TC"/>
            <w:sz w:val="24"/>
            <w:color w:val="000000"/>
          </w:rPr>
          <w:t>DOI: 10.1364/ofc.2026.tu2d.3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[44] Y. Choi, D. Kim, M. Kim et al., “37.3 A 2nm All-Digital 14.4Gb/s/pin LPDDR6 PHY with Quarter-Rate Clocking Architecture and Multi-Level FIFO-Based Speculative DFE,” 2026 IEEE International Solid-State Circuits Conference (ISSCC), pp. 628-630, 2026. </w:t>
      </w:r>
      <w:hyperlink r:id="rId57">
        <w:r>
          <w:rPr>
            <w:rFonts w:ascii="Liberation Serif" w:hAnsi="Liberation Serif" w:eastAsia="Noto Serif CJK TC"/>
            <w:sz w:val="24"/>
            <w:color w:val="000000"/>
          </w:rPr>
          <w:t>DOI: 10.1109/isscc49663.2026.11409321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[45] S. Datta, A. Banerjee, A. Tripathi et al., “A 45-fs rms Accumulated Jitter PLL Using Advanced Design Techniques for PCIe Gen6 Reference Clock Generation in 2 nm MBCFET Technology,” 2024 IEEE Asian Solid-State Circuits Conference (A-SSCC), pp. 1-3, 2024. </w:t>
      </w:r>
      <w:hyperlink r:id="rId58">
        <w:r>
          <w:rPr>
            <w:rFonts w:ascii="Liberation Serif" w:hAnsi="Liberation Serif" w:eastAsia="Noto Serif CJK TC"/>
            <w:sz w:val="24"/>
            <w:color w:val="000000"/>
          </w:rPr>
          <w:t>DOI: 10.1109/a-sscc60305.2024.10849120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[46] Z. Gao, J. Gu, L. Daniel et al., “SPIPE: Differentiable SPICE-Level Co-Simulation Program for Integrated Photonics and Electronics,” IEEE Transactions on Computer-Aided Design of Integrated Circuits and Systems, vol. 45, no. 3, pp. 1487-1498, 2026. </w:t>
      </w:r>
      <w:hyperlink r:id="rId59">
        <w:r>
          <w:rPr>
            <w:rFonts w:ascii="Liberation Serif" w:hAnsi="Liberation Serif" w:eastAsia="Noto Serif CJK TC"/>
            <w:sz w:val="24"/>
            <w:color w:val="000000"/>
          </w:rPr>
          <w:t>DOI: 10.1109/tcad.2025.3597958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[47] Y. Youn, Y. Lim, J. Lee et al., “A PVT Variation- and Attack-Tolerant Metastability-Based TRNG Using Binary Search in 2nm,” 2026 IEEE International Solid-State Circuits Conference (ISSCC), pp. 440-442, 2026. </w:t>
      </w:r>
      <w:hyperlink r:id="rId60">
        <w:r>
          <w:rPr>
            <w:rFonts w:ascii="Liberation Serif" w:hAnsi="Liberation Serif" w:eastAsia="Noto Serif CJK TC"/>
            <w:sz w:val="24"/>
            <w:color w:val="000000"/>
          </w:rPr>
          <w:t>DOI: 10.1109/isscc49663.2026.11409323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[48] J. Lee, J. Lee, Y. Youn et al., “A 1.7 pJ/bit 10 MHz Calibration-Free PVT Variation and Mismatch Tolerant Latch-Based True Random Number Generator in 4 nm FinFET,” 2025 Symposium on VLSI Technology and Circuits (VLSI Technology and Circuits), pp. 1-3, 2025. </w:t>
      </w:r>
      <w:hyperlink r:id="rId61">
        <w:r>
          <w:rPr>
            <w:rFonts w:ascii="Liberation Serif" w:hAnsi="Liberation Serif" w:eastAsia="Noto Serif CJK TC"/>
            <w:sz w:val="24"/>
            <w:color w:val="000000"/>
          </w:rPr>
          <w:t>DOI: 10.23919/vlsitechnologyandcir65189.2025.11075211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[49] K. H. Lo, Y. R. Liang, T. W. Chen et al., “Broadband Optical Engine System Integration by Wafer Level Process in HPC/AI Era,” 2025 IEEE 75th Electronic Components and Technology Conference (ECTC), pp. 1672-1675, 2025. </w:t>
      </w:r>
      <w:hyperlink r:id="rId62">
        <w:r>
          <w:rPr>
            <w:rFonts w:ascii="Liberation Serif" w:hAnsi="Liberation Serif" w:eastAsia="Noto Serif CJK TC"/>
            <w:sz w:val="24"/>
            <w:color w:val="000000"/>
          </w:rPr>
          <w:t>DOI: 10.1109/ectc51687.2025.00284</w:t>
        </w:r>
      </w:hyperlink>
    </w:p>
    <w:p>
      <w:pPr>
        <w:keepLines/>
        <w:spacing w:after="40" w:line="240" w:lineRule="auto"/>
        <w:ind w:left="408" w:hanging="408"/>
      </w:pPr>
      <w:r>
        <w:rPr>
          <w:rFonts w:ascii="Liberation Serif" w:hAnsi="Liberation Serif" w:eastAsia="Noto Serif CJK TC"/>
          <w:color w:val="000000"/>
          <w:sz w:val="24"/>
        </w:rPr>
        <w:t xml:space="preserve">[50] K. Chen, G. Gielen, “A Generalized Constraint Learning and Transfer Methodology with Net-First Graph Neural Network and Selective Topological Search for Hierarchical Analog / Mixed-Signal Circuit Layout Synthesis,” ACM Transactions on Design Automation of Electronic Systems, vol. 31, no. 3, pp. 1-32, 2026. </w:t>
      </w:r>
      <w:hyperlink r:id="rId63">
        <w:r>
          <w:rPr>
            <w:rFonts w:ascii="Liberation Serif" w:hAnsi="Liberation Serif" w:eastAsia="Noto Serif CJK TC"/>
            <w:sz w:val="24"/>
            <w:color w:val="000000"/>
          </w:rPr>
          <w:t>DOI: 10.1145/3722556</w:t>
        </w:r>
      </w:hyperlink>
    </w:p>
    <w:p>
      <w:pPr/>
      <w:r>
        <w:rPr>
          <w:rFonts w:ascii="Liberation Serif" w:hAnsi="Liberation Serif" w:eastAsia="Noto Serif CJK TC"/>
          <w:color w:val="000000"/>
        </w:rPr>
        <w:t>[51] G. Chiari, M. Piccoli, D. Zoni, “OSIRIS: Bridging Analog Circuit Design and Machine Learning with Scalable Dataset Generation,” International Conference on Learning Representations (ICLR), 2026. 正式會議來源: https://proceedings.iclr.cc/paper_files/paper/2026/hash/9c0be694049f5b6fb35ed9ef12da34b0-Abstract-Conference.html</w:t>
      </w:r>
    </w:p>
    <w:p>
      <w:pPr/>
      <w:r>
        <w:rPr>
          <w:rFonts w:ascii="Liberation Serif" w:hAnsi="Liberation Serif" w:eastAsia="Noto Serif CJK TC"/>
          <w:color w:val="000000"/>
        </w:rPr>
        <w:t>[52] P. Xu, Y. Pu, K. Zhu et al., “PAPlace: Performance-Driven Differentiable Analog Placement,” ACM Transactions on Design Automation of Electronic Systems, vol. 31, no. 5, pp. 1-23, 2026. DOI: 10.1145/3799979</w:t>
      </w:r>
    </w:p>
    <w:p>
      <w:pPr/>
      <w:r>
        <w:rPr>
          <w:rFonts w:ascii="Liberation Serif" w:hAnsi="Liberation Serif" w:eastAsia="Noto Serif CJK TC"/>
          <w:color w:val="000000"/>
        </w:rPr>
        <w:t>[53] P. Xu, R. Sun, S. Zheng et al., “DaVinci: Performance-Driven Analog Routing via Multimodality Guidance Prediction,” IEEE Transactions on Computer-Aided Design of Integrated Circuits and Systems, vol. 45, no. 10, pp. 4560-4572, 2026. DOI: 10.1109/tcad.2026.3663518</w:t>
      </w:r>
    </w:p>
    <w:p>
      <w:pPr/>
      <w:r>
        <w:rPr>
          <w:rFonts w:ascii="Liberation Serif" w:hAnsi="Liberation Serif" w:eastAsia="Noto Serif CJK TC"/>
          <w:color w:val="000000"/>
        </w:rPr>
        <w:t>[54] P. Xu, J. Tu, G. Chen et al., “PARoute2: Enhanced Analog Routing via Performance-Drive Guidance Generation,” IEEE Transactions on Computer-Aided Design of Integrated Circuits and Systems, vol. 44, no. 10, pp. 3654-3667, 2025. DOI: 10.1109/tcad.2025.3550445</w:t>
      </w:r>
    </w:p>
    <w:p>
      <w:pPr/>
      <w:r>
        <w:rPr>
          <w:rFonts w:ascii="Liberation Serif" w:hAnsi="Liberation Serif" w:eastAsia="Noto Serif CJK TC"/>
          <w:color w:val="000000"/>
        </w:rPr>
        <w:t>[55] B. Liu, H. Jiang, H. Zhang et al., “GRAIN: A Design-Intent-Driven Analog Layout Migration Framework,” 2026 Design, Automation &amp; Test in Europe Conference (DATE), pp. 1-3, 2026. DOI: 10.23919/date69613.2026.11539204</w:t>
      </w:r>
    </w:p>
    <w:p>
      <w:pPr/>
      <w:r>
        <w:rPr>
          <w:rFonts w:ascii="Liberation Serif" w:hAnsi="Liberation Serif" w:eastAsia="Noto Serif CJK TC"/>
          <w:color w:val="000000"/>
        </w:rPr>
        <w:t>[56] H. Zhou, H. Yang, N. Gangi et al., “LiDAR 3.0: Photonics-Aware Planning-Guided Automated Electrical Routing for Large-Scale Active Photonic Integrated Circuits,” Proceedings of the 2026 International Symposium on Physical Design, pp. 29-37, 2026. DOI: 10.1145/3764386.3779589</w:t>
      </w:r>
    </w:p>
    <w:p>
      <w:pPr/>
      <w:r>
        <w:rPr>
          <w:rFonts w:ascii="Liberation Serif" w:hAnsi="Liberation Serif" w:eastAsia="Noto Serif CJK TC"/>
          <w:color w:val="000000"/>
        </w:rPr>
        <w:t>[57] B. Fu, L. Liu, Q. Wang et al., “Fast Dynamic IR-Drop Prediction with Dual-Path Spatial-Temporal Attention,” 2025 Design, Automation &amp; Test in Europe Conference (DATE), pp. 1-7, 2025. DOI: 10.23919/date64628.2025.10992730</w:t>
      </w:r>
    </w:p>
    <w:p>
      <w:pPr/>
      <w:r>
        <w:rPr>
          <w:rFonts w:ascii="Liberation Serif" w:hAnsi="Liberation Serif" w:eastAsia="Noto Serif CJK TC"/>
          <w:color w:val="000000"/>
        </w:rPr>
        <w:t>[58] Y. Lee, Y. Chen, Y. Cheng et al., “Real-Time Dynamic IR-drop Prediction for IR ECO,” 2025 62nd ACM/IEEE Design Automation Conference (DAC), pp. 1-7, 2025. DOI: 10.1109/dac63849.2025.11133331</w:t>
      </w:r>
    </w:p>
    <w:p>
      <w:pPr/>
      <w:r>
        <w:rPr>
          <w:rFonts w:ascii="Liberation Serif" w:hAnsi="Liberation Serif" w:eastAsia="Noto Serif CJK TC"/>
          <w:color w:val="000000"/>
        </w:rPr>
        <w:t>[59] C. Hsieh, G. Manganaro, S. Liao et al., “24.6 A Power- and Area-Efficient 4nm Self-Calibrated 12b/16GS/s Hierarchical Time-Interleaving ADC,” 2025 IEEE International Solid-State Circuits Conference (ISSCC), pp. 438-440, 2025. DOI: 10.1109/isscc49661.2025.10904740</w:t>
      </w:r>
    </w:p>
    <w:p>
      <w:pPr/>
      <w:r>
        <w:rPr>
          <w:rFonts w:ascii="Liberation Serif" w:hAnsi="Liberation Serif" w:eastAsia="Noto Serif CJK TC"/>
          <w:color w:val="000000"/>
        </w:rPr>
        <w:t>[60] M. Trivedi, S. Sinha, R. Halli et al., “15.2 A 350mV Single-Rail SRAM Using a Custom-Logic-Bitcell in 2nm-CMOS-Nanosheet Technology for Mobile and Edge-AI Applications,” 2026 IEEE International Solid-State Circuits Conference (ISSCC), pp. 256-258, 2026. DOI: 10.1109/isscc49663.2026.11409350</w:t>
      </w:r>
    </w:p>
    <w:p>
      <w:pPr/>
      <w:r>
        <w:rPr>
          <w:rFonts w:ascii="Liberation Serif" w:hAnsi="Liberation Serif" w:eastAsia="Noto Serif CJK TC"/>
          <w:color w:val="000000"/>
        </w:rPr>
        <w:t>[61] D. Saiham, S. Rahman, “Workload-aware co-thermal optimization of photonic placement in co-packaged optics,” Reconfigurable Photonic Computing and Heterogeneous Architectures for AI and RF Defense Systems, pp. 38, 2026. DOI: 10.1117/12.3109594</w:t>
      </w:r>
    </w:p>
    <w:p>
      <w:pPr/>
      <w:r>
        <w:rPr>
          <w:rFonts w:ascii="Liberation Serif" w:hAnsi="Liberation Serif" w:eastAsia="Noto Serif CJK TC"/>
          <w:color w:val="000000"/>
        </w:rPr>
        <w:t>[62] L. K. Biswas, K. Yahyaei, S. Ghosh et al., “AI-Driven Thermal Mapping and Management in 3D Integrated Photonic Circuits,” IMAPSource Proceedings, vol. 2025, no. Symposium, pp. 001-006, 2025. DOI: 10.4071/001c.147090</w:t>
      </w:r>
    </w:p>
    <w:p>
      <w:pPr>
        <w:pStyle w:val="Heading2"/>
        <w:keepNext/>
        <w:spacing w:before="180" w:after="80"/>
      </w:pPr>
      <w:r>
        <w:rPr>
          <w:rFonts w:ascii="Liberation Serif" w:hAnsi="Liberation Serif" w:eastAsia="Noto Serif CJK TC"/>
          <w:b/>
          <w:color w:val="000000"/>
          <w:sz w:val="24"/>
        </w:rPr>
        <w:t>官方資料與計畫來源</w:t>
      </w:r>
    </w:p>
    <w:p>
      <w:pPr>
        <w:widowControl/>
        <w:spacing w:after="80" w:line="240" w:lineRule="auto"/>
        <w:ind w:firstLine="0"/>
      </w:pPr>
      <w:r>
        <w:rPr>
          <w:rFonts w:ascii="Liberation Serif" w:hAnsi="Liberation Serif" w:eastAsia="Noto Serif CJK TC"/>
          <w:b w:val="0"/>
          <w:color w:val="000000"/>
          <w:sz w:val="24"/>
        </w:rPr>
        <w:t>[O1] TSMC, “TSMC Debuts A13 Technology at 2026 North America Technology Symposium,” 2026-04-23. COUPE on substrate 時程以該次公告敘述為準。</w:t>
      </w:r>
      <w:hyperlink r:id="rId64">
        <w:r>
          <w:rPr>
            <w:rFonts w:ascii="Liberation Serif" w:hAnsi="Liberation Serif" w:eastAsia="Noto Serif CJK TC"/>
            <w:sz w:val="24"/>
            <w:color w:val="000000"/>
          </w:rPr>
          <w:t> 官方來源</w:t>
        </w:r>
      </w:hyperlink>
    </w:p>
    <w:p>
      <w:pPr>
        <w:widowControl/>
        <w:spacing w:after="80" w:line="240" w:lineRule="auto"/>
        <w:ind w:firstLine="0"/>
      </w:pPr>
      <w:r>
        <w:rPr>
          <w:rFonts w:ascii="Liberation Serif" w:hAnsi="Liberation Serif" w:eastAsia="Noto Serif CJK TC"/>
          <w:b w:val="0"/>
          <w:color w:val="000000"/>
          <w:sz w:val="24"/>
        </w:rPr>
        <w:t>[O2] Cadence, “Cadence Accelerates SoC, 3D-IC and Chiplet Design for AI Data Centers, Automotive and Connectivity in Collaboration with Samsung Foundry,” 2025-06.</w:t>
      </w:r>
      <w:hyperlink r:id="rId65">
        <w:r>
          <w:rPr>
            <w:rFonts w:ascii="Liberation Serif" w:hAnsi="Liberation Serif" w:eastAsia="Noto Serif CJK TC"/>
            <w:sz w:val="24"/>
            <w:color w:val="000000"/>
          </w:rPr>
          <w:t> 官方來源</w:t>
        </w:r>
      </w:hyperlink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[S1] 實驗室既有規劃：116國科會計畫書 v6 前瞻應用強化版，2026-10-14；v4／v5，2026-10-06。既有網表與 APR 情形依 v6 記錄引用，正式成果以原始網表、版圖、工具日誌及授權文件核對。</w:t>
      </w:r>
    </w:p>
    <w:p>
      <w:pPr>
        <w:widowControl/>
        <w:spacing w:after="80" w:line="240" w:lineRule="auto"/>
        <w:ind w:firstLine="482"/>
      </w:pPr>
      <w:r>
        <w:rPr>
          <w:rFonts w:ascii="Liberation Serif" w:hAnsi="Liberation Serif" w:eastAsia="Noto Serif CJK TC"/>
          <w:b w:val="0"/>
          <w:color w:val="000000"/>
          <w:sz w:val="24"/>
        </w:rPr>
        <w:t>[S2] 使用者提供 07_4nm layout.zip，含 10 篇不同論文 PDF，對應本版 [1]–[10]；與先前個別附件重複之檔案只計一次。</w:t>
      </w:r>
    </w:p>
    <w:p>
      <w:pPr/>
      <w:r>
        <w:rPr>
          <w:rFonts w:ascii="Liberation Serif" w:hAnsi="Liberation Serif" w:eastAsia="Noto Serif CJK TC"/>
          <w:color w:val="000000"/>
        </w:rPr>
        <w:t>[S3] 實驗室研究資料庫，timothy920611/tapeout-review-form，2026-10-21檢視main之bc0d559。e516為研究分類、AI網表及版本來源；網表與審查表未因保存於repo而視為已通過工具驗證。來源：https://github.com/timothy920611/tapeout-review-form</w:t>
      </w:r>
    </w:p>
    <w:p>
      <w:pPr/>
    </w:p>
    <w:sectPr>
      <w:headerReference w:type="default" r:id="rId11"/>
      <w:footerReference w:type="default" r:id="rId12"/>
      <w:pgSz w:w="11906" w:h="16838"/>
      <w:pgMar w:top="1134" w:right="1134" w:bottom="1134" w:left="1134" w:header="340" w:footer="397" w:gutter="0"/>
      <w:cols w:space="720"/>
      <w:docGrid w:linePitch="360"/>
      <w:pgNumType w:start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Noto Serif CJK TC"/>
        <w:color w:val="000000"/>
        <w:sz w:val="18"/>
      </w:rPr>
      <w:t xml:space="preserve">CM01／CM02　共 2 頁　第 </w:t>
    </w:r>
    <w:r>
      <w:rPr>
        <w:rFonts w:ascii="Liberation Serif" w:hAnsi="Liberation Serif" w:eastAsia="Noto Serif CJK TC"/>
        <w:color w:val="000000"/>
        <w:sz w:val="18"/>
      </w:rPr>
    </w:r>
    <w:fldSimple w:instr="PAGE">
      <w:r>
        <w:rPr>
          <w:sz w:val="18"/>
        </w:rPr>
        <w:t>1</w:t>
      </w:r>
    </w:fldSimple>
    <w:r>
      <w:rPr>
        <w:rFonts w:ascii="Liberation Serif" w:hAnsi="Liberation Serif" w:eastAsia="Noto Serif CJK TC"/>
        <w:color w:val="000000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Noto Serif CJK TC"/>
        <w:color w:val="000000"/>
        <w:sz w:val="18"/>
      </w:rPr>
      <w:t xml:space="preserve">表 CM03　共 24 頁　第 </w:t>
    </w:r>
    <w:r>
      <w:rPr>
        <w:rFonts w:ascii="Liberation Serif" w:hAnsi="Liberation Serif" w:eastAsia="Noto Serif CJK TC"/>
        <w:color w:val="000000"/>
        <w:sz w:val="18"/>
      </w:rPr>
    </w:r>
    <w:fldSimple w:instr="PAGE">
      <w:r>
        <w:rPr>
          <w:sz w:val="18"/>
        </w:rPr>
        <w:t>1</w:t>
      </w:r>
    </w:fldSimple>
    <w:r>
      <w:rPr>
        <w:rFonts w:ascii="Liberation Serif" w:hAnsi="Liberation Serif" w:eastAsia="Noto Serif CJK TC"/>
        <w:color w:val="000000"/>
        <w:sz w:val="18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erif" w:hAnsi="Liberation Serif" w:eastAsia="Noto Serif CJK TC"/>
        <w:color w:val="000000"/>
        <w:sz w:val="18"/>
      </w:rPr>
      <w:t xml:space="preserve">行政編列資料　共 2 頁　第 </w:t>
    </w:r>
    <w:r>
      <w:rPr>
        <w:rFonts w:ascii="Liberation Serif" w:hAnsi="Liberation Serif" w:eastAsia="Noto Serif CJK TC"/>
        <w:color w:val="000000"/>
        <w:sz w:val="18"/>
      </w:rPr>
    </w:r>
    <w:fldSimple w:instr="PAGE">
      <w:r>
        <w:rPr>
          <w:sz w:val="18"/>
        </w:rPr>
        <w:t>1</w:t>
      </w:r>
    </w:fldSimple>
    <w:r>
      <w:rPr>
        <w:rFonts w:ascii="Liberation Serif" w:hAnsi="Liberation Serif" w:eastAsia="Noto Serif CJK TC"/>
        <w:color w:val="00000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Liberation Serif" w:hAnsi="Liberation Serif" w:eastAsia="Noto Serif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erif" w:hAnsi="Liberation Serif" w:eastAsia="Noto Serif CJK T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erif" w:hAnsi="Liberation Serif" w:eastAsia="Noto Serif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erif" w:hAnsi="Liberation Serif" w:eastAsia="Noto Serif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erif" w:hAnsi="Liberation Serif" w:eastAsia="Noto Serif CJK TC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 w:eastAsia="Noto Serif CJK T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doi.org/10.1109/iedm19574.2021.9720656" TargetMode="External"/><Relationship Id="rId15" Type="http://schemas.openxmlformats.org/officeDocument/2006/relationships/hyperlink" Target="https://doi.org/10.1145/3566097.3567878" TargetMode="External"/><Relationship Id="rId16" Type="http://schemas.openxmlformats.org/officeDocument/2006/relationships/hyperlink" Target="https://doi.org/10.1109/icsict55466.2022.9963470" TargetMode="External"/><Relationship Id="rId17" Type="http://schemas.openxmlformats.org/officeDocument/2006/relationships/hyperlink" Target="https://doi.org/10.1109/vlsitechnologyandcir46769.2022.9830308" TargetMode="External"/><Relationship Id="rId18" Type="http://schemas.openxmlformats.org/officeDocument/2006/relationships/hyperlink" Target="https://doi.org/10.1109/jssc.2024.3517333" TargetMode="External"/><Relationship Id="rId19" Type="http://schemas.openxmlformats.org/officeDocument/2006/relationships/hyperlink" Target="https://doi.org/10.1109/vlsitechnologyandcir46783.2024.10631314" TargetMode="External"/><Relationship Id="rId20" Type="http://schemas.openxmlformats.org/officeDocument/2006/relationships/hyperlink" Target="https://doi.org/10.1109/vlsitechnologyandcir46783.2024.10631373" TargetMode="External"/><Relationship Id="rId21" Type="http://schemas.openxmlformats.org/officeDocument/2006/relationships/hyperlink" Target="https://doi.org/10.1109/isscc49657.2024.10454351" TargetMode="External"/><Relationship Id="rId22" Type="http://schemas.openxmlformats.org/officeDocument/2006/relationships/hyperlink" Target="https://doi.org/10.1109/jssc.2022.3228632" TargetMode="External"/><Relationship Id="rId23" Type="http://schemas.openxmlformats.org/officeDocument/2006/relationships/hyperlink" Target="https://doi.org/10.1109/mdts54894.2022.9826968" TargetMode="External"/><Relationship Id="rId24" Type="http://schemas.openxmlformats.org/officeDocument/2006/relationships/hyperlink" Target="https://doi.org/10.1109/mdat.2020.3042177" TargetMode="External"/><Relationship Id="rId25" Type="http://schemas.openxmlformats.org/officeDocument/2006/relationships/hyperlink" Target="https://krz.engineer/publications/papers/A_ICCAD2019_Xu.pdf" TargetMode="External"/><Relationship Id="rId26" Type="http://schemas.openxmlformats.org/officeDocument/2006/relationships/hyperlink" Target="https://research.nvidia.com/publication/2020-07_paragraph-layout-parasitics-and-device-parameter-prediction-using-graph-neural" TargetMode="External"/><Relationship Id="rId27" Type="http://schemas.openxmlformats.org/officeDocument/2006/relationships/hyperlink" Target="https://doi.org/10.1109/tcad.2025.3529805" TargetMode="External"/><Relationship Id="rId28" Type="http://schemas.openxmlformats.org/officeDocument/2006/relationships/hyperlink" Target="https://arxiv.org/abs/2603.23910" TargetMode="External"/><Relationship Id="rId29" Type="http://schemas.openxmlformats.org/officeDocument/2006/relationships/hyperlink" Target="https://doi.org/10.1109/mssc.2015.2418155" TargetMode="External"/><Relationship Id="rId30" Type="http://schemas.openxmlformats.org/officeDocument/2006/relationships/hyperlink" Target="https://doi.org/10.1109/isscc49661.2025.10904601" TargetMode="External"/><Relationship Id="rId31" Type="http://schemas.openxmlformats.org/officeDocument/2006/relationships/hyperlink" Target="https://doi.org/10.1109/isscc49661.2025.10904638" TargetMode="External"/><Relationship Id="rId32" Type="http://schemas.openxmlformats.org/officeDocument/2006/relationships/hyperlink" Target="https://doi.org/10.23919/vlsitechnologyandcir65189.2025.11074881" TargetMode="External"/><Relationship Id="rId33" Type="http://schemas.openxmlformats.org/officeDocument/2006/relationships/hyperlink" Target="https://doi.org/10.23919/vlsitechnologyandcir57934.2023.10185300" TargetMode="External"/><Relationship Id="rId34" Type="http://schemas.openxmlformats.org/officeDocument/2006/relationships/hyperlink" Target="https://doi.org/10.1109/jssc.2023.3319637" TargetMode="External"/><Relationship Id="rId35" Type="http://schemas.openxmlformats.org/officeDocument/2006/relationships/hyperlink" Target="https://doi.org/10.1109/vlsitechnologyandcir46783.2024.10631527" TargetMode="External"/><Relationship Id="rId36" Type="http://schemas.openxmlformats.org/officeDocument/2006/relationships/hyperlink" Target="https://doi.org/10.1109/iedm50854.2024.10873475" TargetMode="External"/><Relationship Id="rId37" Type="http://schemas.openxmlformats.org/officeDocument/2006/relationships/hyperlink" Target="https://doi.org/10.1109/isscc49661.2025.10904759" TargetMode="External"/><Relationship Id="rId38" Type="http://schemas.openxmlformats.org/officeDocument/2006/relationships/hyperlink" Target="https://doi.org/10.1109/vlsitechnologyandcir46783.2024.10631449" TargetMode="External"/><Relationship Id="rId39" Type="http://schemas.openxmlformats.org/officeDocument/2006/relationships/hyperlink" Target="https://doi.org/10.23919/vlsitechnologyandcir57934.2023.10185208" TargetMode="External"/><Relationship Id="rId40" Type="http://schemas.openxmlformats.org/officeDocument/2006/relationships/hyperlink" Target="https://doi.org/10.1109/vlsid57277.2023.00033" TargetMode="External"/><Relationship Id="rId41" Type="http://schemas.openxmlformats.org/officeDocument/2006/relationships/hyperlink" Target="https://doi.org/10.1109/tcad.2022.3190234" TargetMode="External"/><Relationship Id="rId42" Type="http://schemas.openxmlformats.org/officeDocument/2006/relationships/hyperlink" Target="https://doi.org/10.1109/tcsi.2024.3391187" TargetMode="External"/><Relationship Id="rId43" Type="http://schemas.openxmlformats.org/officeDocument/2006/relationships/hyperlink" Target="https://doi.org/10.1145/3569052.3571874" TargetMode="External"/><Relationship Id="rId44" Type="http://schemas.openxmlformats.org/officeDocument/2006/relationships/hyperlink" Target="https://doi.org/10.1109/tcsi.2025.3615646" TargetMode="External"/><Relationship Id="rId45" Type="http://schemas.openxmlformats.org/officeDocument/2006/relationships/hyperlink" Target="https://proceedings.iclr.cc/paper_files/paper/2024/hash/464917b6103e074e1f9df7a2bf3bf6ba-Abstract-Conference.html" TargetMode="External"/><Relationship Id="rId46" Type="http://schemas.openxmlformats.org/officeDocument/2006/relationships/hyperlink" Target="https://doi.org/10.1145/3649476.3658711" TargetMode="External"/><Relationship Id="rId47" Type="http://schemas.openxmlformats.org/officeDocument/2006/relationships/hyperlink" Target="https://doi.org/10.1145/3676536.3676648" TargetMode="External"/><Relationship Id="rId48" Type="http://schemas.openxmlformats.org/officeDocument/2006/relationships/hyperlink" Target="https://doi.org/10.1109/ectc51529.2024.00144" TargetMode="External"/><Relationship Id="rId49" Type="http://schemas.openxmlformats.org/officeDocument/2006/relationships/hyperlink" Target="https://doi.org/10.1109/ectc51687.2025.00015" TargetMode="External"/><Relationship Id="rId50" Type="http://schemas.openxmlformats.org/officeDocument/2006/relationships/hyperlink" Target="https://doi.org/10.1109/iedm50854.2024.10873369" TargetMode="External"/><Relationship Id="rId51" Type="http://schemas.openxmlformats.org/officeDocument/2006/relationships/hyperlink" Target="https://doi.org/10.1109/iedm50854.2024.10873589" TargetMode="External"/><Relationship Id="rId52" Type="http://schemas.openxmlformats.org/officeDocument/2006/relationships/hyperlink" Target="https://doi.org/10.1145/3698364.3705355" TargetMode="External"/><Relationship Id="rId53" Type="http://schemas.openxmlformats.org/officeDocument/2006/relationships/hyperlink" Target="https://doi.org/10.1109/iccad66269.2025.11240728" TargetMode="External"/><Relationship Id="rId54" Type="http://schemas.openxmlformats.org/officeDocument/2006/relationships/hyperlink" Target="https://doi.org/10.1117/1.apn.5.3.034001" TargetMode="External"/><Relationship Id="rId55" Type="http://schemas.openxmlformats.org/officeDocument/2006/relationships/hyperlink" Target="https://doi.org/10.1007/s12200-022-00055-y" TargetMode="External"/><Relationship Id="rId56" Type="http://schemas.openxmlformats.org/officeDocument/2006/relationships/hyperlink" Target="https://doi.org/10.1364/ofc.2026.tu2d.3" TargetMode="External"/><Relationship Id="rId57" Type="http://schemas.openxmlformats.org/officeDocument/2006/relationships/hyperlink" Target="https://doi.org/10.1109/isscc49663.2026.11409321" TargetMode="External"/><Relationship Id="rId58" Type="http://schemas.openxmlformats.org/officeDocument/2006/relationships/hyperlink" Target="https://doi.org/10.1109/a-sscc60305.2024.10849120" TargetMode="External"/><Relationship Id="rId59" Type="http://schemas.openxmlformats.org/officeDocument/2006/relationships/hyperlink" Target="https://doi.org/10.1109/tcad.2025.3597958" TargetMode="External"/><Relationship Id="rId60" Type="http://schemas.openxmlformats.org/officeDocument/2006/relationships/hyperlink" Target="https://doi.org/10.1109/isscc49663.2026.11409323" TargetMode="External"/><Relationship Id="rId61" Type="http://schemas.openxmlformats.org/officeDocument/2006/relationships/hyperlink" Target="https://doi.org/10.23919/vlsitechnologyandcir65189.2025.11075211" TargetMode="External"/><Relationship Id="rId62" Type="http://schemas.openxmlformats.org/officeDocument/2006/relationships/hyperlink" Target="https://doi.org/10.1109/ectc51687.2025.00284" TargetMode="External"/><Relationship Id="rId63" Type="http://schemas.openxmlformats.org/officeDocument/2006/relationships/hyperlink" Target="https://doi.org/10.1145/3722556" TargetMode="External"/><Relationship Id="rId64" Type="http://schemas.openxmlformats.org/officeDocument/2006/relationships/hyperlink" Target="https://pr.tsmc.com/english/news/3302" TargetMode="External"/><Relationship Id="rId65" Type="http://schemas.openxmlformats.org/officeDocument/2006/relationships/hyperlink" Target="https://www.cadence.com/en_US/home/company/newsroom/press-releases/pr/2025/cadence-accelerates-soc-3d-ic-and-chiplet-design-for-ai-data.html" TargetMode="External"/><Relationship Id="rId66" Type="http://schemas.openxmlformats.org/officeDocument/2006/relationships/header" Target="header3.xml"/><Relationship Id="rId67" Type="http://schemas.openxmlformats.org/officeDocument/2006/relationships/footer" Target="footer3.xml"/><Relationship Id="rId68" Type="http://schemas.openxmlformats.org/officeDocument/2006/relationships/hyperlink" Target="https://www.nstc.gov.tw/folksonomy/list/49ec3266-51af-4527-be73-fe5e10d0cf13?l=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面向2奈米與矽光子異質整合之4奈米寄生感知AI佈局與閉迴路驗證平台</dc:title>
  <dc:subject>116年度國科會兩年期研究計畫 v7</dc:subject>
  <dc:creator>淡江大學研究團隊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