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國家科學及技術委員會專題研究計畫申請書</w:t>
      </w:r>
    </w:p>
    <w:p>
      <w:pPr>
        <w:pStyle w:val="Heading1"/>
      </w:pPr>
      <w:r>
        <w:t>一 基本資料</w:t>
      </w:r>
    </w:p>
    <w:p>
      <w:pPr>
        <w:jc w:val="both"/>
      </w:pPr>
      <w:r>
        <w:t>4奈米FinFET SAR ADC之局部互連最佳化與寄生感知佈局驗證</w:t>
      </w:r>
    </w:p>
    <w:p>
      <w:pPr>
        <w:jc w:val="both"/>
      </w:pPr>
      <w:r>
        <w:t>Local Interconnect Optimization and Parasitic-Aware Layout Verification for 4 nm FinFET SAR ADCs</w:t>
      </w:r>
    </w:p>
    <w:tbl>
      <w:tblPr>
        <w:tblW w:type="auto" w:w="0"/>
        <w:jc w:val="center"/>
        <w:tblLayout w:type="fixed"/>
        <w:tblLook w:firstColumn="1" w:firstRow="1" w:lastColumn="0" w:lastRow="0" w:noHBand="0" w:noVBand="1" w:val="04A0"/>
      </w:tblPr>
      <w:tblGrid>
        <w:gridCol w:w="2324"/>
        <w:gridCol w:w="7313"/>
      </w:tblGrid>
      <w:tr>
        <w:trPr>
          <w:cantSplit/>
          <w:tblHeader/>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項目</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內容</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申請年度</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民國116年度</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計畫類別與型別</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一般研究計畫　個別型　一年期</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計畫歸屬</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工程技術研究發展處</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申請機構與系所</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淡江大學電機工程學系</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計畫主持人</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【待填教授姓名與職稱】</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共同主持人</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【由主持人確認是否設置】</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全程執行期限</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12個月　起訖日期【待依116年度徵求公告填列】</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研究學門</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建議微電子工程　細分學門及代碼【待確認】</w:t>
            </w:r>
          </w:p>
        </w:tc>
      </w:tr>
      <w:tr>
        <w:trPr>
          <w:cantSplit/>
        </w:trPr>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研究對象</w:t>
            </w:r>
          </w:p>
        </w:tc>
        <w:tc>
          <w:tcPr>
            <w:tcW w:type="dxa" w:w="7313"/>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4 nm FinFET SAR ADC；元件匹配、局部互連、巨集佈局與後佈局驗證</w:t>
            </w:r>
          </w:p>
        </w:tc>
      </w:tr>
    </w:tbl>
    <w:p>
      <w:pPr>
        <w:spacing w:after="0"/>
      </w:pPr>
    </w:p>
    <w:p>
      <w:pPr>
        <w:pStyle w:val="Heading2"/>
      </w:pPr>
      <w:r>
        <w:t>研究目的</w:t>
      </w:r>
    </w:p>
    <w:p>
      <w:pPr>
        <w:jc w:val="both"/>
      </w:pPr>
      <w:r>
        <w:t>本計畫以4奈米FinFET SAR ADC為核心，研究元件匹配與dummy配置、接點與局部互連、敏感網路配線及巨集佈局，建立合法基本單元變體與寄生回饋流程。另研究保留完整寄生RC的選擇性抽取（Selective Extraction, SE），量測佈局技巧的電路效益，以及快速驗證的誤差與時間。</w:t>
      </w:r>
    </w:p>
    <w:p>
      <w:pPr>
        <w:jc w:val="both"/>
      </w:pPr>
      <w:r>
        <w:t>研究承接本地AI平台與130 nm放置原型，新增4 nm製程介面、局部佈局實驗及完整抽取對照。第2月確認4 nm PDK、元件模型、電容、驗證runset及SE可實作範圍。兩篇新增論文分別提供局部互連與SE的研究依據；CFET的45°圖形與面積數字不直接移用為4 nm FinFET成果。</w:t>
      </w:r>
    </w:p>
    <w:p>
      <w:pPr>
        <w:sectPr>
          <w:footerReference w:type="default" r:id="rId9"/>
          <w:pgSz w:w="11906" w:h="16838"/>
          <w:pgMar w:top="1134" w:right="1134" w:bottom="1134" w:left="1134" w:header="340" w:footer="454" w:gutter="0"/>
          <w:cols w:space="720"/>
          <w:docGrid w:linePitch="360"/>
          <w:pgNumType w:start="1"/>
        </w:sectPr>
      </w:pPr>
    </w:p>
    <w:p>
      <w:pPr>
        <w:pStyle w:val="Heading1"/>
      </w:pPr>
      <w:r>
        <w:t>二 研究計畫中英文摘要</w:t>
      </w:r>
    </w:p>
    <w:p>
      <w:pPr>
        <w:pStyle w:val="Heading2"/>
      </w:pPr>
      <w:r>
        <w:t>計畫中文摘要</w:t>
      </w:r>
    </w:p>
    <w:p>
      <w:pPr>
        <w:jc w:val="both"/>
      </w:pPr>
      <w:r>
        <w:t>本計畫以4奈米FinFET SAR ADC為研究核心，建立元件匹配、局部互連與巨集佈局協同最佳化及快速後佈局驗證方法。承接既有AI平台與130 nm放置原型，針對整數鰭數、合法朝向、dummy與鄰接環境、接點及過孔配置、pin出口、差動配線與VREF恢復，建立可驗證的基本單元變體及結構化約束。參考CFET局部互連研究，將幾何重疊與端點間距轉為4 nm PDK允許的設計裕度指標，不直接沿用其45°圖形或面積效益。參考4 nm LVS選擇性抽取方法，在保留完整寄生RC與必要主動元件下，研究SAR ADC子電路的快速篩選及誤差邊界。以完整DRC、LVS、PEX與電路模擬作最終驗收，結合粗至細搜尋、寄生預測及ECO回饋。實驗分別量測局部佈局技巧、SE準確度與時間、完整ADC閉迴路效益，採相同電路規格、配對種子、保留案例與PVT條件比較。預期產出4 nm基本單元變體、最佳化原型、抽取驗證資料及可重現報告；4 nm驗證以取得授權PDK及工具為必要條件。</w:t>
      </w:r>
    </w:p>
    <w:p>
      <w:pPr>
        <w:jc w:val="both"/>
      </w:pPr>
      <w:r>
        <w:t>中文關鍵詞　4奈米FinFET　SAR ADC　局部互連　元件匹配　選擇性抽取　寄生感知佈局</w:t>
      </w:r>
    </w:p>
    <w:p>
      <w:pPr>
        <w:pStyle w:val="Heading2"/>
      </w:pPr>
      <w:r>
        <w:t>計畫概述</w:t>
      </w:r>
    </w:p>
    <w:p>
      <w:pPr>
        <w:jc w:val="both"/>
      </w:pPr>
      <w:r>
        <w:t>本計畫研究4奈米FinFET SAR ADC的元件匹配、局部互連與巨集佈局，並以完整寄生抽取檢驗快速模擬的準確度。研究將建立可追溯的佈局變體、製程約束、寄生與電路效能資料，分析各項layout技巧對參考恢復、比較器判定及轉換效能的影響，降低反覆設計與驗證成本，培育先進製程類比電路、實體設計與EDA整合人才。</w:t>
      </w:r>
    </w:p>
    <w:p>
      <w:pPr>
        <w:jc w:val="both"/>
      </w:pPr>
      <w:r>
        <w:t>本計畫公開概述以研究目的及方法為限，製程規則、受授權網表與版圖資料依各資料來源之使用條件管理。</w:t>
      </w:r>
    </w:p>
    <w:p>
      <w:pPr>
        <w:pStyle w:val="Heading1"/>
        <w:pageBreakBefore/>
      </w:pPr>
      <w:r>
        <w:t>計畫英文摘要</w:t>
      </w:r>
    </w:p>
    <w:p>
      <w:pPr>
        <w:jc w:val="both"/>
      </w:pPr>
      <w:r>
        <w:t>This project investigates local interconnect optimization and parasitic-aware layout verification for SAR ADCs in an authorized 4 nm FinFET process. Building on the laboratory's local AI framework and preliminary 130 nm placement work, the study will connect transistor matching, process-legal local interconnects, macro placement, and circuit performance.</w:t>
      </w:r>
    </w:p>
    <w:p>
      <w:pPr>
        <w:jc w:val="both"/>
      </w:pPr>
      <w:r>
        <w:t>A library of electrically equivalent layout variants will encode integer fin counts, legal orientations, dummy devices, neighboring environments, contact and via configurations, pin access, and differential routing. The CFET MEOL study motivates geometric connectivity and clearance analysis, while its 45-degree patterns, lithography process windows, and area figures will not be treated as established benefits in 4 nm FinFET. Only parameters exposed and permitted by the target PDK will be optimized. Device topology and sizing will remain fixed within each controlled experiment.</w:t>
      </w:r>
    </w:p>
    <w:p>
      <w:pPr>
        <w:jc w:val="both"/>
      </w:pPr>
      <w:r>
        <w:t>The project will also investigate selective extraction inspired by the supplied 4 nm LVS methodology. Necessary active devices and the complete routing parasitic RC network will be retained, including relevant passive components and supply paths. A separate experimental extraction configuration will be compared with the unchanged full LVS and PEX flow. Because the published evidence concerns ESD circuits, application to SAR ADCs will be tested rather than assumed. Accuracy gates and fallback to full extraction will govern candidate screening; final acceptance will require complete post-layout verification.</w:t>
      </w:r>
    </w:p>
    <w:p>
      <w:pPr>
        <w:jc w:val="both"/>
      </w:pPr>
      <w:r>
        <w:t>Experiments will isolate three questions: which local layout techniques improve sensitive-node parasitics and circuit behavior; when selective extraction reduces runtime within predefined error limits; and whether layout-variant selection plus parasitic feedback improves full ADC placement under matched budgets. Evaluation will cover differential RC mismatch, reference settling, comparator behavior, SNDR, SFDR, INL/DNL, specification pass rates, and end-to-end cost. Held-out variants, paired seeds, and PVT checks will support reproducibility. Deliverables include a 4 nm layout-variant library, constraint interfaces, a closed-loop prototype, and verification records. Availability of an authorized 4 nm PDK and compatible tools is required for process-specific validation.</w:t>
      </w:r>
    </w:p>
    <w:p>
      <w:pPr>
        <w:jc w:val="both"/>
      </w:pPr>
      <w:r>
        <w:t>Keywords: 4 nm FinFET; SAR ADC; local interconnect; matching; selective extraction; parasitic-aware layout.</w:t>
      </w:r>
    </w:p>
    <w:p>
      <w:pPr>
        <w:sectPr>
          <w:footerReference w:type="default" r:id="rId10"/>
          <w:pgSz w:w="11906" w:h="16838"/>
          <w:pgMar w:top="1134" w:right="1134" w:bottom="1134" w:left="1134" w:header="340" w:footer="454" w:gutter="0"/>
          <w:cols w:space="720"/>
          <w:docGrid w:linePitch="360"/>
          <w:pgNumType w:start="1"/>
          <w:pgNumType w:start="1"/>
        </w:sectPr>
      </w:pPr>
    </w:p>
    <w:p>
      <w:pPr>
        <w:pStyle w:val="Heading1"/>
      </w:pPr>
      <w:r>
        <w:t>三 研究計畫內容</w:t>
      </w:r>
    </w:p>
    <w:p>
      <w:pPr>
        <w:pStyle w:val="Heading1"/>
      </w:pPr>
      <w:r>
        <w:t>一 研究計畫之背景</w:t>
      </w:r>
    </w:p>
    <w:p>
      <w:pPr>
        <w:pStyle w:val="Heading2"/>
      </w:pPr>
      <w:r>
        <w:t>1 研究問題與重要性</w:t>
      </w:r>
    </w:p>
    <w:p>
      <w:pPr>
        <w:jc w:val="both"/>
      </w:pPr>
      <w:r>
        <w:t>4奈米FinFET SAR ADC的佈局需同時處理整數鰭數、限制性設計規則、匹配環境、接點與過孔、局部互連及類比／數位耦合。FinFET寬度不能沿用平面MOS的連續調整假設[13]；基本單元的寄生與LDE也會影響匹配[5]。因此，本研究從元件到局部互連再到巨集放置，分析CDAC穩定、比較器判定與VREF恢復；HPWL僅是搜尋代理值。</w:t>
      </w:r>
    </w:p>
    <w:p>
      <w:pPr>
        <w:jc w:val="both"/>
      </w:pPr>
      <w:r>
        <w:t>當佈局評估只在繞線與 PEX 完成後進行，設計人員需反覆判讀寄生網表、定位敏感節點、調整區塊位置並重新驗證。此流程使佈局決策與電路性能之間的關係不易累積為可重用資料，也增加工具執行及工程師介入成本。本計畫將以實際驗證標籤回饋候選佈局，研究快速模型與精確驗證之間的合理分工。</w:t>
      </w:r>
    </w:p>
    <w:p>
      <w:pPr>
        <w:pStyle w:val="Heading2"/>
      </w:pPr>
      <w:r>
        <w:t>2 研究目標與可檢驗假設</w:t>
      </w:r>
    </w:p>
    <w:p>
      <w:pPr>
        <w:jc w:val="both"/>
      </w:pPr>
      <w:r>
        <w:t>目標一：建立4 nm電氣等效且製程合法的基本單元變體，量測匹配、接點與局部配線技巧。目標二：研究保留完整寄生RC的SE，建立必要元件集合與誤差門檻。目標三：將局部變體選擇與巨集放置連接，透過實際PEX與效能回饋進行ECO。主案例規劃12-bit SAR ADC；取樣率、VDD、滿刻度及功耗／面積上限於M2依4 nm基準凍結。</w:t>
      </w:r>
    </w:p>
    <w:p>
      <w:pPr>
        <w:jc w:val="both"/>
      </w:pPr>
      <w:r>
        <w:t>H1：固定拓樸及總鰭數時，匹配環境、接點與pin出口協同調整，可降低關鍵差動RC不匹配或穩定時間。H2：在功能依賴與負載閉合成立的子電路，SE可於預定誤差內縮短模擬時間。H3：在相同規格與預算下，局部變體與寄生回饋可提高完整ADC的SNDR或規格達成率。H4：不確定性選樣可降低誤排序與完整驗證成本。各假設由獨立對照檢驗，未成立時報告原因與適用範圍。</w:t>
      </w:r>
    </w:p>
    <w:p>
      <w:pPr>
        <w:pStyle w:val="Heading2"/>
      </w:pPr>
      <w:r>
        <w:t>3 研究範圍</w:t>
      </w:r>
    </w:p>
    <w:p>
      <w:pPr>
        <w:jc w:val="both"/>
      </w:pPr>
      <w:r>
        <w:t>本年度聚焦一個具授權的4 nm FinFET節點。先完成電路基準與局部變體驗證，再分為L0固定巨集內部的放置比較、L1選擇已驗證且電氣等效變體的協同最佳化；兩者分開報告。不得改變電路尺寸或放寬規格取得改善。CFET僅為文獻啟發，不實作堆疊CFET或自行改製程遮罩；130 nm只作工具測試，本案以模擬驗證為主。</w:t>
      </w:r>
    </w:p>
    <w:p>
      <w:pPr>
        <w:pStyle w:val="Heading1"/>
        <w:pageBreakBefore/>
      </w:pPr>
      <w:r>
        <w:t>4 既有研究基礎與上年度銜接</w:t>
      </w:r>
    </w:p>
    <w:p>
      <w:pPr>
        <w:jc w:val="both"/>
      </w:pPr>
      <w:r>
        <w:t>實驗室提供之平台簡報記載網表檢索（TKU1）、佈局建議（TKU2）及下線審查（TKU3）三套模組，採語意 AI 與確定性工具雙軌架構，並以 Docker、n8n、Ollama、PostgreSQL、LightRAG 及 KLayout 支援本地部署與結果留存[7]。這些模組提供本計畫所需的資料整理、建議生成及驗證紀錄基礎。</w:t>
      </w:r>
    </w:p>
    <w:tbl>
      <w:tblPr>
        <w:tblW w:type="auto" w:w="0"/>
        <w:jc w:val="center"/>
        <w:tblLayout w:type="fixed"/>
        <w:tblLook w:firstColumn="1" w:firstRow="1" w:lastColumn="0" w:lastRow="0" w:noHBand="0" w:noVBand="1" w:val="04A0"/>
      </w:tblPr>
      <w:tblGrid>
        <w:gridCol w:w="1928"/>
        <w:gridCol w:w="3005"/>
        <w:gridCol w:w="4706"/>
      </w:tblGrid>
      <w:tr>
        <w:trPr>
          <w:cantSplit/>
          <w:tblHeader/>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既有工作</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簡報記載的結果</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本年度銜接與界線</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網表檢索與建議</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1,042份網表流程；A1至A3約6分鐘／份</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重用解析與分群；文字建議需轉為可執行約束</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領域模型</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3,383筆SFT資料；73題保留測試</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用於設計意圖辨識；問答分數不代表版圖效能</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下線審查</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29案例加權偵測率52.8%</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強化SAR ADC知識與證據鏈；不以AI判定取代驗證</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巨集放置初步結果</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130 nm、12-bit、11個macro；SA成本1.000至0.989</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承接搜尋原型；移植FinFET介面與驗證</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幾何規則檢查</w:t>
            </w:r>
          </w:p>
        </w:tc>
        <w:tc>
          <w:tcPr>
            <w:tcW w:type="dxa" w:w="300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ASAP7三個cell正常版與注入違規版檢查</w:t>
            </w:r>
          </w:p>
        </w:tc>
        <w:tc>
          <w:tcPr>
            <w:tcW w:type="dxa" w:w="470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重用檢查介面；不等同4 nm製程驗證</w:t>
            </w:r>
          </w:p>
        </w:tc>
      </w:tr>
    </w:tbl>
    <w:p>
      <w:pPr>
        <w:spacing w:after="0"/>
      </w:pPr>
    </w:p>
    <w:p>
      <w:pPr>
        <w:jc w:val="both"/>
      </w:pPr>
      <w:r>
        <w:t>既有130 nm初步結果以功能列順序、鏡像對及對稱軸作為固定約束，調整區塊間距與位置。簡報記載佈局尺寸157.7 × 242.3 μm，尚未完成區塊間繞線、差動寄生匹配與 VREF 對稱配線[7]。約1.1%的正規化成本改善僅為該次搜尋的結果，不能推論為 SNDR 或 ENOB 改善。</w:t>
      </w:r>
    </w:p>
    <w:p>
      <w:pPr>
        <w:jc w:val="both"/>
      </w:pPr>
      <w:r>
        <w:t>本年度承接平台與放置原型，研究推進至FinFET約束、元件與電容巨集介面、寄生標籤及效能回饋。簡報第29至30頁明列4 nm FinFET PDK、fin量化元件、MOM電容與LDE對稱等缺口[7]。既有網表與SFT題庫不視為FinFET PEX或ADC效能訓練標籤。</w:t>
      </w:r>
    </w:p>
    <w:p>
      <w:pPr>
        <w:jc w:val="both"/>
      </w:pPr>
      <w:r>
        <w:t>既有數據來源為實驗室提供之簡報。該檔首頁標示2026年10月30日，數據納入正式連續性計畫前，應由主持人以原始日誌確認實際完成時間、樣本範圍與計畫歸屬。</w:t>
      </w:r>
    </w:p>
    <w:p>
      <w:pPr>
        <w:pStyle w:val="Heading1"/>
        <w:pageBreakBefore/>
      </w:pPr>
      <w:r>
        <w:t>5 國內外研究情況與重要文獻評述</w:t>
      </w:r>
    </w:p>
    <w:p>
      <w:pPr>
        <w:jc w:val="both"/>
      </w:pPr>
      <w:r>
        <w:t>ALIGN的階層式網表與約束介面[2]及RALF的SKY130／Magic、SA／RL放置流程[1,3]，提供本案工具與搜尋基礎。既有SA結果仍需移植4 nm參數與規則，不能由流程名稱推定FinFET能力。</w:t>
      </w:r>
    </w:p>
    <w:p>
      <w:pPr>
        <w:jc w:val="both"/>
      </w:pPr>
      <w:r>
        <w:t>C2FPlace以族群演化及關鍵巨集細調評估數位HPWL與PPA[4]；本案採其粗至細機制，但重新定義SAR ADC敏感網路及驗收指標。FinFET基本單元研究則將寄生與LDE納入內部及外部配線最佳化[5]，支持本案由局部變體連結巨集放置。</w:t>
      </w:r>
    </w:p>
    <w:p>
      <w:pPr>
        <w:jc w:val="both"/>
      </w:pPr>
      <w:r>
        <w:t>Li等人[14]研究的是假設性3 nm CFET SRAM及EUV圖形。45°與方正局部互連涉及5／6個fin pitch、3／4個mask及接點重疊的取捨；所述面積0.0115／0.0138 μm²不能視為4 nm FinFET ADC結果。本案只轉譯其互連連接、端點間距及裕度觀念，實際圖形、pitch與允許朝向均依4 nm PDK。</w:t>
      </w:r>
    </w:p>
    <w:p>
      <w:pPr>
        <w:jc w:val="both"/>
      </w:pPr>
      <w:r>
        <w:t>Lee等人[15]在4 nm FinFET ESD採LVS選擇性保留元件，未選區域保留非FET與完整寄生RC，再做正常PEX。表III兩案例由16.18降至0.67小時、2.14降至0.27小時，Vgs相對差異為1.4%及0.4%。這是ESD情境的證據，並非ADC的SNDR或INL精度；本案需驗證類比負載、切換與回授保留條件。</w:t>
      </w:r>
    </w:p>
    <w:p>
      <w:pPr>
        <w:pStyle w:val="Heading2"/>
      </w:pPr>
      <w:r>
        <w:t>6 原創性與預期影響</w:t>
      </w:r>
    </w:p>
    <w:p>
      <w:pPr>
        <w:jc w:val="both"/>
      </w:pPr>
      <w:r>
        <w:t>研究原創性在於：以4 nm合法基本單元變體連接匹配環境與局部互連；建立SAR ADC的SE必要元件集合及誤差判定；以完整抽取標籤校正AI輔助的局部與巨集協同搜尋。新增研究的適用性與增益由對照及消融判斷，不將既有文獻方法本身宣稱為本案原創。</w:t>
      </w:r>
    </w:p>
    <w:p>
      <w:pPr>
        <w:jc w:val="both"/>
      </w:pPr>
      <w:r>
        <w:t>預期建立幾何決策、寄生變化與轉換效能之間的可重現證據，並量測快速驗證的成本與失敗邊界。AI角色負責意圖與紀錄，數值與EDA結果負責判定；研究保留負結果，避免只報告成功案例。</w:t>
      </w:r>
    </w:p>
    <w:p>
      <w:pPr>
        <w:pStyle w:val="Heading1"/>
        <w:pageBreakBefore/>
      </w:pPr>
      <w:r>
        <w:t>二 研究方法 進行步驟及執行進度</w:t>
      </w:r>
    </w:p>
    <w:p>
      <w:pPr>
        <w:pStyle w:val="Heading2"/>
      </w:pPr>
      <w:r>
        <w:t>1 整體研究架構</w:t>
      </w:r>
    </w:p>
    <w:p>
      <w:pPr>
        <w:jc w:val="both"/>
      </w:pPr>
      <w:r>
        <w:t>流程先建立4 nm合法基本單元變體，再由快速RC模型排序、合格SE篩選及完整抽取驗收三層評估。快速層使用variant_id、pin與局部環境特徵；SE層保留完整寄生RC並核對誤差；完整層採未修改之DRC／LVS、PEX及電路模擬。只有完整層的結果列為ADC最終合格證據，回饋下一輪ECO。</w:t>
      </w:r>
    </w:p>
    <w:p>
      <w:pPr>
        <w:spacing w:line="240" w:lineRule="auto" w:after="80"/>
      </w:pPr>
      <w:r>
        <w:drawing>
          <wp:inline xmlns:a="http://schemas.openxmlformats.org/drawingml/2006/main" xmlns:pic="http://schemas.openxmlformats.org/drawingml/2006/picture">
            <wp:extent cx="6120000" cy="3235057"/>
            <wp:docPr id="1" name="Picture 1"/>
            <wp:cNvGraphicFramePr>
              <a:graphicFrameLocks noChangeAspect="1"/>
            </wp:cNvGraphicFramePr>
            <a:graphic>
              <a:graphicData uri="http://schemas.openxmlformats.org/drawingml/2006/picture">
                <pic:pic>
                  <pic:nvPicPr>
                    <pic:cNvPr id="0" name="closed_loop_4nm.png"/>
                    <pic:cNvPicPr/>
                  </pic:nvPicPr>
                  <pic:blipFill>
                    <a:blip r:embed="rId12"/>
                    <a:stretch>
                      <a:fillRect/>
                    </a:stretch>
                  </pic:blipFill>
                  <pic:spPr>
                    <a:xfrm>
                      <a:off x="0" y="0"/>
                      <a:ext cx="6120000" cy="3235057"/>
                    </a:xfrm>
                    <a:prstGeom prst="rect"/>
                  </pic:spPr>
                </pic:pic>
              </a:graphicData>
            </a:graphic>
          </wp:inline>
        </w:drawing>
      </w:r>
    </w:p>
    <w:p>
      <w:pPr>
        <w:pStyle w:val="Caption"/>
      </w:pPr>
      <w:r>
        <w:t>圖1 4 nm局部變體、合格SE篩選與完整寄生驗收的研究流程</w:t>
      </w:r>
    </w:p>
    <w:tbl>
      <w:tblPr>
        <w:tblW w:type="auto" w:w="0"/>
        <w:jc w:val="center"/>
        <w:tblLayout w:type="fixed"/>
        <w:tblLook w:firstColumn="1" w:firstRow="1" w:lastColumn="0" w:lastRow="0" w:noHBand="0" w:noVBand="1" w:val="04A0"/>
      </w:tblPr>
      <w:tblGrid>
        <w:gridCol w:w="1928"/>
        <w:gridCol w:w="3969"/>
        <w:gridCol w:w="3742"/>
      </w:tblGrid>
      <w:tr>
        <w:trPr>
          <w:cantSplit/>
          <w:tblHeader/>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功能模組</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主要工作</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判定依據</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Placement</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選擇合法局部變體並生成巨集候選</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variant_id、座標與硬性約束</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Parasitic／SE</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RC預測、選擇性抽取與誤差檢查</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局部變體、必要元件與完整RC</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PEX與驗證</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執行工具並解析驗證結果</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工具退出狀態、規則報告及抽取網表</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Performance Judge</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統計效能與規格達成狀態</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實際模擬數值、門檻與可信區間</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ECO</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提出可回復修改與更新版本</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失敗原因、敏感網路及變更紀錄</w:t>
            </w:r>
          </w:p>
        </w:tc>
      </w:tr>
    </w:tbl>
    <w:p>
      <w:pPr>
        <w:spacing w:after="0"/>
      </w:pPr>
    </w:p>
    <w:p>
      <w:pPr>
        <w:jc w:val="both"/>
      </w:pPr>
      <w:r>
        <w:t>語言模型負責理解設計意圖、查詢知識及解釋修改理由；數值模型負責預測；規則引擎與 EDA 工具負責幾何、連通及效能驗收。工具逾時、缺模型或資料解析失敗需回傳未完成狀態，不以補齊文字報告視為通過。</w:t>
      </w:r>
    </w:p>
    <w:p>
      <w:pPr>
        <w:pStyle w:val="Heading1"/>
        <w:pageBreakBefore/>
      </w:pPr>
      <w:r>
        <w:t>2 工作項目一 4 nm介面與佈局約束</w:t>
      </w:r>
    </w:p>
    <w:p>
      <w:pPr>
        <w:jc w:val="both"/>
      </w:pPr>
      <w:r>
        <w:t>解析FinFET階層式SPICE網表，保留模型、元件型別、端點與原始階層路徑。以PDK對照表解讀鰭數、finger及倍乘參數，核對原網表與LVS定義，不以平面MOS寬度替代。以拓樸辨識及設計師標註確認CDAC、取樣、比較器與控制；巨集拆分前後比對inter-block nets，避免功能改變。</w:t>
      </w:r>
    </w:p>
    <w:p>
      <w:pPr>
        <w:jc w:val="both"/>
      </w:pPr>
      <w:r>
        <w:t>巨集介面包含FinFET鰭數與拓樸、合法朝向、pin、電源域、halo、dummy及邊界環境。MOM或其他PDK支持電容另記層疊、方向與匹配條件。AI建議轉為JSON時，附target_id、單位、容許值、來源與核准狀態；未知元件、非法旋轉與鰭數衝突由程式拒絕。未核准建議不得改寫版圖。</w:t>
      </w:r>
    </w:p>
    <w:tbl>
      <w:tblPr>
        <w:tblW w:type="auto" w:w="0"/>
        <w:jc w:val="center"/>
        <w:tblLayout w:type="fixed"/>
        <w:tblLook w:firstColumn="1" w:firstRow="1" w:lastColumn="0" w:lastRow="0" w:noHBand="0" w:noVBand="1" w:val="04A0"/>
      </w:tblPr>
      <w:tblGrid>
        <w:gridCol w:w="1814"/>
        <w:gridCol w:w="4082"/>
        <w:gridCol w:w="3742"/>
      </w:tblGrid>
      <w:tr>
        <w:trPr>
          <w:cantSplit/>
          <w:tblHeader/>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約束項目</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層級與執行方式</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檢查方式</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鰭數與模型參數</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保持移植後電路之整數鰭數與拓樸</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PDK參數映射及LVS屬性比對</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非重疊及邊界</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巨集硬限制；halo與合法朝向</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PDK網格、方向與邊界檢查</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匹配環境與LDE</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保留dummy、鄰接及邊界條件</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PDK規則；有模型時抽取模擬</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差動對稱</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成對移動、共用對稱軸</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座標及鏡像pin對照</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CDAC內部匹配</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MOM等電容單元與dummy一致</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方向、層疊、拓樸及內部LVS</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類比隔離</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數位keep-out及分離電源域</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距離與連接檢查；再作耦合驗證</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敏感連線</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CDAC至比較器及VREF優先路由</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差動R／C及耦合不匹配</w:t>
            </w:r>
          </w:p>
        </w:tc>
      </w:tr>
      <w:tr>
        <w:trPr>
          <w:cantSplit/>
        </w:trPr>
        <w:tc>
          <w:tcPr>
            <w:tcW w:type="dxa" w:w="181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數位控制時序</w:t>
            </w:r>
          </w:p>
        </w:tc>
        <w:tc>
          <w:tcPr>
            <w:tcW w:type="dxa" w:w="408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固定規格與轉換相位</w:t>
            </w:r>
          </w:p>
        </w:tc>
        <w:tc>
          <w:tcPr>
            <w:tcW w:type="dxa" w:w="374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邏輯延遲與類比穩定視窗</w:t>
            </w:r>
          </w:p>
        </w:tc>
      </w:tr>
    </w:tbl>
    <w:p>
      <w:pPr>
        <w:spacing w:after="0"/>
      </w:pPr>
    </w:p>
    <w:p>
      <w:pPr>
        <w:jc w:val="both"/>
      </w:pPr>
      <w:r>
        <w:t>鰭數、合法朝向、匹配群組與電源域採硬限制；寄生、參考擾動與面積採成本或規格限制。鏡像僅在PDK允許且環境等效時使用；FinFET幾何對稱不能自動視為電性匹配。版本化巨集固定後，以成對移動與離散網格搜尋維持條件。</w:t>
      </w:r>
    </w:p>
    <w:p>
      <w:pPr>
        <w:jc w:val="both"/>
      </w:pPr>
      <w:r>
        <w:t>階段驗收為FinFET約束schema、參數與巨集對照、衝突報告及人工修正介面。PDK具可用模型與電容時，確認三類子電路及完整ADC；未確認之功能保留原階層並由設計師標註。LDE缺模型時僅驗證規則與環境，明列效能分析限制。</w:t>
      </w:r>
    </w:p>
    <w:p>
      <w:pPr>
        <w:pStyle w:val="Heading1"/>
        <w:pageBreakBefore/>
      </w:pPr>
      <w:r>
        <w:t>2.1 元件匹配與基本單元變體</w:t>
      </w:r>
    </w:p>
    <w:p>
      <w:pPr>
        <w:jc w:val="both"/>
      </w:pPr>
      <w:r>
        <w:t>本工作包以4 nm PDK允許的PCell、元件與電容建立基本單元（primitive）變體。將製程固定的gate／source／drain與MEOL結構，和設計者可調的接點、pin、局部金屬及過孔分開；固定結構只抽取建模。候選需維持相同電路拓樸、元件模型、總鰭數、finger／multiplicity、電容值與偏壓，逐一確認完整DRC與LVS。</w:t>
      </w:r>
    </w:p>
    <w:tbl>
      <w:tblPr>
        <w:tblW w:type="auto" w:w="0"/>
        <w:jc w:val="center"/>
        <w:tblLayout w:type="fixed"/>
        <w:tblLook w:firstColumn="1" w:firstRow="1" w:lastColumn="0" w:lastRow="0" w:noHBand="0" w:noVBand="1" w:val="04A0"/>
      </w:tblPr>
      <w:tblGrid>
        <w:gridCol w:w="1871"/>
        <w:gridCol w:w="4535"/>
        <w:gridCol w:w="3231"/>
      </w:tblGrid>
      <w:tr>
        <w:trPr>
          <w:cantSplit/>
          <w:tblHeader/>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單元族</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研究技巧與允許變因</w:t>
            </w:r>
          </w:p>
        </w:tc>
        <w:tc>
          <w:tcPr>
            <w:tcW w:type="dxa" w:w="323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電路量測</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比較器輸入與再生對</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對稱／交錯排列、共同質心適用性、dummy、鄰接及pin出口</w:t>
            </w:r>
          </w:p>
        </w:tc>
        <w:tc>
          <w:tcPr>
            <w:tcW w:type="dxa" w:w="323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輸入等效偏移、判定時間、kickback、差動RC</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取樣開關與差動介面</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固定鰭數的合法排列、接點與過孔、等長同層路徑、控制線隔離</w:t>
            </w:r>
          </w:p>
        </w:tc>
        <w:tc>
          <w:tcPr>
            <w:tcW w:type="dxa" w:w="323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導通路徑R、取樣穩定、輸入負載與時脈注入</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MOM電容與CDAC端點</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單元方向、分群與dummy、共用幹線、對稱pin及過孔</w:t>
            </w:r>
          </w:p>
        </w:tc>
        <w:tc>
          <w:tcPr>
            <w:tcW w:type="dxa" w:w="323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頂板負載與耦合、差動C、位元切換穩定</w:t>
            </w:r>
          </w:p>
        </w:tc>
      </w:tr>
    </w:tbl>
    <w:p>
      <w:pPr>
        <w:spacing w:after="0"/>
      </w:pPr>
    </w:p>
    <w:p>
      <w:pPr>
        <w:jc w:val="both"/>
      </w:pPr>
      <w:r>
        <w:t>共同質心與交錯排列先檢查可用製程方向及pin可達性，不預設適用所有FinFET單元。dummy、距邊界、鄰接器件與應力／LDE特徵保持可追溯；若PDK提供版圖相依參數，納入抽取模型及匹配模擬。未提供時只列環境與規則證據，不把幾何一致等同電性一致。</w:t>
      </w:r>
    </w:p>
    <w:p>
      <w:pPr>
        <w:jc w:val="both"/>
      </w:pPr>
      <w:r>
        <w:t>比較器的配對器件使用相同合法朝向、接點數、過孔層次與局部環境；避免為了對稱而產生不可達pin。取樣路徑比較接點冗餘、金屬寬度與負載的取捨。CDAC依PDK支持的MOM或其他電容建模，保持單元堆疊與配線環境，評估common-centroid、dummy及頂板出口；不能以放置電容巨集即宣稱完成內部匹配。</w:t>
      </w:r>
    </w:p>
    <w:p>
      <w:pPr>
        <w:jc w:val="both"/>
      </w:pPr>
      <w:r>
        <w:t>產出每一變體的GDS、pin abstract、環境要求、面積、R／C矩陣、模型版本與DRC／LVS證據。局部變體的面積與功耗作限制及原始指標報告，不透過增加電容或改變鰭數取得表面改善。L0固定單一變體驗證放置；L1只在已驗證且電氣等效的有限集合中選擇。</w:t>
      </w:r>
    </w:p>
    <w:p>
      <w:pPr>
        <w:pStyle w:val="Heading1"/>
        <w:pageBreakBefore/>
      </w:pPr>
      <w:r>
        <w:t>2.2 接點、局部互連與幾何裕度</w:t>
      </w:r>
    </w:p>
    <w:p>
      <w:pPr>
        <w:jc w:val="both"/>
      </w:pPr>
      <w:r>
        <w:t>CFET文獻[14]提供互連形狀、接點重疊與面積／圖形複雜度取捨的研究啟發。4 nm實作不沿用其M0G層、24／48 nm pitch、45°轉向或遮罩數；先辨識目標PDK的可用local interconnect與低層metal、方向、track及cut／via規則。PCell未開放的接點及製程層不能直接修改。</w:t>
      </w:r>
    </w:p>
    <w:tbl>
      <w:tblPr>
        <w:tblW w:type="auto" w:w="0"/>
        <w:jc w:val="center"/>
        <w:tblLayout w:type="fixed"/>
        <w:tblLook w:firstColumn="1" w:firstRow="1" w:lastColumn="0" w:lastRow="0" w:noHBand="0" w:noVBand="1" w:val="04A0"/>
      </w:tblPr>
      <w:tblGrid>
        <w:gridCol w:w="1984"/>
        <w:gridCol w:w="4535"/>
        <w:gridCol w:w="3118"/>
      </w:tblGrid>
      <w:tr>
        <w:trPr>
          <w:cantSplit/>
          <w:tblHeader/>
        </w:trPr>
        <w:tc>
          <w:tcPr>
            <w:tcW w:type="dxa" w:w="198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佈局變因</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4 nm實作與限制</w:t>
            </w:r>
          </w:p>
        </w:tc>
        <w:tc>
          <w:tcPr>
            <w:tcW w:type="dxa" w:w="311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比較指標</w:t>
            </w:r>
          </w:p>
        </w:tc>
      </w:tr>
      <w:tr>
        <w:trPr>
          <w:cantSplit/>
        </w:trPr>
        <w:tc>
          <w:tcPr>
            <w:tcW w:type="dxa" w:w="198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pin出口與互連轉向</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比較合法直線及正交／跨層出口；最小段長與方向依PDK</w:t>
            </w:r>
          </w:p>
        </w:tc>
        <w:tc>
          <w:tcPr>
            <w:tcW w:type="dxa" w:w="311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連線R、端點C、耦合與可達率</w:t>
            </w:r>
          </w:p>
        </w:tc>
      </w:tr>
      <w:tr>
        <w:trPr>
          <w:cantSplit/>
        </w:trPr>
        <w:tc>
          <w:tcPr>
            <w:tcW w:type="dxa" w:w="198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接點／過孔配置</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最小合法配置對照允許之冗餘配置；差動兩側同層同數</w:t>
            </w:r>
          </w:p>
        </w:tc>
        <w:tc>
          <w:tcPr>
            <w:tcW w:type="dxa" w:w="311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接點／via R、ΔR、負載C及面積</w:t>
            </w:r>
          </w:p>
        </w:tc>
      </w:tr>
      <w:tr>
        <w:trPr>
          <w:cantSplit/>
        </w:trPr>
        <w:tc>
          <w:tcPr>
            <w:tcW w:type="dxa" w:w="198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enclosure與端點間距</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量測接點包覆、線端、tip-to-tip及最小面積等裕度</w:t>
            </w:r>
          </w:p>
        </w:tc>
        <w:tc>
          <w:tcPr>
            <w:tcW w:type="dxa" w:w="311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最小裕度、DRC失敗類型與RC變化</w:t>
            </w:r>
          </w:p>
        </w:tc>
      </w:tr>
      <w:tr>
        <w:trPr>
          <w:cantSplit/>
        </w:trPr>
        <w:tc>
          <w:tcPr>
            <w:tcW w:type="dxa" w:w="198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敏感線的層別與隔離</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固定合法層選項；比較距離、shield及交叉方式</w:t>
            </w:r>
          </w:p>
        </w:tc>
        <w:tc>
          <w:tcPr>
            <w:tcW w:type="dxa" w:w="311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Ccouple、總C、參考恢復與clock注入</w:t>
            </w:r>
          </w:p>
        </w:tc>
      </w:tr>
    </w:tbl>
    <w:p>
      <w:pPr>
        <w:spacing w:after="0"/>
      </w:pPr>
    </w:p>
    <w:p>
      <w:pPr>
        <w:spacing w:before="60" w:after="160"/>
        <w:jc w:val="center"/>
      </w:pPr>
      <w:r>
        <w:t>m_rule = d_actual − d_required；m_min = min(m_rule)</w:t>
      </w:r>
    </w:p>
    <w:p>
      <w:pPr>
        <w:jc w:val="both"/>
      </w:pPr>
      <w:r>
        <w:t>幾何裕度以相同單位的實際包覆或間距減去該規則要求計算；複合規則以工具判定為準，不能用單一裕度替代DRC。接點重疊面積也須與合法cut及包覆條件並列。比較最小合法與增加裕度的變體，量測R／C及面積成本，判斷增加裕度是否產生電路效益或只增加負載。</w:t>
      </w:r>
    </w:p>
    <w:p>
      <w:pPr>
        <w:jc w:val="both"/>
      </w:pPr>
      <w:r>
        <w:t>若PDK提供overlay、線寬或蝕刻變異模型，以其允許範圍進行輪廓／抽取敏感度實驗；若無，僅比較名目幾何裕度與RC角落，不宣稱已模擬EUV曝光窗口或量產良率。任何幾何擾動均列為獨立研究模型，保持名目交付GDS通過指定規則。</w:t>
      </w:r>
    </w:p>
    <w:p>
      <w:pPr>
        <w:jc w:val="both"/>
      </w:pPr>
      <w:r>
        <w:t>局部配線與巨集外部繞線以明確pin邊界合併，保留差動兩側的路徑、層序、過孔與耦合來源。VREF分支比較共享幹線與對稱分支的阻抗和恢復；屏蔽需同時量測新增對地C及被屏蔽耦合，最終由電路模擬判定。</w:t>
      </w:r>
    </w:p>
    <w:p>
      <w:pPr>
        <w:pStyle w:val="Heading1"/>
        <w:pageBreakBefore/>
      </w:pPr>
      <w:r>
        <w:t>3 工作項目二 類比約束下的粗至細搜尋</w:t>
      </w:r>
    </w:p>
    <w:p>
      <w:pPr>
        <w:jc w:val="both"/>
      </w:pPr>
      <w:r>
        <w:t>將既有SA移植至4 nm合法巨集。L0固定內部版圖，搜尋離散位置與合法朝向；L1增加variant_id，從相同電氣參數的合格局部變體中選擇。族群搜尋先探索位置，再細調敏感巨集及出口；每次更換變體重查邊界、匹配、pin可達性與外部連通。L0／L1分別比較，避免把局部與放置改善混為單一效益。</w:t>
      </w:r>
    </w:p>
    <w:p>
      <w:pPr>
        <w:jc w:val="both"/>
      </w:pPr>
      <w:r>
        <w:t>最佳化採先可行、再排序的策略。幾何、連通、匹配群組與電源域不合格者直接淘汰。快速成本各項以預先固定的基準尺度正規化，避免將電阻、電容、電壓及面積直接相加。權重由驗證集設定並在保留測試前凍結；比較時同步報告各原始指標。</w:t>
      </w:r>
    </w:p>
    <w:p>
      <w:pPr>
        <w:spacing w:before="60" w:after="160"/>
        <w:jc w:val="center"/>
      </w:pPr>
      <w:r>
        <w:t>Jfast(P) = wH zHPWL + wC zcoupling + wR zreference + wM zmismatch + wA zarea</w:t>
      </w:r>
    </w:p>
    <w:p>
      <w:pPr>
        <w:jc w:val="both"/>
      </w:pPr>
      <w:r>
        <w:t>z為以固定基準尺度正規化的無量綱指標；P包含位置、朝向及L1的variant_id。匹配項納入局部接點／via與差動RC；參考項分開記錄阻抗、瞬態偏移及恢復。幾何裕度與可達性先過硬門檻，額外裕度作選擇性比較。快速成本只能排序，完整抽取與模擬才決定合格。</w:t>
      </w:r>
    </w:p>
    <w:p>
      <w:pPr>
        <w:jc w:val="both"/>
      </w:pPr>
      <w:r>
        <w:t>對完成精確驗證的候選，先要求面積、功耗、DRC、LVS與時序等門檻合格，再以 SNDR 為主要效能指標，SFDR為獨立限制或Pareto比較項目。ENOB由標準正弦測試條件下的 SNDR 推得，避免兩者在獎勵中重複加權。</w:t>
      </w:r>
    </w:p>
    <w:p>
      <w:pPr>
        <w:spacing w:before="60" w:after="160"/>
        <w:jc w:val="center"/>
      </w:pPr>
      <w:r>
        <w:t>ENOB = (SNDR − 1.76) / 6.02</w:t>
      </w:r>
    </w:p>
    <w:p>
      <w:pPr>
        <w:pStyle w:val="Heading2"/>
      </w:pPr>
      <w:r>
        <w:t>關鍵巨集與ECO策略</w:t>
      </w:r>
    </w:p>
    <w:p>
      <w:pPr>
        <w:jc w:val="both"/>
      </w:pPr>
      <w:r>
        <w:t>以敏感網路耦合、差動寄生誤差及局部擾動對效能的影響排序巨集，針對 CDAC與比較器之間距、時脈路徑隔離或參考接點位置提出小幅調整。每次修改記錄原因、受影響網路、預測改善、實測改善與工具成本；若新候選未改善或失去可行性，回復上一版本。</w:t>
      </w:r>
    </w:p>
    <w:p>
      <w:pPr>
        <w:jc w:val="both"/>
      </w:pPr>
      <w:r>
        <w:t>本年度核心新增工作為4 nm局部變體與SE驗證，搜尋以SA及族群方法為主。強化學習只於核心里程碑完成後作局部ECO延伸，其訓練成本計入預算；不以新增演算法種類替代實體佈局與誤差驗證。</w:t>
      </w:r>
    </w:p>
    <w:p>
      <w:pPr>
        <w:pStyle w:val="Heading1"/>
        <w:pageBreakBefore/>
      </w:pPr>
      <w:r>
        <w:t>4 工作項目三 寄生預測與不確定性回饋</w:t>
      </w:r>
    </w:p>
    <w:p>
      <w:pPr>
        <w:jc w:val="both"/>
      </w:pPr>
      <w:r>
        <w:t>建立placement-only、粗略路由及完整PEX資料；SE結果另標為篩選資料，不當成完整ADC真值。輸入新增variant_id、接點／via配置、pin出口、幾何裕度、dummy與鄰接特徵，並保留層別、平行段、線寬、間距及屏蔽。只知巨集距離時提高不確定性，不能推定實際耦合已知。</w:t>
      </w:r>
    </w:p>
    <w:tbl>
      <w:tblPr>
        <w:tblW w:type="auto" w:w="0"/>
        <w:jc w:val="center"/>
        <w:tblLayout w:type="fixed"/>
        <w:tblLook w:firstColumn="1" w:firstRow="1" w:lastColumn="0" w:lastRow="0" w:noHBand="0" w:noVBand="1" w:val="04A0"/>
      </w:tblPr>
      <w:tblGrid>
        <w:gridCol w:w="2665"/>
        <w:gridCol w:w="3458"/>
        <w:gridCol w:w="3515"/>
      </w:tblGrid>
      <w:tr>
        <w:trPr>
          <w:cantSplit/>
          <w:tblHeader/>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特徵或標籤</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來源</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用途</w:t>
            </w:r>
          </w:p>
        </w:tc>
      </w:tr>
      <w:tr>
        <w:trPr>
          <w:cantSplit/>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差動輸入R與C</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完整PEX；含巨集內部與外部寄生</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估計差動不匹配與輸入負載</w:t>
            </w:r>
          </w:p>
        </w:tc>
      </w:tr>
      <w:tr>
        <w:trPr>
          <w:cantSplit/>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CLK至類比節點耦合</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耦合抽取與指定切換情境</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分析時脈擾動與效能退化</w:t>
            </w:r>
          </w:p>
        </w:tc>
      </w:tr>
      <w:tr>
        <w:trPr>
          <w:cantSplit/>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VREF路徑R與瞬態偏移</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RC抽取及參考網路模擬</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評估CDAC切換與參考恢復</w:t>
            </w:r>
          </w:p>
        </w:tc>
      </w:tr>
      <w:tr>
        <w:trPr>
          <w:cantSplit/>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穩定時間與比較器偏移</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固定測試平台電路模擬</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連接寄生與轉換誤差</w:t>
            </w:r>
          </w:p>
        </w:tc>
      </w:tr>
      <w:tr>
        <w:trPr>
          <w:cantSplit/>
        </w:trPr>
        <w:tc>
          <w:tcPr>
            <w:tcW w:type="dxa" w:w="266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SNDR及SFDR</w:t>
            </w:r>
          </w:p>
        </w:tc>
        <w:tc>
          <w:tcPr>
            <w:tcW w:type="dxa" w:w="345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抽取後ADC輸出與一致FFT設定</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訓練效能預測與最終驗證</w:t>
            </w:r>
          </w:p>
        </w:tc>
      </w:tr>
    </w:tbl>
    <w:p>
      <w:pPr>
        <w:spacing w:after="0"/>
      </w:pPr>
    </w:p>
    <w:p>
      <w:pPr>
        <w:jc w:val="both"/>
      </w:pPr>
      <w:r>
        <w:t>初始以簡化RC及樹模型作基準，資料足夠再評估圖模型。寄生與效能模型分開，區分幾何至寄生及寄生至性能的誤差。敏感C的NMAE定義為mean(|Cpred−Cfull|／max(|Cfull|, Cfloor))；Cfloor於保留測試前依PDK尺度固定。模型集成或交叉驗證殘差用於不確定性，並量測預測區間涵蓋率。</w:t>
      </w:r>
    </w:p>
    <w:p>
      <w:pPr>
        <w:jc w:val="both"/>
      </w:pPr>
      <w:r>
        <w:t>每輪優先選取預測較佳且不確定性高的候選進行真實驗證，同時保留少量隨機候選，降低只驗證模型偏好區域的取樣偏差。可行性分類器與效能回歸器分開處理；無法完成繞線或模擬的候選記為失敗資料，不能在訓練及效率統計中無聲刪除。</w:t>
      </w:r>
    </w:p>
    <w:p>
      <w:pPr>
        <w:jc w:val="both"/>
      </w:pPr>
      <w:r>
        <w:t>FinFET自熱、熱梯度與基板耦合依PDK模型及工具能力評估，有模型才列量化效能項目；距離或功率密度僅為代理風險特徵。局部版圖環境另記dummy、邊界及鄰接，於模型支持時評估LDE。回流路徑依地與電源拓樸處理，不將不同物理阻抗任意相加。</w:t>
      </w:r>
    </w:p>
    <w:p>
      <w:pPr>
        <w:jc w:val="both"/>
      </w:pPr>
      <w:r>
        <w:t>資料採電路變體分組，不能將同一電路的近似位置或同一抽取網表同時放入訓練與測試。各PDK獨立校正寄生尺度與模型，跨製程評估保留目標製程資料作測試，不以等比例縮小130 nm版圖代替先進製程。</w:t>
      </w:r>
    </w:p>
    <w:p>
      <w:pPr>
        <w:pStyle w:val="Heading1"/>
        <w:pageBreakBefore/>
      </w:pPr>
      <w:r>
        <w:t>5 工作項目四 實際繞線與電路效能驗證</w:t>
      </w:r>
    </w:p>
    <w:p>
      <w:pPr>
        <w:jc w:val="both"/>
      </w:pPr>
      <w:r>
        <w:t>採FinFET已驗證巨集與PDK配線規則，依各層允許方向、pitch、過孔及pin可達性建立固定路由策略。差動輸入保持相近層別與過孔；VREF考量負載、恢復與對稱；時脈避開敏感區。屏蔽可能增加對地電容，需抽取與模擬比較。</w:t>
      </w:r>
    </w:p>
    <w:p>
      <w:pPr>
        <w:jc w:val="both"/>
      </w:pPr>
      <w:r>
        <w:t>研究版圖依指定PDK執行DRC與LVS，記錄規則版本、完整報告、未處理違規及waiver依據。LVS必須確認元件、端點與階層連通一致；單純幾何對稱或AI審查不能替代LVS。KLayout可負責幾何與介面檢查，製程簽核則採授權且適用的驗證runset。</w:t>
      </w:r>
    </w:p>
    <w:p>
      <w:pPr>
        <w:jc w:val="both"/>
      </w:pPr>
      <w:r>
        <w:t>PEX保留類比敏感端點的耦合與分佈RC，產生可用於電晶體層級模擬的抽取網表。SPEF若用於數位互連或時序分析，需與原始電路與單元模型正確組合，不能單獨視為完整類比PEX。巨集內部與外部寄生以一致端點與階層規則合併，避免重複計入。</w:t>
      </w:r>
    </w:p>
    <w:p>
      <w:pPr>
        <w:pStyle w:val="Heading2"/>
      </w:pPr>
      <w:r>
        <w:t>轉換時序與性能評估</w:t>
      </w:r>
    </w:p>
    <w:p>
      <w:pPr>
        <w:jc w:val="both"/>
      </w:pPr>
      <w:r>
        <w:t>以相同取樣率、輸入幅度、電源與測試序列比較不同版圖。逐位轉換需確認CDAC穩定、比較器判定、邏輯控制與保留時間均位於可用相位內；非同步控制需依實際相位相依關係建立時序條件，不僅檢查數位slack。對不重疊的保守時間預算可表示如下。</w:t>
      </w:r>
    </w:p>
    <w:p>
      <w:pPr>
        <w:spacing w:before="60" w:after="160"/>
        <w:jc w:val="center"/>
      </w:pPr>
      <w:r>
        <w:t>TDAC settle + Tcomparator + Tlogic + Tguard ≤ Tbit available</w:t>
      </w:r>
    </w:p>
    <w:p>
      <w:pPr>
        <w:jc w:val="both"/>
      </w:pPr>
      <w:r>
        <w:t>動態模擬使用固定記錄長度、穩態丟棄區段、取樣方式及頻譜規則，包含低頻與接近Nyquist的至少三個輸入頻率。優先採相干取樣，若使用窗函數則固定窗型與幅度校正。同步量測SNDR、SFDR、ENOB、功耗與參考擾動，並保留輸出碼及計算腳本。</w:t>
      </w:r>
    </w:p>
    <w:p>
      <w:pPr>
        <w:jc w:val="both"/>
      </w:pPr>
      <w:r>
        <w:t>PVT與RC corner依4 nm PDK及凍結規格選取，至少涵蓋名目與主要慢／快、電壓及溫度邊界；標明哪些組合實際完成。關鍵匹配子電路Monte Carlo目標100次配對，完整ADC先30次試跑、依M3運算估算提升至100次；基準與方法共用種子，規格率附信賴區間。INL／DNL採固定ramp或code-density程序與相同碼數覆蓋，不由SNDR推定。</w:t>
      </w:r>
    </w:p>
    <w:p>
      <w:pPr>
        <w:pStyle w:val="Heading1"/>
        <w:pageBreakBefore/>
      </w:pPr>
      <w:r>
        <w:t>5.1 4 nm LVS選擇性抽取方法</w:t>
      </w:r>
    </w:p>
    <w:p>
      <w:pPr>
        <w:jc w:val="both"/>
      </w:pPr>
      <w:r>
        <w:t>依Lee等人[15]的SE概念，從完整4 nm GDS與網表建立必要元件清單。選取單元保留全部元件；未選區保留全部非FET元件及完整分佈／耦合RC，再執行正常PEX。LVS rule deck用於選擇元件，並不取代PEX，也不表示僅跑LVS即可得到完整寄生。</w:t>
      </w:r>
    </w:p>
    <w:tbl>
      <w:tblPr>
        <w:tblW w:type="auto" w:w="0"/>
        <w:jc w:val="center"/>
        <w:tblLayout w:type="fixed"/>
        <w:tblLook w:firstColumn="1" w:firstRow="1" w:lastColumn="0" w:lastRow="0" w:noHBand="0" w:noVBand="1" w:val="04A0"/>
      </w:tblPr>
      <w:tblGrid>
        <w:gridCol w:w="1928"/>
        <w:gridCol w:w="4025"/>
        <w:gridCol w:w="3685"/>
      </w:tblGrid>
      <w:tr>
        <w:trPr>
          <w:cantSplit/>
          <w:tblHeader/>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步驟</w:t>
            </w:r>
          </w:p>
        </w:tc>
        <w:tc>
          <w:tcPr>
            <w:tcW w:type="dxa" w:w="402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研究實作</w:t>
            </w:r>
          </w:p>
        </w:tc>
        <w:tc>
          <w:tcPr>
            <w:tcW w:type="dxa" w:w="368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檢查點</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依量測目的選取</w:t>
            </w:r>
          </w:p>
        </w:tc>
        <w:tc>
          <w:tcPr>
            <w:tcW w:type="dxa" w:w="402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比較器判定、取樣／CDAC穩定、VREF恢復分別建立清單</w:t>
            </w:r>
          </w:p>
        </w:tc>
        <w:tc>
          <w:tcPr>
            <w:tcW w:type="dxa" w:w="368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保留偏壓、回授、切換及負載相關器件</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功能與負載閉合</w:t>
            </w:r>
          </w:p>
        </w:tc>
        <w:tc>
          <w:tcPr>
            <w:tcW w:type="dxa" w:w="402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由網表追蹤至供應、控制與耦合端；逐層擴充選區</w:t>
            </w:r>
          </w:p>
        </w:tc>
        <w:tc>
          <w:tcPr>
            <w:tcW w:type="dxa" w:w="368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被刪器件對DC、動態負載及注入的影響</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獨立SE設定</w:t>
            </w:r>
          </w:p>
        </w:tc>
        <w:tc>
          <w:tcPr>
            <w:tcW w:type="dxa" w:w="402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原簽核deck不變；可修改時另建wrapper／研究runset</w:t>
            </w:r>
          </w:p>
        </w:tc>
        <w:tc>
          <w:tcPr>
            <w:tcW w:type="dxa" w:w="368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保存hash、選取instance及被移除FET清單</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完整寄生與被動元件</w:t>
            </w:r>
          </w:p>
        </w:tc>
        <w:tc>
          <w:tcPr>
            <w:tcW w:type="dxa" w:w="402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保存所有區域配線RC、電源／地、耦合與必要decap</w:t>
            </w:r>
          </w:p>
        </w:tc>
        <w:tc>
          <w:tcPr>
            <w:tcW w:type="dxa" w:w="368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網路、耦合對、元件及端點對照</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正常PEX與模擬</w:t>
            </w:r>
          </w:p>
        </w:tc>
        <w:tc>
          <w:tcPr>
            <w:tcW w:type="dxa" w:w="402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輸出可模擬網表；使用與full一致的刺激與條件</w:t>
            </w:r>
          </w:p>
        </w:tc>
        <w:tc>
          <w:tcPr>
            <w:tcW w:type="dxa" w:w="368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時間、記憶體、波形與誤判記錄</w:t>
            </w:r>
          </w:p>
        </w:tc>
      </w:tr>
    </w:tbl>
    <w:p>
      <w:pPr>
        <w:spacing w:after="0"/>
      </w:pPr>
    </w:p>
    <w:p>
      <w:pPr>
        <w:jc w:val="both"/>
      </w:pPr>
      <w:r>
        <w:t>SAR ADC的取樣開關、比較器、CDAC切換、參考緩衝及類比偏壓通常直接決定效能，原則上全部保留。MOS電容或以FET建模的decap亦不可因名稱或區域而刪除。完整配線RC不包含被刪FET所有端點電容與非線性負載，故必須保留影響負載的器件，或使用經full校正的邊界模型，不能以保留RC即保證準確。</w:t>
      </w:r>
    </w:p>
    <w:p>
      <w:pPr>
        <w:jc w:val="both"/>
      </w:pPr>
      <w:r>
        <w:t>可嘗試移除與量測無關的數位區FET，但其控制波形、輸入負載、供應擾動及耦合激擾需閉合。預錄控制波形只用於指定情境的子電路篩選，需保留驅動／負載邊界並與full核對；不能取代完整ADC中的邏輯與類比互動。若必要器件占比過高，SE可能沒有速度優勢，應列為適用性結論。</w:t>
      </w:r>
    </w:p>
    <w:p>
      <w:pPr>
        <w:jc w:val="both"/>
      </w:pPr>
      <w:r>
        <w:t>若授權deck不可修改，使用工具支持的instance filtering或從完整PEX網表作可追溯選取，另標為替代實作；其適用性需重新校正。所有最終版圖均以未修改的完整LVS及正常PEX驗收。</w:t>
      </w:r>
    </w:p>
    <w:p>
      <w:pPr>
        <w:pStyle w:val="Heading1"/>
        <w:pageBreakBefore/>
      </w:pPr>
      <w:r>
        <w:t>5.2 SE準確度、速度與回退門檻</w:t>
      </w:r>
    </w:p>
    <w:p>
      <w:pPr>
        <w:jc w:val="both"/>
      </w:pPr>
      <w:r>
        <w:t>先對同一合法GDS比較下列模式，固定PEX精度、模型、刺激、模擬器設定及硬體。SE以保留較廣功能區、必要功能錐、關鍵器件加邊界三種清單逐步縮小；清單在保留測試前凍結。skip-cell只作誤差對照，其忽略寄生或器件的範圍須逐項記錄。</w:t>
      </w:r>
    </w:p>
    <w:tbl>
      <w:tblPr>
        <w:tblW w:type="auto" w:w="0"/>
        <w:jc w:val="center"/>
        <w:tblLayout w:type="fixed"/>
        <w:tblLook w:firstColumn="1" w:firstRow="1" w:lastColumn="0" w:lastRow="0" w:noHBand="0" w:noVBand="1" w:val="04A0"/>
      </w:tblPr>
      <w:tblGrid>
        <w:gridCol w:w="1928"/>
        <w:gridCol w:w="4535"/>
        <w:gridCol w:w="3175"/>
      </w:tblGrid>
      <w:tr>
        <w:trPr>
          <w:cantSplit/>
          <w:tblHeader/>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模式</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保留內容與用途</w:t>
            </w:r>
          </w:p>
        </w:tc>
        <w:tc>
          <w:tcPr>
            <w:tcW w:type="dxa" w:w="317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研究判定</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S0 完整抽取</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全部元件與完整RC；不啟用RC reduction</w:t>
            </w:r>
          </w:p>
        </w:tc>
        <w:tc>
          <w:tcPr>
            <w:tcW w:type="dxa" w:w="317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精度、電路效能與最終驗收參考</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S1 skip-cell</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使用工具實際選項；記錄被省略內容</w:t>
            </w:r>
          </w:p>
        </w:tc>
        <w:tc>
          <w:tcPr>
            <w:tcW w:type="dxa" w:w="317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只比較速度與誤差，不作驗收</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S2 選擇性抽取</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必要FET、全部非FET、全區域寄生RC</w:t>
            </w:r>
          </w:p>
        </w:tc>
        <w:tc>
          <w:tcPr>
            <w:tcW w:type="dxa" w:w="317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檢驗文獻方法於ADC子電路的適用性</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S3 邊界模型</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S2加經校正的非選區負載／激擾模型</w:t>
            </w:r>
          </w:p>
        </w:tc>
        <w:tc>
          <w:tcPr>
            <w:tcW w:type="dxa" w:w="317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獨立研究分支，不與原SE結果合併</w:t>
            </w:r>
          </w:p>
        </w:tc>
      </w:tr>
    </w:tbl>
    <w:p>
      <w:pPr>
        <w:spacing w:after="0"/>
      </w:pPr>
    </w:p>
    <w:p>
      <w:pPr>
        <w:jc w:val="both"/>
      </w:pPr>
      <w:r>
        <w:t>以下為本計畫的預設篩選門檻，並非論文既有結果：子電路判定／穩定時間相對差異≤5%，位元決策時刻CDAC頂板等輸入等效電壓差異≤0.1 LSB；若SE用於ADC級篩選，另要求|ΔSNDR|≤0.25 dB、|ΔSFDR|≤0.5 dB、INL與DNL曲線的最大差異各≤0.2 LSB。LSB以凍結的VFS／2^N計算；近零時間或量以絕對誤差補充，基準不得被放寬。</w:t>
      </w:r>
    </w:p>
    <w:p>
      <w:pPr>
        <w:jc w:val="both"/>
      </w:pPr>
      <w:r>
        <w:t>門檻在校正集試跑後、保留測試前由主持人確認及凍結。測試涵蓋低頻／近Nyquist、滿刻度與小訊號、主要CDAC切換與代表PVT；同時測量規格誤判，尤其SE判合格而full不合格的false pass。樣本零誤判也須報告二項95%信賴區間；每輪保留full抽查，不宣稱零風險。</w:t>
      </w:r>
    </w:p>
    <w:p>
      <w:pPr>
        <w:spacing w:before="60" w:after="160"/>
        <w:jc w:val="center"/>
      </w:pPr>
      <w:r>
        <w:t>Ssim = Tfull simulation / TSE simulation</w:t>
      </w:r>
    </w:p>
    <w:p>
      <w:pPr>
        <w:jc w:val="both"/>
      </w:pPr>
      <w:r>
        <w:t>分開記錄LVS、PEX、網表處理、模擬、校正與人工時間，另算端到端加速及峰值記憶體，不能只用模擬時間宣稱總流程改善。達誤差門檻且有成本優勢的情境才可採SE，目標為適用子電路模擬中位加速≥2倍。超標、拓樸／PDK版本變更、未校正PVT或必要器件不明時回退S0；所有最終ADC仍用S0。</w:t>
      </w:r>
    </w:p>
    <w:p>
      <w:pPr>
        <w:pStyle w:val="Heading1"/>
        <w:pageBreakBefore/>
      </w:pPr>
      <w:r>
        <w:t>6 實驗設計與量化驗收</w:t>
      </w:r>
    </w:p>
    <w:p>
      <w:pPr>
        <w:pStyle w:val="Heading2"/>
      </w:pPr>
      <w:r>
        <w:t>6.1 E1 局部佈局技巧的因子實驗</w:t>
      </w:r>
    </w:p>
    <w:p>
      <w:pPr>
        <w:jc w:val="both"/>
      </w:pPr>
      <w:r>
        <w:t>以比較器配對器件、取樣差動介面及MOM／CDAC端點三類單元作E1。每類先以至多四個二水準因子形成16組候選，目標共48個合法變體；無適用參數或不合法組合須記錄，改以實際可行矩陣及必要補點分析。每個變體採完整DRC／LVS／PEX與同一測試平台，不以SE結果評斷局部技巧。</w:t>
      </w:r>
    </w:p>
    <w:tbl>
      <w:tblPr>
        <w:tblW w:type="auto" w:w="0"/>
        <w:jc w:val="center"/>
        <w:tblLayout w:type="fixed"/>
        <w:tblLook w:firstColumn="1" w:firstRow="1" w:lastColumn="0" w:lastRow="0" w:noHBand="0" w:noVBand="1" w:val="04A0"/>
      </w:tblPr>
      <w:tblGrid>
        <w:gridCol w:w="1757"/>
        <w:gridCol w:w="3969"/>
        <w:gridCol w:w="3912"/>
      </w:tblGrid>
      <w:tr>
        <w:trPr>
          <w:cantSplit/>
          <w:tblHeader/>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因子</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候選水準</w:t>
            </w:r>
          </w:p>
        </w:tc>
        <w:tc>
          <w:tcPr>
            <w:tcW w:type="dxa" w:w="391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控制與分析</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A 匹配與環境</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基準配置／合法交錯或共同質心與環境對稱</w:t>
            </w:r>
          </w:p>
        </w:tc>
        <w:tc>
          <w:tcPr>
            <w:tcW w:type="dxa" w:w="391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固定總鰭數、模型與匹配對；MOM另用單元排列</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B 接點／via</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最小合法／允許之配對冗餘</w:t>
            </w:r>
          </w:p>
        </w:tc>
        <w:tc>
          <w:tcPr>
            <w:tcW w:type="dxa" w:w="391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固定電路規格；比較R下降與C、面積代價</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C pin與局部出口</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基準出口／對稱且可達的合法出口</w:t>
            </w:r>
          </w:p>
        </w:tc>
        <w:tc>
          <w:tcPr>
            <w:tcW w:type="dxa" w:w="391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記錄層序、轉向、線長及外部pin位置</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D 裕度或隔離</w:t>
            </w:r>
          </w:p>
        </w:tc>
        <w:tc>
          <w:tcPr>
            <w:tcW w:type="dxa" w:w="396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最小合法／增加包覆、線端或隔離裕度</w:t>
            </w:r>
          </w:p>
        </w:tc>
        <w:tc>
          <w:tcPr>
            <w:tcW w:type="dxa" w:w="391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各單元選一個可控參數；其餘保持一致</w:t>
            </w:r>
          </w:p>
        </w:tc>
      </w:tr>
    </w:tbl>
    <w:p>
      <w:pPr>
        <w:spacing w:after="0"/>
      </w:pPr>
    </w:p>
    <w:p>
      <w:pPr>
        <w:jc w:val="both"/>
      </w:pPr>
      <w:r>
        <w:t>dummy與鄰接影響若無法獨立於因子A拆分，另作一因子配對消融；MOM不適用的FinFET項目不強行套用。以合法候選的全因子／可行子矩陣估計主效應與二因子交互作用，報告被限制的設計空間，不能把多項同時改動全部歸因於單一技巧。</w:t>
      </w:r>
    </w:p>
    <w:p>
      <w:pPr>
        <w:spacing w:before="60" w:after="160"/>
        <w:jc w:val="center"/>
      </w:pPr>
      <w:r>
        <w:t>εR = |Rp − Rn| / ((Rp + Rn)/2)；εC = |Cp − Cn| / ((Cp + Cn)/2)</w:t>
      </w:r>
    </w:p>
    <w:p>
      <w:pPr>
        <w:jc w:val="both"/>
      </w:pPr>
      <w:r>
        <w:t>由完整PEX對相同差動端點、頻率與負載定義計算R／C不匹配；多端口耦合矩陣同時保存，近零值改報絕對差。電路標籤包括比較器偏移與判定時間、取樣／CDAC穩定、VREF恢復及clock注入。比較名目及代表RC／PVT角落，報告面積與功耗。</w:t>
      </w:r>
    </w:p>
    <w:p>
      <w:pPr>
        <w:pStyle w:val="Heading2"/>
      </w:pPr>
      <w:r>
        <w:t>E2 SE方法對照</w:t>
      </w:r>
    </w:p>
    <w:p>
      <w:pPr>
        <w:jc w:val="both"/>
      </w:pPr>
      <w:r>
        <w:t>從E1及整合版圖選取至少12個、涵蓋三類子電路的校正與保留案例，比較S0至S3及三種選區。所有同源變體只屬於一個資料分組；另保留未見的負載、切換或pin配置。以5.2門檻判定準確度與成本，包含未收斂及誤判案例。</w:t>
      </w:r>
    </w:p>
    <w:p>
      <w:pPr>
        <w:pStyle w:val="Heading1"/>
        <w:pageBreakBefore/>
      </w:pPr>
      <w:r>
        <w:t>6.2 E3 完整ADC閉迴路比較</w:t>
      </w:r>
    </w:p>
    <w:p>
      <w:pPr>
        <w:jc w:val="both"/>
      </w:pPr>
      <w:r>
        <w:t>E3以固定4 nm SAR ADC規格比較下列方法。先用同一primitive作L0放置比較，再以P2作L1變體選擇比較；保持拓樸、元件尺寸、面積／功耗上限與測試設定。SE開／關另作同一搜尋策略的配對實驗，full仍決定最終效能，避免混淆佈局改善與快速驗證的效益。</w:t>
      </w:r>
    </w:p>
    <w:tbl>
      <w:tblPr>
        <w:tblW w:type="auto" w:w="0"/>
        <w:jc w:val="center"/>
        <w:tblLayout w:type="fixed"/>
        <w:tblLook w:firstColumn="1" w:firstRow="1" w:lastColumn="0" w:lastRow="0" w:noHBand="0" w:noVBand="1" w:val="04A0"/>
      </w:tblPr>
      <w:tblGrid>
        <w:gridCol w:w="1928"/>
        <w:gridCol w:w="4195"/>
        <w:gridCol w:w="3515"/>
      </w:tblGrid>
      <w:tr>
        <w:trPr>
          <w:cantSplit/>
          <w:tblHeader/>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比較組</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方法差異</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比較目的</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B0 工程師基準</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固定人工佈局；相同繞線與模擬設定</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建立品質與人工工時參考</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B1 約束SA</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HPWL與壅塞；相同硬性類比限制</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隔離寄生回饋的增益</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B2 粗至細搜尋</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族群探索；無實際效能回饋</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評估搜尋機制本身</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P1 寄生回饋</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快速寄生模型與定期PEX校正</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評估寄生感知效益</w:t>
            </w:r>
          </w:p>
        </w:tc>
      </w:tr>
      <w:tr>
        <w:trPr>
          <w:cantSplit/>
        </w:trPr>
        <w:tc>
          <w:tcPr>
            <w:tcW w:type="dxa" w:w="19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P2 完整方法</w:t>
            </w:r>
          </w:p>
        </w:tc>
        <w:tc>
          <w:tcPr>
            <w:tcW w:type="dxa" w:w="419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P1加效能預測及不確定性選樣</w:t>
            </w:r>
          </w:p>
        </w:tc>
        <w:tc>
          <w:tcPr>
            <w:tcW w:type="dxa" w:w="351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評估閉迴路與樣本效率</w:t>
            </w:r>
          </w:p>
        </w:tc>
      </w:tr>
    </w:tbl>
    <w:p>
      <w:pPr>
        <w:spacing w:after="0"/>
      </w:pPr>
    </w:p>
    <w:p>
      <w:pPr>
        <w:jc w:val="both"/>
      </w:pPr>
      <w:r>
        <w:t>自動化方法至少10組配對種子。分別在相同full驗證次數、相同端到端時間下比較，SE校正、模型訓練、失敗及人工修正都納入。消融局部變體、匹配／幾何裕度、時脈與VREF特徵、不確定性及SE選樣；品質以full標籤比較，不以SE預測作成果。</w:t>
      </w:r>
    </w:p>
    <w:tbl>
      <w:tblPr>
        <w:tblW w:type="auto" w:w="0"/>
        <w:jc w:val="center"/>
        <w:tblLayout w:type="fixed"/>
        <w:tblLook w:firstColumn="1" w:firstRow="1" w:lastColumn="0" w:lastRow="0" w:noHBand="0" w:noVBand="1" w:val="04A0"/>
      </w:tblPr>
      <w:tblGrid>
        <w:gridCol w:w="1757"/>
        <w:gridCol w:w="3628"/>
        <w:gridCol w:w="4252"/>
      </w:tblGrid>
      <w:tr>
        <w:trPr>
          <w:cantSplit/>
          <w:tblHeader/>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驗收指標</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規劃目標</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計算與證據</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4 nm合法與一致</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變體電氣等效及完整DRC／LVS</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元件／pin對照、指定deck與報告</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局部佈局技巧</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關鍵εR或εC中位降低目標20%</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E1配對；穩定時間不退化及面積功耗限制</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寄生預測</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敏感C之NMAE目標≤10%</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full保留標籤；近零另報絕對誤差</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效能預測</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SNDR MAE目標≤1 dB</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保留案例的實際PEX模擬</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閉迴路品質</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SNDR中位改善目標≥1 dB或規格率提高</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相同面積功耗上限；配對比較</w:t>
            </w:r>
          </w:p>
        </w:tc>
      </w:tr>
      <w:tr>
        <w:trPr>
          <w:cantSplit/>
        </w:trPr>
        <w:tc>
          <w:tcPr>
            <w:tcW w:type="dxa" w:w="1757"/>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驗證成本</w:t>
            </w:r>
          </w:p>
        </w:tc>
        <w:tc>
          <w:tcPr>
            <w:tcW w:type="dxa" w:w="362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合格候選所需完整驗證次數降低目標20%</w:t>
            </w:r>
          </w:p>
        </w:tc>
        <w:tc>
          <w:tcPr>
            <w:tcW w:type="dxa" w:w="4252"/>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包含模型訓練、失敗及工具時間</w:t>
            </w:r>
          </w:p>
        </w:tc>
      </w:tr>
    </w:tbl>
    <w:p>
      <w:pPr>
        <w:spacing w:after="0"/>
      </w:pPr>
    </w:p>
    <w:p>
      <w:pPr>
        <w:jc w:val="both"/>
      </w:pPr>
      <w:r>
        <w:t>以上與5.2數值均為研究目標。E1基準不匹配接近零時改報絕對差，不用百分比判定改善。初始資料目標200個full RC標籤、60個full ADC效能標籤，另計最後的配對方法比較，不混算SE標籤。使用電路變體分組、配對差異與95%信賴區間，報告實際數量及失敗；品質無增益或SE不適用也列正式結果。</w:t>
      </w:r>
    </w:p>
    <w:p>
      <w:pPr>
        <w:pStyle w:val="Heading1"/>
        <w:pageBreakBefore/>
      </w:pPr>
      <w:r>
        <w:t>7 預計可能遭遇之困難及解決途徑</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困難</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解決途徑與階段判定</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4 nm PDK或工具未取得</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M2確認授權、模型、電容與runset；備援節點只驗方法。未取得4 nm資源時明列4 nm驗證未完成，不能以6／7／130 nm結果替代</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繞線或工具整合成本過高</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先完成子電路與固定路由策略；同一策略用於全部比較組，必要人工修正計入工時</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預測模型誤排序</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保留隨機驗證及不確定性選樣；高誤差區回退為真實抽取</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ADC模擬耗時或SE不適用</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M3測量單次成本與可並行量；SE需過門檻。必要器件過多或超標即用full，降低候選量並報實際統計精度</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約束過度限制搜尋</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以衝突診斷定位；由設計師確認可放寬軟限制，硬性製程與連通規則不放寬</w:t>
            </w:r>
          </w:p>
        </w:tc>
      </w:tr>
      <w:tr>
        <w:trPr>
          <w:cantSplit/>
        </w:trPr>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製程變異或LDE模型缺乏</w:t>
            </w:r>
          </w:p>
        </w:tc>
        <w:tc>
          <w:tcPr>
            <w:tcW w:type="dxa" w:w="7370"/>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只報幾何裕度、環境及已支持角落；不宣稱EUV窗口、量產良率、熱或基板效能簽核</w:t>
            </w:r>
          </w:p>
        </w:tc>
      </w:tr>
    </w:tbl>
    <w:p>
      <w:pPr>
        <w:spacing w:after="0"/>
      </w:pPr>
    </w:p>
    <w:p>
      <w:pPr>
        <w:pStyle w:val="Heading2"/>
      </w:pPr>
      <w:r>
        <w:t>8 重要儀器與軟體之配合使用</w:t>
      </w:r>
    </w:p>
    <w:p>
      <w:pPr>
        <w:jc w:val="both"/>
      </w:pPr>
      <w:r>
        <w:t>運算部分優先重用實驗室本地GPU工作站與CPU模擬資源，用於語言模型推論、數值模型訓練與批次EDA作業；所需實際記憶體、可用GPU及並行模擬數於第1月盤點。資料庫與檔案系統保留網表、GDS、約束、工具日誌、抽取網表與版本關係，支援結果重跑。</w:t>
      </w:r>
    </w:p>
    <w:p>
      <w:pPr>
        <w:jc w:val="both"/>
      </w:pPr>
      <w:r>
        <w:t>既有RALF／Magic／SKY130只供130 nm工具測試。FinFET以授權巨集或移植後產生器建立放置介面，使用相容之配線、DRC、LVS、PEX及SPICE工具。Spectre、Calibre或其他工具須確認授權與批次限制；不預設原生RALF已支持FinFET與MOM電容。</w:t>
      </w:r>
    </w:p>
    <w:p>
      <w:pPr>
        <w:jc w:val="both"/>
      </w:pPr>
      <w:r>
        <w:t>ASAP7或其他節點只能作介面預演，不作4 nm SAR ADC證據。4 nm需具備PCell或合法primitive、MOM等電容、完整DRC／LVS／PEX、SPICE與可用LDE模型；SE另確認deck修改或工具filtering權限。CFET所用EUV模擬程式不預設為實驗室既有設備。</w:t>
      </w:r>
    </w:p>
    <w:p>
      <w:pPr>
        <w:pStyle w:val="Heading2"/>
      </w:pPr>
      <w:r>
        <w:t>9 國外或大陸地區研究之必要性</w:t>
      </w:r>
    </w:p>
    <w:p>
      <w:pPr>
        <w:jc w:val="both"/>
      </w:pPr>
      <w:r>
        <w:t>本年度核心工作可於本地運算與既有研究環境執行，無須赴國外或大陸地區進行研究。國際學術交流以成果發表為目的，若編列國外差旅，另依會議錄取情形、地點與實際需求填寫相關表件。</w:t>
      </w:r>
    </w:p>
    <w:p>
      <w:pPr>
        <w:pStyle w:val="Heading1"/>
        <w:pageBreakBefore/>
      </w:pPr>
      <w:r>
        <w:t>10 年度執行進度與里程碑</w:t>
      </w:r>
    </w:p>
    <w:p>
      <w:pPr>
        <w:jc w:val="both"/>
      </w:pPr>
      <w:r>
        <w:t>以核定開始月為M1。核心依序完成4 nm資源、合法局部變體、full基準、SE適用性與ADC閉迴路；M2凍結規格，M3測量運算成本，M6凍結資料切分與誤差門檻。130 nm工具測試並行，不作4 nm驗收。</w:t>
      </w:r>
    </w:p>
    <w:tbl>
      <w:tblPr>
        <w:tblW w:type="auto" w:w="0"/>
        <w:jc w:val="center"/>
        <w:tblLayout w:type="fixed"/>
        <w:tblLook w:firstColumn="1" w:firstRow="1" w:lastColumn="0" w:lastRow="0" w:noHBand="0" w:noVBand="1" w:val="04A0"/>
      </w:tblPr>
      <w:tblGrid>
        <w:gridCol w:w="2835"/>
        <w:gridCol w:w="1701"/>
        <w:gridCol w:w="1701"/>
        <w:gridCol w:w="1701"/>
        <w:gridCol w:w="1701"/>
      </w:tblGrid>
      <w:tr>
        <w:trPr>
          <w:cantSplit/>
          <w:tblHeader/>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工作項目</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M1至M3</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M4至M6</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M7至M9</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M10至M12</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4 nm授權與規格</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確認／凍結</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維護</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維護</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定稿</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primitive／MEOL變體</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初始矩陣</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E1實驗</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保留測試</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封版</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full與SE抽取介面</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full建置</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SE與E2</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門檻測試</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重現</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寄生與效能資料集</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初始取樣</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主要蒐集</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保留測試</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整理</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粗至細搜尋及ECO</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SA基準</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原型開發</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閉迴路實驗</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消融比較</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PVT與統計驗證</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條件定義</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試跑</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核心執行</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最終確認</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4 nm巨集與整合</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基準移植</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子電路／ADC</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E3比較</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最終full</w:t>
            </w:r>
          </w:p>
        </w:tc>
      </w:tr>
      <w:tr>
        <w:trPr>
          <w:cantSplit/>
        </w:trPr>
        <w:tc>
          <w:tcPr>
            <w:tcW w:type="dxa" w:w="28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論文與技術文件</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研究規格</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階段報告</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初稿</w:t>
            </w:r>
          </w:p>
        </w:tc>
        <w:tc>
          <w:tcPr>
            <w:tcW w:type="dxa" w:w="170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投稿與交付</w:t>
            </w:r>
          </w:p>
        </w:tc>
      </w:tr>
    </w:tbl>
    <w:p>
      <w:pPr>
        <w:spacing w:after="0"/>
      </w:pPr>
    </w:p>
    <w:p>
      <w:pPr>
        <w:pStyle w:val="Heading2"/>
      </w:pPr>
      <w:r>
        <w:t>階段里程碑</w:t>
      </w:r>
    </w:p>
    <w:p>
      <w:pPr>
        <w:jc w:val="both"/>
      </w:pPr>
      <w:r>
        <w:t>M3完成4 nm參數與primitive映射、三類因子矩陣及至少一類full抽取；建立人工／SA與S0基準，量測一次PEX、子電路及ADC模擬成本，估算全年候選與並行資源。M2授權未完成須列明4 nm缺口。</w:t>
      </w:r>
    </w:p>
    <w:p>
      <w:pPr>
        <w:jc w:val="both"/>
      </w:pPr>
      <w:r>
        <w:t>M6完成E1初始合法變體、三類full標籤及SE清單／runset，開始E2校正與完整ADC。凍結規格、比較流程、資料分組及SE門檻；精度不符即擴大必要器件或停用SE，不延後full基準。</w:t>
      </w:r>
    </w:p>
    <w:p>
      <w:pPr>
        <w:jc w:val="both"/>
      </w:pPr>
      <w:r>
        <w:t>M9完成E1因子效應、E2保留情境及E3配對比較，量測L0／L1、SE開／關與主要消融。若模型或SE未過門檻，回退full完成品質比較，保留實際成本及失敗分析。</w:t>
      </w:r>
    </w:p>
    <w:p>
      <w:pPr>
        <w:jc w:val="both"/>
      </w:pPr>
      <w:r>
        <w:t>M12交付4 nm變體庫、局部與外部配線規則、SE適用／失敗案例、最終S0抽取及ADC結果、統計與消融、技術文件及論文稿。每項依工具證據標記完成；備援資料與4 nm資料分列，不宣稱未實作的製程或效能結果。</w:t>
      </w:r>
    </w:p>
    <w:p>
      <w:pPr>
        <w:pStyle w:val="Heading1"/>
        <w:pageBreakBefore/>
      </w:pPr>
      <w:r>
        <w:t>三 預期完成之工作項目及成果</w:t>
      </w:r>
    </w:p>
    <w:p>
      <w:pPr>
        <w:pStyle w:val="Heading2"/>
      </w:pPr>
      <w:r>
        <w:t>1 預期完成之工作項目</w:t>
      </w:r>
    </w:p>
    <w:p>
      <w:pPr>
        <w:jc w:val="both"/>
      </w:pPr>
      <w:r>
        <w:t>第一年完成4 nm合法primitive與局部互連變體、製程及匹配約束、SE必要元件與誤差判定、寄生回饋搜尋、完整驗證與ECO追溯。以E1、E2、E3分開呈現物理技巧、快速驗證及ADC閉迴路效益；既有130 nm只供銜接與工具測試。</w:t>
      </w:r>
    </w:p>
    <w:tbl>
      <w:tblPr>
        <w:tblW w:type="auto" w:w="0"/>
        <w:jc w:val="center"/>
        <w:tblLayout w:type="fixed"/>
        <w:tblLook w:firstColumn="1" w:firstRow="1" w:lastColumn="0" w:lastRow="0" w:noHBand="0" w:noVBand="1" w:val="04A0"/>
      </w:tblPr>
      <w:tblGrid>
        <w:gridCol w:w="1871"/>
        <w:gridCol w:w="2891"/>
        <w:gridCol w:w="4876"/>
      </w:tblGrid>
      <w:tr>
        <w:trPr>
          <w:cantSplit/>
          <w:tblHeader/>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成果</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預期數量</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內容與完成依據</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研究原型</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1套</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可執行閉迴路與版本化約束介面</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4 nm佈局變體</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目標3類、共48個合法變體</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電氣等效、GDS、環境、pin與full證據</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驗證資料</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目標200個RC與60個ADC標籤</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含訓練、驗證與保留案例清單</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SE與技術報告</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≥12個方法案例；報告1份</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S0至S3、門檻、誤判、加速及失敗邊界</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論文</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1篇投稿稿件</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以可重現方法與比較結果為主；不預設錄取</w:t>
            </w:r>
          </w:p>
        </w:tc>
      </w:tr>
      <w:tr>
        <w:trPr>
          <w:cantSplit/>
        </w:trPr>
        <w:tc>
          <w:tcPr>
            <w:tcW w:type="dxa" w:w="187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4 nm介面與ADC</w:t>
            </w:r>
          </w:p>
        </w:tc>
        <w:tc>
          <w:tcPr>
            <w:tcW w:type="dxa" w:w="289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1個節點、1個ADC案例</w:t>
            </w:r>
          </w:p>
        </w:tc>
        <w:tc>
          <w:tcPr>
            <w:tcW w:type="dxa" w:w="4876"/>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局部／外部配線、S0最終驗收及差距</w:t>
            </w:r>
          </w:p>
        </w:tc>
      </w:tr>
    </w:tbl>
    <w:p>
      <w:pPr>
        <w:spacing w:after="0"/>
      </w:pPr>
    </w:p>
    <w:p>
      <w:pPr>
        <w:pStyle w:val="Heading2"/>
      </w:pPr>
      <w:r>
        <w:t>2 參與工作人員可獲之訓練</w:t>
      </w:r>
    </w:p>
    <w:p>
      <w:pPr>
        <w:jc w:val="both"/>
      </w:pPr>
      <w:r>
        <w:t>研究助理與學生接受4 nm鰭數／模型、PCell與局部互連、dummy與LDE、差動配線、DRC／LVS／PEX、SE邊界、SPICE及FFT、因子與配對統計訓練。每月依工具證據檢討，要求原始設計、變體、選取清單、網表與成果可追溯。</w:t>
      </w:r>
    </w:p>
    <w:p>
      <w:pPr>
        <w:pStyle w:val="Heading2"/>
      </w:pPr>
      <w:r>
        <w:t>3 學術 國家發展及其他應用方面之貢獻</w:t>
      </w:r>
    </w:p>
    <w:p>
      <w:pPr>
        <w:jc w:val="both"/>
      </w:pPr>
      <w:r>
        <w:t>學術上建立4 nm局部互連與匹配環境至SAR ADC效能的實驗證據，並釐清ESD型SE方法轉用類比轉換器的必要條件。技術上將可調佈局參數、基本單元變體、快速篩選及full驗收串接至既有AI平台，形成可審查的實體設計資料與方法。</w:t>
      </w:r>
    </w:p>
    <w:p>
      <w:pPr>
        <w:jc w:val="both"/>
      </w:pPr>
      <w:r>
        <w:t>可公開部分預期包括方法說明、無製程機密的schema、評估腳本及允許再散布的研究案例；受授權PDK與版圖僅保存於指定環境。專利與技術移轉於研究結果具體後評估，不預先承諾件數或產業效益金額。</w:t>
      </w:r>
    </w:p>
    <w:p>
      <w:pPr>
        <w:pStyle w:val="Heading1"/>
      </w:pPr>
      <w:r>
        <w:t>四 整合型研究計畫說明</w:t>
      </w:r>
    </w:p>
    <w:p>
      <w:pPr>
        <w:jc w:val="both"/>
      </w:pPr>
      <w:r>
        <w:t>本計畫以個別型規劃，不另列整合型總計畫與子計畫。內部工作包由主持人統籌，研究助理負責工具串接、資料與版本管理，學生依電路、佈局及模型分工。若正式申請改為整合型，應另行依CM04補足總體目標、子計畫關係與資源整合。</w:t>
      </w:r>
    </w:p>
    <w:p>
      <w:pPr>
        <w:pStyle w:val="Heading1"/>
        <w:pageBreakBefore/>
      </w:pPr>
      <w:r>
        <w:t>參考文獻與研究資料</w:t>
      </w:r>
    </w:p>
    <w:p>
      <w:pPr>
        <w:spacing w:after="80" w:line="360" w:lineRule="exact"/>
        <w:jc w:val="left"/>
      </w:pPr>
      <w:r>
        <w:rPr>
          <w:sz w:val="24"/>
        </w:rPr>
        <w:t>[1] J. Ratschenberger and H. Pretl, RALF: A Reinforcement Learning Assisted Automated Analog Layout Design Flow, TechRxiv preprint, 2024. DOI: 10.36227/techrxiv.171742468.82130474/v1. https://research.jku.at/en/publications/ralf-a-reinforcement-learning-assisted-automated-analog-layout-de/</w:t>
      </w:r>
    </w:p>
    <w:p>
      <w:pPr>
        <w:spacing w:after="80" w:line="360" w:lineRule="exact"/>
        <w:jc w:val="left"/>
      </w:pPr>
      <w:r>
        <w:rPr>
          <w:sz w:val="24"/>
        </w:rPr>
        <w:t>[2] T. Dhar et al., ALIGN: A System for Automating Analog Layout, IEEE Design &amp; Test, vol. 38, no. 2, pp. 8–18, 2021. DOI: 10.1109/MDAT.2020.3042177. https://arxiv.org/abs/2008.10682</w:t>
      </w:r>
    </w:p>
    <w:p>
      <w:pPr>
        <w:spacing w:after="80" w:line="360" w:lineRule="exact"/>
        <w:jc w:val="left"/>
      </w:pPr>
      <w:r>
        <w:rPr>
          <w:sz w:val="24"/>
        </w:rPr>
        <w:t>[3] J. Ratschenberger, RALF open-source implementation and README. https://github.com/JakobRat/RALF. 使用實作以研究起始時固定之commit為準。</w:t>
      </w:r>
    </w:p>
    <w:p>
      <w:pPr>
        <w:spacing w:after="80" w:line="360" w:lineRule="exact"/>
        <w:jc w:val="left"/>
      </w:pPr>
      <w:r>
        <w:rPr>
          <w:sz w:val="24"/>
        </w:rPr>
        <w:t>[4] B. Liu, Z. Jin, K. Sun, Z. Lu, Q. Zhang, and B. Yuan, Coarse-to-Fine Macro Placement via Evolutionary Search and Critical Macro Tuning, arXiv:2609.34452v1, 2026. 預印本。https://arxiv.org/html/2609.34452v1</w:t>
      </w:r>
    </w:p>
    <w:p>
      <w:pPr>
        <w:spacing w:after="80" w:line="360" w:lineRule="exact"/>
        <w:jc w:val="left"/>
      </w:pPr>
      <w:r>
        <w:rPr>
          <w:sz w:val="24"/>
        </w:rPr>
        <w:t>[5] M. Madhusudan et al., Analog Layout Generation using Optimized Primitives, DATE 2021, pp. 1234–1239. DOI: 10.23919/DATE51398.2021.9474010. FinFET基本單元之寄生、LDE及外部配線協同最佳化。</w:t>
      </w:r>
    </w:p>
    <w:p>
      <w:pPr>
        <w:spacing w:after="80" w:line="360" w:lineRule="exact"/>
        <w:jc w:val="left"/>
      </w:pPr>
      <w:r>
        <w:rPr>
          <w:sz w:val="24"/>
        </w:rPr>
        <w:t>[6] 國家科學及技術委員會，專題研究計畫共用表格與工程處表格。https://www.nstc.gov.tw/folksonomy/list/6c0b309f-518b-4613-a142-44af89109251?l=ch 及 https://www.nstc.gov.tw/folksonomy/list/49ec3266-51af-4527-be73-fe5e10d0cf13?l=ch 。查核日期2026年10月5日。</w:t>
      </w:r>
    </w:p>
    <w:p>
      <w:pPr>
        <w:spacing w:after="80" w:line="360" w:lineRule="exact"/>
        <w:jc w:val="left"/>
      </w:pPr>
      <w:r>
        <w:rPr>
          <w:sz w:val="24"/>
        </w:rPr>
        <w:t>[7] 實驗室提供，SMI_Final_Report-V4_RALF.pptx，第3至4、8至9、19至21、24至30頁。平台數據、130 nm初步放置與先進製程缺口；封面標示日期2026年10月30日。</w:t>
      </w:r>
    </w:p>
    <w:p>
      <w:pPr>
        <w:spacing w:after="80" w:line="360" w:lineRule="exact"/>
        <w:jc w:val="left"/>
      </w:pPr>
      <w:r>
        <w:rPr>
          <w:sz w:val="24"/>
        </w:rPr>
        <w:t>[8] 實驗室提供，Macro Placement → Parasitic Feedback → ECORe-placement.docx。寄生感知成本、參考與時脈約束、效能回饋及ECO研究構想。</w:t>
      </w:r>
    </w:p>
    <w:p>
      <w:pPr>
        <w:spacing w:after="80" w:line="360" w:lineRule="exact"/>
        <w:jc w:val="left"/>
      </w:pPr>
      <w:r>
        <w:rPr>
          <w:sz w:val="24"/>
        </w:rPr>
        <w:t>[9] 實驗室提供，AI-Driven_Parasitic-Aware_SAR-ADC_Placement.pptx，第1至15頁。4／6 nm寄生感知佈局概念架構；示意圖作研究構想参考。</w:t>
      </w:r>
    </w:p>
    <w:p>
      <w:pPr>
        <w:spacing w:after="80" w:line="360" w:lineRule="exact"/>
        <w:jc w:val="left"/>
      </w:pPr>
      <w:r>
        <w:rPr>
          <w:sz w:val="24"/>
        </w:rPr>
        <w:t>[10] 實驗室提供，AI-driven Macro Placement.pptx，第2至5頁。SAR ADC功能分區與巨集佈局案例圖；圖像不作本計畫實測結果。</w:t>
      </w:r>
    </w:p>
    <w:p>
      <w:pPr>
        <w:spacing w:after="80" w:line="360" w:lineRule="exact"/>
        <w:jc w:val="left"/>
      </w:pPr>
      <w:r>
        <w:rPr>
          <w:sz w:val="24"/>
        </w:rPr>
        <w:t>[11] 國家科學及技術委員會，專題研究計畫申請書，115年4月10日版。實驗室提供檔名申請書1150410.docx。CM01、CM02、CM03及CM05至CM10欄位依據。</w:t>
      </w:r>
    </w:p>
    <w:p>
      <w:pPr>
        <w:spacing w:after="80" w:line="360" w:lineRule="exact"/>
        <w:jc w:val="left"/>
      </w:pPr>
      <w:r>
        <w:rPr>
          <w:sz w:val="24"/>
        </w:rPr>
        <w:t>[12] 國家科學及技術委員會，專題研究計畫WWW線上申請作業使用注意事項及CM03頁數限制一覽表。https://tea.mcu.edu.tw/msg_text/resume/A02827932.pdf. 工程處一年期CM03至多20頁；116年度若有新公告依新規定。</w:t>
      </w:r>
    </w:p>
    <w:p>
      <w:pPr>
        <w:spacing w:after="80" w:line="360" w:lineRule="exact"/>
        <w:jc w:val="left"/>
      </w:pPr>
      <w:r>
        <w:rPr>
          <w:sz w:val="24"/>
        </w:rPr>
        <w:t>[13] Synopsys, FinFET Design Insights and Reliability. https://www.synopsys.com/articles/finfet-design.html. 鰭數量化及限制性規則，實際參數依指定PDK。</w:t>
      </w:r>
    </w:p>
    <w:p>
      <w:pPr>
        <w:spacing w:after="80" w:line="360" w:lineRule="exact"/>
        <w:jc w:val="left"/>
      </w:pPr>
      <w:r>
        <w:rPr>
          <w:sz w:val="24"/>
        </w:rPr>
        <w:t>[14] Y. Li, Q. Wu, and X. Liu, A MEOL logic layout optimization recommendation under 3 nm CFET architecture and beyond, 2022 IEEE 16th International Conference on Solid-State &amp; Integrated Circuit Technology (ICSICT). DOI: 10.1109/ICSICT55466.2022.9963470. 圖1至8與第2至3節為局部互連及EUV研究依據。</w:t>
      </w:r>
    </w:p>
    <w:p>
      <w:pPr>
        <w:spacing w:after="80" w:line="360" w:lineRule="exact"/>
        <w:jc w:val="left"/>
      </w:pPr>
      <w:r>
        <w:rPr>
          <w:sz w:val="24"/>
        </w:rPr>
        <w:t>[15] W. Lee et al., Fast and Accurate post-layout simulation methodology using 4nm LVS rule deck, 2022 IEEE 31st Microelectronics Design &amp; Test Symposium (MDTS). DOI: 10.1109/MDTS54894.2022.9826968. 第III節、圖3至5與表III為SE流程及4 nm ESD結果依據。</w:t>
      </w:r>
    </w:p>
    <w:p>
      <w:pPr>
        <w:sectPr>
          <w:footerReference w:type="default" r:id="rId11"/>
          <w:pgSz w:w="11906" w:h="16838"/>
          <w:pgMar w:top="1134" w:right="1134" w:bottom="1134" w:left="1134" w:header="340" w:footer="454" w:gutter="0"/>
          <w:cols w:space="720"/>
          <w:docGrid w:linePitch="360"/>
          <w:pgNumType w:start="1"/>
          <w:pgNumType w:start="1"/>
          <w:pgNumType w:start="1"/>
        </w:sectPr>
      </w:pPr>
    </w:p>
    <w:p>
      <w:pPr>
        <w:pStyle w:val="Heading1"/>
      </w:pPr>
      <w:r>
        <w:t>五 申請補助經費與研究人力</w:t>
      </w:r>
    </w:p>
    <w:p>
      <w:pPr>
        <w:pStyle w:val="Heading2"/>
      </w:pPr>
      <w:r>
        <w:t>CM05 經費需求彙整</w:t>
      </w:r>
    </w:p>
    <w:p>
      <w:pPr>
        <w:jc w:val="both"/>
      </w:pPr>
      <w:r>
        <w:t>經費以一年期研究需求編列。研究人力為核心，優先重用既有運算與EDA資源；若需新購設備或軟體，依校內盤點與估價確認。金額由主持人與申請機構依實際敘薪及報價填列。</w:t>
      </w:r>
    </w:p>
    <w:tbl>
      <w:tblPr>
        <w:tblW w:type="auto" w:w="0"/>
        <w:jc w:val="center"/>
        <w:tblLayout w:type="fixed"/>
        <w:tblLook w:firstColumn="1" w:firstRow="1" w:lastColumn="0" w:lastRow="0" w:noHBand="0" w:noVBand="1" w:val="04A0"/>
      </w:tblPr>
      <w:tblGrid>
        <w:gridCol w:w="2494"/>
        <w:gridCol w:w="4819"/>
        <w:gridCol w:w="2324"/>
      </w:tblGrid>
      <w:tr>
        <w:trPr>
          <w:cantSplit/>
          <w:tblHeader/>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補助項目</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需求與計算依據</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申請金額</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研究人力費</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專任研究助理1名、兼任學生2名之規劃</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耗材物品圖書雜項</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資料保存、研究文獻與必要軟體服務</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國外學者來臺</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本年度暫無規劃</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0</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研究設備費</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依既有GPU、CPU、RAM與儲存盤點決定</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【待填或0】</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國外合作與移地研究</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本年度核心無此需求</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0</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國際學術會議</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依成果、錄取與會議需求另編CM12</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【待填或0】</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管理費</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依國科會規定及申請機構比例計算</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由系統產生</w:t>
            </w:r>
          </w:p>
        </w:tc>
      </w:tr>
      <w:tr>
        <w:trPr>
          <w:cantSplit/>
        </w:trPr>
        <w:tc>
          <w:tcPr>
            <w:tcW w:type="dxa" w:w="249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申請總額</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上述項目加總</w:t>
            </w:r>
          </w:p>
        </w:tc>
        <w:tc>
          <w:tcPr>
            <w:tcW w:type="dxa" w:w="2324"/>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bl>
    <w:p>
      <w:pPr>
        <w:spacing w:after="0"/>
      </w:pPr>
    </w:p>
    <w:p>
      <w:pPr>
        <w:pStyle w:val="Heading2"/>
      </w:pPr>
      <w:r>
        <w:t>CM06 主要研究人力與分工</w:t>
      </w:r>
    </w:p>
    <w:tbl>
      <w:tblPr>
        <w:tblW w:type="auto" w:w="0"/>
        <w:jc w:val="center"/>
        <w:tblLayout w:type="fixed"/>
        <w:tblLook w:firstColumn="1" w:firstRow="1" w:lastColumn="0" w:lastRow="0" w:noHBand="0" w:noVBand="1" w:val="04A0"/>
      </w:tblPr>
      <w:tblGrid>
        <w:gridCol w:w="2381"/>
        <w:gridCol w:w="4819"/>
        <w:gridCol w:w="2438"/>
      </w:tblGrid>
      <w:tr>
        <w:trPr>
          <w:cantSplit/>
          <w:tblHeader/>
        </w:trPr>
        <w:tc>
          <w:tcPr>
            <w:tcW w:type="dxa" w:w="238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角色</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具體工作</w:t>
            </w:r>
          </w:p>
        </w:tc>
        <w:tc>
          <w:tcPr>
            <w:tcW w:type="dxa" w:w="243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姓名與投入比率</w:t>
            </w:r>
          </w:p>
        </w:tc>
      </w:tr>
      <w:tr>
        <w:trPr>
          <w:cantSplit/>
        </w:trPr>
        <w:tc>
          <w:tcPr>
            <w:tcW w:type="dxa" w:w="238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計畫主持人</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研究設計、電路規格、實驗審核及成果撰寫</w:t>
            </w:r>
          </w:p>
        </w:tc>
        <w:tc>
          <w:tcPr>
            <w:tcW w:type="dxa" w:w="243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38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共同或協同研究人員</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如設置，負責電路、實體設計或模型方法</w:t>
            </w:r>
          </w:p>
        </w:tc>
        <w:tc>
          <w:tcPr>
            <w:tcW w:type="dxa" w:w="243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【待確認】</w:t>
            </w:r>
          </w:p>
        </w:tc>
      </w:tr>
    </w:tbl>
    <w:p>
      <w:pPr>
        <w:spacing w:after="0"/>
      </w:pPr>
    </w:p>
    <w:p>
      <w:pPr>
        <w:pStyle w:val="Heading2"/>
      </w:pPr>
      <w:r>
        <w:t>CM07 約用研究人力</w:t>
      </w:r>
    </w:p>
    <w:p>
      <w:pPr>
        <w:jc w:val="both"/>
      </w:pPr>
      <w:r>
        <w:t>專任研究助理規劃1名，負責EDA介面、批次流程、資料與版本管理、平台整合與實驗重現。兼任學生規劃2名，分別負責電路與佈局驗證、預測模型與最佳化實驗。此為人力需求規劃，實際人選、任期與經費由主持人確認。</w:t>
      </w:r>
    </w:p>
    <w:p>
      <w:pPr>
        <w:jc w:val="both"/>
      </w:pPr>
      <w:r>
        <w:t>人力費計算以各人員任用月數乘以校內適用月支費用，另依規定納入雇主負擔項目與適用給付。既有人員若同時參與其他計畫，依實際工作分配與任用規則編列，避免重複計列。</w:t>
      </w:r>
    </w:p>
    <w:p>
      <w:pPr>
        <w:pStyle w:val="Heading1"/>
        <w:pageBreakBefore/>
      </w:pPr>
      <w:r>
        <w:t>六 耗材設備與配合資源</w:t>
      </w:r>
    </w:p>
    <w:p>
      <w:pPr>
        <w:pStyle w:val="Heading2"/>
      </w:pPr>
      <w:r>
        <w:t>CM08 耗材 物品 圖書及雜項費用</w:t>
      </w:r>
    </w:p>
    <w:tbl>
      <w:tblPr>
        <w:tblW w:type="auto" w:w="0"/>
        <w:jc w:val="center"/>
        <w:tblLayout w:type="fixed"/>
        <w:tblLook w:firstColumn="1" w:firstRow="1" w:lastColumn="0" w:lastRow="0" w:noHBand="0" w:noVBand="1" w:val="04A0"/>
      </w:tblPr>
      <w:tblGrid>
        <w:gridCol w:w="2551"/>
        <w:gridCol w:w="4819"/>
        <w:gridCol w:w="2268"/>
      </w:tblGrid>
      <w:tr>
        <w:trPr>
          <w:cantSplit/>
          <w:tblHeader/>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項目</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研究用途與估算方式</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金額</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資料保存與備份</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保存GDS、PEX、波形與版本；依實際容量報價</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文獻與研究資料</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方法與類比設計文獻；依實際書目與授權</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軟體或模擬服務</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僅限必要且未由既有授權涵蓋者</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【待填或0】</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成果與研討交流</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論文、國內研討及文件所需費用</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合計</w:t>
            </w:r>
          </w:p>
        </w:tc>
        <w:tc>
          <w:tcPr>
            <w:tcW w:type="dxa" w:w="4819"/>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依核定項目與機構會計分類加總</w:t>
            </w:r>
          </w:p>
        </w:tc>
        <w:tc>
          <w:tcPr>
            <w:tcW w:type="dxa" w:w="2268"/>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【待填】</w:t>
            </w:r>
          </w:p>
        </w:tc>
      </w:tr>
    </w:tbl>
    <w:p>
      <w:pPr>
        <w:spacing w:after="0"/>
      </w:pPr>
    </w:p>
    <w:p>
      <w:pPr>
        <w:pStyle w:val="Heading2"/>
      </w:pPr>
      <w:r>
        <w:t>CM10 研究設備費</w:t>
      </w:r>
    </w:p>
    <w:tbl>
      <w:tblPr>
        <w:tblW w:type="auto" w:w="0"/>
        <w:jc w:val="center"/>
        <w:tblLayout w:type="fixed"/>
        <w:tblLook w:firstColumn="1" w:firstRow="1" w:lastColumn="0" w:lastRow="0" w:noHBand="0" w:noVBand="1" w:val="04A0"/>
      </w:tblPr>
      <w:tblGrid>
        <w:gridCol w:w="2551"/>
        <w:gridCol w:w="4535"/>
        <w:gridCol w:w="2551"/>
      </w:tblGrid>
      <w:tr>
        <w:trPr>
          <w:cantSplit/>
          <w:tblHeader/>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設備需求</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必要性與處理原則</w:t>
            </w:r>
          </w:p>
        </w:tc>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shd w:fill="E8EDF2"/>
          </w:tcPr>
          <w:p>
            <w:pPr>
              <w:spacing w:after="0" w:before="0" w:line="360" w:lineRule="exact"/>
            </w:pPr>
            <w:r>
              <w:rPr>
                <w:b/>
                <w:sz w:val="24"/>
              </w:rPr>
              <w:t>數量及金額</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本地運算設備</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供模型與批次EDA；先確認既有設備是否足夠</w:t>
            </w:r>
          </w:p>
        </w:tc>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【待盤點】</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記憶體與儲存擴充</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依波形、PEX容量與並行作業量評估</w:t>
            </w:r>
          </w:p>
        </w:tc>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【待估價】</w:t>
            </w:r>
          </w:p>
        </w:tc>
      </w:tr>
      <w:tr>
        <w:trPr>
          <w:cantSplit/>
        </w:trPr>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其他研究設備</w:t>
            </w:r>
          </w:p>
        </w:tc>
        <w:tc>
          <w:tcPr>
            <w:tcW w:type="dxa" w:w="4535"/>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須與具體工作項目直接相關並說明用途</w:t>
            </w:r>
          </w:p>
        </w:tc>
        <w:tc>
          <w:tcPr>
            <w:tcW w:type="dxa" w:w="2551"/>
            <w:vAlign w:val="center"/>
            <w:tcBorders>
              <w:top w:val="single" w:sz="5" w:color="D9D9D9"/>
              <w:left w:val="single" w:sz="5" w:color="D9D9D9"/>
              <w:bottom w:val="single" w:sz="5" w:color="D9D9D9"/>
              <w:right w:val="single" w:sz="5" w:color="D9D9D9"/>
            </w:tcBorders>
            <w:tcMar>
              <w:top w:w="60" w:type="dxa"/>
              <w:bottom w:w="60" w:type="dxa"/>
              <w:left w:w="60" w:type="dxa"/>
              <w:right w:w="60" w:type="dxa"/>
            </w:tcMar>
          </w:tcPr>
          <w:p>
            <w:pPr>
              <w:spacing w:after="0" w:before="0" w:line="360" w:lineRule="exact"/>
            </w:pPr>
            <w:r>
              <w:rPr>
                <w:b w:val="0"/>
                <w:sz w:val="24"/>
              </w:rPr>
              <w:t>【待確認】</w:t>
            </w:r>
          </w:p>
        </w:tc>
      </w:tr>
    </w:tbl>
    <w:p>
      <w:pPr>
        <w:spacing w:after="0"/>
      </w:pPr>
    </w:p>
    <w:p>
      <w:pPr>
        <w:jc w:val="both"/>
      </w:pPr>
      <w:r>
        <w:t>設備、軟體與儲存項目依性質歸入對應科目，同一需求不重複列於CM08與CM10。需檢附估價與說明者，依提供之申請書及正式申請時適用規定辦理。</w:t>
      </w:r>
    </w:p>
    <w:p>
      <w:pPr>
        <w:pStyle w:val="Heading2"/>
      </w:pPr>
      <w:r>
        <w:t>配合資源與研究資料</w:t>
      </w:r>
    </w:p>
    <w:p>
      <w:pPr>
        <w:jc w:val="both"/>
      </w:pPr>
      <w:r>
        <w:t>研究使用本地平台與放置原型。核心資源為授權4 nm FinFET PDK、元件／電容、可用LDE模型及DRC／LVS／PEX／SPICE；SE另確認允許的deck或filtering介面。GPU、CPU、記憶體、儲存與批次授權依M3成本估算配置；模型與最終GDS均保留版本。</w:t>
      </w:r>
    </w:p>
    <w:p>
      <w:pPr>
        <w:jc w:val="both"/>
      </w:pPr>
      <w:r>
        <w:t>主持人代表性研究成果、著作目錄、其他計畫與本案之關係、相關補助揭露及其他必填聲明，另依正式系統欄位與適用表件填列。國際合作與差旅若新增，需補其必要性、合作對象、行程與經費依據。</w:t>
      </w:r>
    </w:p>
    <w:sectPr w:rsidR="00FC693F" w:rsidRPr="0006063C" w:rsidSect="00034616">
      <w:footerReference w:type="default" r:id="rId13"/>
      <w:pgSz w:w="11906" w:h="16838"/>
      <w:pgMar w:top="1134" w:right="1134" w:bottom="1134" w:left="1134" w:header="340" w:footer="454" w:gutter="0"/>
      <w:cols w:space="720"/>
      <w:docGrid w:linePitch="360"/>
      <w:pgNumType w:start="1"/>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37" w:val="right"/>
      </w:tabs>
      <w:spacing w:after="0"/>
    </w:pPr>
    <w:r>
      <w:rPr>
        <w:rFonts w:ascii="Noto Serif CJK TC" w:hAnsi="Noto Serif CJK TC"/>
        <w:sz w:val="20"/>
      </w:rPr>
      <w:t>表 CM01</w:t>
    </w:r>
    <w:r>
      <w:rPr>
        <w:rFonts w:ascii="Noto Serif CJK TC" w:hAnsi="Noto Serif CJK TC"/>
        <w:sz w:val="20"/>
      </w:rPr>
      <w:tab/>
      <w:t>共 1</w:t>
    </w:r>
    <w:r>
      <w:rPr>
        <w:rFonts w:ascii="Noto Serif CJK TC" w:hAnsi="Noto Serif CJK TC"/>
        <w:sz w:val="20"/>
      </w:rPr>
      <w:t xml:space="preserve"> 頁　第 </w:t>
    </w:r>
    <w:fldSimple w:instr="PAGE"/>
    <w:r>
      <w:rPr>
        <w:rFonts w:ascii="Noto Serif CJK TC" w:hAnsi="Noto Serif CJK TC"/>
        <w:sz w:val="20"/>
      </w:rPr>
      <w:t xml:space="preserve"> 頁</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37" w:val="right"/>
      </w:tabs>
      <w:spacing w:after="0"/>
    </w:pPr>
    <w:r>
      <w:rPr>
        <w:rFonts w:ascii="Noto Serif CJK TC" w:hAnsi="Noto Serif CJK TC"/>
        <w:sz w:val="20"/>
      </w:rPr>
      <w:t>表 CM02</w:t>
    </w:r>
    <w:r>
      <w:rPr>
        <w:rFonts w:ascii="Noto Serif CJK TC" w:hAnsi="Noto Serif CJK TC"/>
        <w:sz w:val="20"/>
      </w:rPr>
      <w:tab/>
      <w:t>共 2</w:t>
    </w:r>
    <w:r>
      <w:rPr>
        <w:rFonts w:ascii="Noto Serif CJK TC" w:hAnsi="Noto Serif CJK TC"/>
        <w:sz w:val="20"/>
      </w:rPr>
      <w:t xml:space="preserve"> 頁　第 </w:t>
    </w:r>
    <w:fldSimple w:instr="PAGE"/>
    <w:r>
      <w:rPr>
        <w:rFonts w:ascii="Noto Serif CJK TC" w:hAnsi="Noto Serif CJK TC"/>
        <w:sz w:val="20"/>
      </w:rPr>
      <w:t xml:space="preserve"> 頁</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37" w:val="right"/>
      </w:tabs>
      <w:spacing w:after="0"/>
    </w:pPr>
    <w:r>
      <w:rPr>
        <w:rFonts w:ascii="Noto Serif CJK TC" w:hAnsi="Noto Serif CJK TC"/>
        <w:sz w:val="20"/>
      </w:rPr>
      <w:t>表 CM03</w:t>
    </w:r>
    <w:r>
      <w:rPr>
        <w:rFonts w:ascii="Noto Serif CJK TC" w:hAnsi="Noto Serif CJK TC"/>
        <w:sz w:val="20"/>
      </w:rPr>
      <w:tab/>
      <w:t>共 19</w:t>
    </w:r>
    <w:r>
      <w:rPr>
        <w:rFonts w:ascii="Noto Serif CJK TC" w:hAnsi="Noto Serif CJK TC"/>
        <w:sz w:val="20"/>
      </w:rPr>
      <w:t xml:space="preserve"> 頁　第 </w:t>
    </w:r>
    <w:fldSimple w:instr="PAGE"/>
    <w:r>
      <w:rPr>
        <w:rFonts w:ascii="Noto Serif CJK TC" w:hAnsi="Noto Serif CJK TC"/>
        <w:sz w:val="20"/>
      </w:rPr>
      <w:t xml:space="preserve"> 頁</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37" w:val="right"/>
      </w:tabs>
      <w:spacing w:after="0"/>
    </w:pPr>
    <w:r>
      <w:rPr>
        <w:rFonts w:ascii="Noto Serif CJK TC" w:hAnsi="Noto Serif CJK TC"/>
        <w:sz w:val="20"/>
      </w:rPr>
      <w:t>表 CM05至CM10</w:t>
    </w:r>
    <w:r>
      <w:rPr>
        <w:rFonts w:ascii="Noto Serif CJK TC" w:hAnsi="Noto Serif CJK TC"/>
        <w:sz w:val="20"/>
      </w:rPr>
      <w:tab/>
      <w:t>共 2</w:t>
    </w:r>
    <w:r>
      <w:rPr>
        <w:rFonts w:ascii="Noto Serif CJK TC" w:hAnsi="Noto Serif CJK TC"/>
        <w:sz w:val="20"/>
      </w:rPr>
      <w:t xml:space="preserve"> 頁　第 </w:t>
    </w:r>
    <w:fldSimple w:instr="PAGE"/>
    <w:r>
      <w:rPr>
        <w:rFonts w:ascii="Noto Serif CJK TC" w:hAnsi="Noto Serif CJK TC"/>
        <w:sz w:val="20"/>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20"/>
    </w:pPr>
    <w:rPr>
      <w:rFonts w:ascii="Noto Serif CJK TC" w:hAnsi="Noto Serif CJK TC" w:eastAsia="Noto Serif CJK T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Noto Serif CJK TC" w:hAnsi="Noto Serif CJK TC" w:eastAsia="Noto Serif CJK T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Noto Serif CJK TC" w:hAnsi="Noto Serif CJK TC" w:eastAsia="Noto Serif CJK T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Noto Serif CJK TC" w:hAnsi="Noto Serif CJK TC" w:eastAsia="Noto Serif CJK T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Noto Serif CJK TC" w:hAnsi="Noto Serif CJK TC" w:eastAsia="Noto Serif CJK T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erif CJK TC" w:hAnsi="Noto Serif CJK TC" w:eastAsia="Noto Serif CJK T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erif CJK TC" w:hAnsi="Noto Serif CJK TC" w:eastAsia="Noto Serif CJK T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4奈米FinFET SAR ADC之局部互連最佳化與寄生感知佈局驗證</dc:title>
  <dc:subject>國科會116年度一年期專題研究計畫</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