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eastAsia="標楷體" w:hAnsi="Times New Roman"/>
          <w:color w:val="595959"/>
          <w:sz w:val="24"/>
          <w:szCs w:val="24"/>
        </w:rPr>
        <w:t xml:space="preserve">國家科學及技術委員會專題研究計畫申請書</w:t>
      </w:r>
    </w:p>
    <w:p>
      <w:pPr>
        <w:spacing w:after="60"/>
        <w:jc w:val="center"/>
      </w:pPr>
      <w:r>
        <w:rPr>
          <w:rFonts w:ascii="Times New Roman" w:eastAsia="標楷體" w:hAnsi="Times New Roman"/>
          <w:b/>
          <w:bCs/>
          <w:color w:val="1F3864"/>
          <w:sz w:val="34"/>
          <w:szCs w:val="34"/>
        </w:rPr>
        <w:t xml:space="preserve">4 奈米以下 SAR ADC 之寄生感知 AI 多代理佈局平台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Times New Roman" w:eastAsia="標楷體" w:hAnsi="Times New Roman"/>
          <w:i/>
          <w:iCs/>
          <w:sz w:val="24"/>
          <w:szCs w:val="24"/>
        </w:rPr>
        <w:t xml:space="preserve">A Parasitic-Aware Multi-Agent AI Layout Platform for Sub-4 nm SAR ADCs</w:t>
      </w:r>
    </w:p>
    <w:p>
      <w:pPr>
        <w:pStyle w:val="Heading1"/>
        <w:keepNext/>
      </w:pPr>
      <w:r>
        <w:rPr>
          <w:rFonts w:ascii="Times New Roman" w:eastAsia="標楷體" w:hAnsi="Times New Roman"/>
        </w:rPr>
        <w:t xml:space="preserve">一、計畫基本資料（表 CM01）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2152"/>
        <w:gridCol w:w="7486"/>
      </w:tblGrid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計畫名稱（中文）</w:t>
            </w:r>
          </w:p>
        </w:tc>
        <w:tc>
          <w:tcPr>
            <w:tcW w:type="dxa" w:w="748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4 奈米以下 SAR ADC 之寄生感知 AI 多代理佈局平台</w:t>
            </w:r>
          </w:p>
        </w:tc>
      </w:tr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計畫名稱（英文）</w:t>
            </w:r>
          </w:p>
        </w:tc>
        <w:tc>
          <w:tcPr>
            <w:tcW w:type="dxa" w:w="748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A Parasitic-Aware Multi-Agent AI Layout Platform for Sub-4 nm SAR ADCs</w:t>
            </w:r>
          </w:p>
        </w:tc>
      </w:tr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申請年度／類別</w:t>
            </w:r>
          </w:p>
        </w:tc>
        <w:tc>
          <w:tcPr>
            <w:tcW w:type="dxa" w:w="748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民國 116 年度；一般研究計畫，個別型，兩年期</w:t>
            </w:r>
          </w:p>
        </w:tc>
      </w:tr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計畫歸屬／學門</w:t>
            </w:r>
          </w:p>
        </w:tc>
        <w:tc>
          <w:tcPr>
            <w:tcW w:type="dxa" w:w="748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工程技術研究發展處；微電子工程（電子設計自動化、類比積體電路），細分學門代碼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【待確認】</w:t>
            </w:r>
          </w:p>
        </w:tc>
      </w:tr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申請機構／系所</w:t>
            </w:r>
          </w:p>
        </w:tc>
        <w:tc>
          <w:tcPr>
            <w:tcW w:type="dxa" w:w="748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淡江大學電機工程學系</w:t>
            </w:r>
          </w:p>
        </w:tc>
      </w:tr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計畫主持人</w:t>
            </w:r>
          </w:p>
        </w:tc>
        <w:tc>
          <w:tcPr>
            <w:tcW w:type="dxa" w:w="748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【待填教授姓名與職稱】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　共同主持人：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【由主持人確認是否設置】</w:t>
            </w:r>
          </w:p>
        </w:tc>
      </w:tr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全程執行期限</w:t>
            </w:r>
          </w:p>
        </w:tc>
        <w:tc>
          <w:tcPr>
            <w:tcW w:type="dxa" w:w="748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民國 116 年 8 月 1 日至 118 年 7 月 31 日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（24 個月；依 116 年度徵求公告確認）</w:t>
            </w:r>
          </w:p>
        </w:tc>
      </w:tr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研究對象</w:t>
            </w:r>
          </w:p>
        </w:tc>
        <w:tc>
          <w:tcPr>
            <w:tcW w:type="dxa" w:w="748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經授權之 4 nm FinFET 製程 SAR ADC：元件匹配、局部互連、巨集擺置、寄生回饋與後佈局驗證</w:t>
            </w:r>
          </w:p>
        </w:tc>
      </w:tr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前期相關計畫</w:t>
            </w:r>
          </w:p>
        </w:tc>
        <w:tc>
          <w:tcPr>
            <w:tcW w:type="dxa" w:w="748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114WFD0410548「結合大型語言模型與開源EDA工具之AI驅動物聯網晶片設計自動化版圖資料集產生與驗證平台」（114/12/01–115/11/30）</w:t>
            </w:r>
          </w:p>
        </w:tc>
      </w:tr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關鍵詞</w:t>
            </w:r>
          </w:p>
        </w:tc>
        <w:tc>
          <w:tcPr>
            <w:tcW w:type="dxa" w:w="748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4 奈米 FinFET、SAR ADC、局部互連、元件匹配、寄生感知佈局、選擇性萃取、多代理系統、ECO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執行目的與預期影響性（三百字以內）</w:t>
      </w:r>
    </w:p>
    <w:p>
      <w:pPr>
        <w:spacing w:after="80" w:line="240"/>
        <w:ind w:firstLine="440"/>
        <w:jc w:val="both"/>
      </w:pPr>
      <w:r>
        <w:rPr>
          <w:rFonts w:ascii="Times New Roman" w:eastAsia="標楷體" w:hAnsi="Times New Roman"/>
        </w:rPr>
        <w:t xml:space="preserve">本計畫把類比佈局最耗人力的「擺置—萃取—模擬—修改」迴圈，交給可追溯的 AI 代理與確定性 EDA 工具分工完成，讓設計者在繞線前即可估計佈局決策對 ADC 效能的影響。學術面，建立 4 nm 局部互連與匹配環境至 SAR ADC 效能的可重現證據，並釐清以 ESD 驗證的選擇性萃取方法轉用類比轉換器的必要條件。產業面，平台全程本地部署，PDK 與版圖不外傳，可縮短 ADC IP 跨製程移植的驗證週期，並培育兼具先進製程佈局、EDA 與 AI 能力的人才。</w:t>
      </w:r>
    </w:p>
    <w:p>
      <w:pPr>
        <w:pStyle w:val="Heading1"/>
        <w:keepNext/>
      </w:pPr>
      <w:r>
        <w:rPr>
          <w:rFonts w:ascii="Times New Roman" w:eastAsia="標楷體" w:hAnsi="Times New Roman"/>
        </w:rPr>
        <w:t xml:space="preserve">二、研究計畫中英文摘要（表 CM02）</w:t>
      </w: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（一）計畫中文摘要（五百字以內）</w:t>
      </w:r>
    </w:p>
    <w:p>
      <w:pPr>
        <w:spacing w:after="80" w:line="240"/>
        <w:ind w:firstLine="440"/>
        <w:jc w:val="both"/>
      </w:pPr>
      <w:r>
        <w:rPr>
          <w:rFonts w:ascii="Times New Roman" w:eastAsia="標楷體" w:hAnsi="Times New Roman"/>
        </w:rPr>
        <w:t xml:space="preserve">在 4 nm FinFET 製程中，整數鰭數、限制性設計規則、局部互連與佈局相依效應已主導類比電路效能，但 SAR ADC 巨集擺置仍多以半周線長（HPWL）為目標，須待繞線、寄生萃取（PEX）與佈局後模擬完成，才知效能是否劣化。本團隊前期已建立本地端 AI 輔助設計平台（1,042 份網表零崩潰之佈局建議、下線審查器、3,383 筆領域微調資料），並以 RALF 完成 130 nm SAR ADC 十一個巨集的約束驅動擺置。</w:t>
      </w:r>
    </w:p>
    <w:p>
      <w:pPr>
        <w:spacing w:after="80" w:line="240"/>
        <w:ind w:firstLine="440"/>
        <w:jc w:val="both"/>
      </w:pPr>
      <w:r>
        <w:rPr>
          <w:rFonts w:ascii="Times New Roman" w:eastAsia="標楷體" w:hAnsi="Times New Roman"/>
        </w:rPr>
        <w:t xml:space="preserve">本計畫為期兩年，研究內容包括：（一）建立 4 nm 電氣等效且製程合法的基本單元變體，量測匹配環境、接點／過孔、pin 出口與幾何裕度等佈局技巧的電路效益；（二）研究保留完整寄生 RC 的 LVS 選擇性萃取，界定 SAR ADC 子電路的必要元件集合與誤差門檻；（三）以五個 AI 代理組成「擺置—寄生—效能—裁判—ECO」閉迴路，結合粗至細搜尋、寄生預測與不確定性選樣。三組實驗分別檢驗局部技巧、快速驗證與完整 ADC 閉迴路的效益，最終一律以完整 DRC、LVS、PEX 與電路模擬驗收。預期產出 4 nm 佈局變體庫、規則庫、SE 適用性報告與閉迴路原型；4 nm 驗證以取得授權 PDK 與工具為必要條件。</w:t>
      </w:r>
    </w:p>
    <w:p>
      <w:pPr>
        <w:spacing w:after="80" w:line="240"/>
        <w:jc w:val="both"/>
      </w:pPr>
      <w:r>
        <w:rPr>
          <w:rFonts w:ascii="Times New Roman" w:eastAsia="標楷體" w:hAnsi="Times New Roman"/>
          <w:b/>
          <w:bCs/>
        </w:rPr>
        <w:t xml:space="preserve">關鍵詞：</w:t>
      </w:r>
      <w:r>
        <w:rPr>
          <w:rFonts w:ascii="Times New Roman" w:eastAsia="標楷體" w:hAnsi="Times New Roman"/>
        </w:rPr>
        <w:t xml:space="preserve"> 4 奈米 FinFET、SAR ADC、局部互連、元件匹配、選擇性萃取、寄生感知佈局、多代理系統</w:t>
      </w: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（二）計畫英文摘要（Abstract）</w:t>
      </w:r>
    </w:p>
    <w:p>
      <w:pPr>
        <w:spacing w:after="80" w:line="240"/>
        <w:ind w:firstLine="440"/>
        <w:jc w:val="both"/>
      </w:pPr>
      <w:r>
        <w:rPr>
          <w:rFonts w:ascii="Times New Roman" w:eastAsia="標楷體" w:hAnsi="Times New Roman"/>
        </w:rPr>
        <w:t xml:space="preserve">In 4 nm FinFET processes, integer fin counts, restrictive design rules, local interconnects, and layout-dependent effects dominate analog performance, yet SAR ADC macro placement is still driven by half-perimeter wirelength, so degradation is found only after routing, parasitic extraction, and post-layout simulation. Building on our on-premise AI design platform and a constraint-driven 11-macro SAR ADC placement in 130 nm, this two-year project pursues three aims.</w:t>
      </w:r>
    </w:p>
    <w:p>
      <w:pPr>
        <w:spacing w:after="80" w:line="240"/>
        <w:ind w:firstLine="440"/>
        <w:jc w:val="both"/>
      </w:pPr>
      <w:r>
        <w:rPr>
          <w:rFonts w:ascii="Times New Roman" w:eastAsia="標楷體" w:hAnsi="Times New Roman"/>
        </w:rPr>
        <w:t xml:space="preserve">First, a library of electrically equivalent, process-legal primitive variants will quantify how matching environments, contacts and vias, pin access, and geometric margins affect differential RC mismatch, settling, and comparator behavior. Second, LVS-rule-deck selective extraction, which retains the complete routing RC network and all non-FET devices, will be tested on SAR ADC sub-circuits; because published evidence concerns ESD circuits, applicability is treated as a hypothesis with predefined accuracy gates and fallback to full extraction. Third, five cooperating agents (placement, parasitic, extraction, performance judge, and ECO) will close the loop between coarse-to-fine placement, parasitic prediction, uncertainty-aware sampling, and verified performance. Controlled experiments with paired seeds, held-out variants, and PVT checks will report SNDR, SFDR, INL/DNL, specification pass rates, and end-to-end cost; final acceptance always requires complete DRC, LVS, PEX, and simulation. Deliverables include a 4 nm variant library, a layout-rule library, selective-extraction guidelines, and a closed-loop prototype.</w:t>
      </w:r>
    </w:p>
    <w:p>
      <w:pPr>
        <w:spacing w:after="80" w:line="240"/>
        <w:jc w:val="both"/>
      </w:pPr>
      <w:r>
        <w:rPr>
          <w:rFonts w:ascii="Times New Roman" w:eastAsia="標楷體" w:hAnsi="Times New Roman"/>
          <w:b/>
          <w:bCs/>
        </w:rPr>
        <w:t xml:space="preserve">Keywords:</w:t>
      </w:r>
      <w:r>
        <w:rPr>
          <w:rFonts w:ascii="Times New Roman" w:eastAsia="標楷體" w:hAnsi="Times New Roman"/>
        </w:rPr>
        <w:t xml:space="preserve"> 4 nm FinFET; SAR ADC; local interconnect; matching; selective extraction; parasitic-aware layout; multi-agent system</w:t>
      </w:r>
    </w:p>
    <w:p>
      <w:pPr>
        <w:pStyle w:val="Heading1"/>
        <w:keepNext/>
        <w:pageBreakBefore/>
      </w:pPr>
      <w:r>
        <w:rPr>
          <w:rFonts w:ascii="Times New Roman" w:eastAsia="標楷體" w:hAnsi="Times New Roman"/>
        </w:rPr>
        <w:t xml:space="preserve">三、研究計畫內容（表 CM03）</w:t>
      </w:r>
    </w:p>
    <w:p>
      <w:pPr>
        <w:pStyle w:val="Heading2"/>
        <w:keepNext/>
      </w:pPr>
      <w:r>
        <w:rPr>
          <w:rFonts w:ascii="Times New Roman" w:eastAsia="標楷體" w:hAnsi="Times New Roman"/>
        </w:rPr>
        <w:t xml:space="preserve">（一）研究計畫之背景</w:t>
      </w: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1. 研究問題與重要性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本計畫要解決的問題是：</w:t>
      </w:r>
      <w:r>
        <w:rPr>
          <w:rFonts w:ascii="Times New Roman" w:eastAsia="標楷體" w:hAnsi="Times New Roman"/>
          <w:b/>
          <w:bCs/>
        </w:rPr>
        <w:t xml:space="preserve">4 nm SAR ADC 的佈局仍以線長為目標，但決定效能的是擺置後的寄生、耦合與局部環境。</w:t>
      </w:r>
      <w:r>
        <w:rPr>
          <w:rFonts w:ascii="Times New Roman" w:eastAsia="標楷體" w:hAnsi="Times New Roman"/>
        </w:rPr>
        <w:t xml:space="preserve"> 具體表現在四個面向。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rFonts w:ascii="Times New Roman" w:eastAsia="標楷體" w:hAnsi="Times New Roman"/>
          <w:b/>
          <w:bCs/>
        </w:rPr>
        <w:t xml:space="preserve">寄生主導效能。</w:t>
      </w:r>
      <w:r>
        <w:rPr>
          <w:rFonts w:ascii="Times New Roman" w:eastAsia="標楷體" w:hAnsi="Times New Roman"/>
        </w:rPr>
        <w:t xml:space="preserve"> Kwon 等人的 6 nm 10 位元 500 MS/s pipelined SAR ADC 指出，sub-10 nm FinFET 因製程層數增加使寄生電阻上升，加寬金屬又增加寄生電容，需以 M4–M7 封裝 MOM、M3／M8 屏蔽與 M11 頂板配線取捨 [1]；7 nm 12 位元 ADC 的級間增益誤差亦來自 CDAC 寄生，需靠複製電路的相鄰佈局消除 [2]。5 nm 實務另指出 dummy 漏電、MEOL／BEOL 寄生與取樣開關 GIDL 為移植主要問題 [3]。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rFonts w:ascii="Times New Roman" w:eastAsia="標楷體" w:hAnsi="Times New Roman"/>
          <w:b/>
          <w:bCs/>
        </w:rPr>
        <w:t xml:space="preserve">FinFET 元件不能沿用平面 MOS 假設。</w:t>
      </w:r>
      <w:r>
        <w:rPr>
          <w:rFonts w:ascii="Times New Roman" w:eastAsia="標楷體" w:hAnsi="Times New Roman"/>
        </w:rPr>
        <w:t xml:space="preserve"> 鰭數為整數、朝向與間距受限 [4]；基本單元內部寄生與佈局相依效應（LDE）也會影響匹配，需與外部配線協同最佳化 [5]。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rFonts w:ascii="Times New Roman" w:eastAsia="標楷體" w:hAnsi="Times New Roman"/>
          <w:b/>
          <w:bCs/>
        </w:rPr>
        <w:t xml:space="preserve">HPWL 與類比需求衝突。</w:t>
      </w:r>
      <w:r>
        <w:rPr>
          <w:rFonts w:ascii="Times New Roman" w:eastAsia="標楷體" w:hAnsi="Times New Roman"/>
        </w:rPr>
        <w:t xml:space="preserve"> 依 CDAC、SAR 邏輯、比較器排列可得最短線長，但數位切換夾在 CDAC 與比較器之間會增加 kickback 與參考擾動 [6]；專家平面圖則以 P／N CDAC 鏡射夾住比較器、取樣開關靠邊、數位與時脈獨立成區 [7]。數位時序 slack 為正也不保證類比安定視窗成立。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rFonts w:ascii="Times New Roman" w:eastAsia="標楷體" w:hAnsi="Times New Roman"/>
          <w:b/>
          <w:bCs/>
        </w:rPr>
        <w:t xml:space="preserve">線性流程太晚發現問題。</w:t>
      </w:r>
      <w:r>
        <w:rPr>
          <w:rFonts w:ascii="Times New Roman" w:eastAsia="標楷體" w:hAnsi="Times New Roman"/>
        </w:rPr>
        <w:t xml:space="preserve"> Placement → Routing → PEX → Post-sim 的流程使失敗在最後一步才暴露，且佈局決策與電路效能的關係難以累積成可重用資料，增加工具執行與工程師介入成本。</w:t>
      </w: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2. 4 奈米佈局技巧之關鍵挑戰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4 nm 佈局品質同時受 MEOL 圖形化規則、LDE 與簽核成本限制。表 1 整理挑戰、文獻證據與本計畫的處理方式；兩篇新增文獻的數據均註明適用範圍，不直接移用為 4 nm FinFET ADC 成果。</w:t>
      </w: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1　4 奈米佈局技巧之關鍵挑戰與本計畫處理方式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1878"/>
        <w:gridCol w:w="3129"/>
        <w:gridCol w:w="2065"/>
        <w:gridCol w:w="2566"/>
      </w:tblGrid>
      <w:tr>
        <w:trPr>
          <w:cantSplit/>
          <w:tblHeader/>
        </w:trPr>
        <w:tc>
          <w:tcPr>
            <w:tcW w:type="dxa" w:w="1878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挑戰</w:t>
            </w:r>
          </w:p>
        </w:tc>
        <w:tc>
          <w:tcPr>
            <w:tcW w:type="dxa" w:w="312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文獻證據</w:t>
            </w:r>
          </w:p>
        </w:tc>
        <w:tc>
          <w:tcPr>
            <w:tcW w:type="dxa" w:w="2065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對 ADC 的影響</w:t>
            </w:r>
          </w:p>
        </w:tc>
        <w:tc>
          <w:tcPr>
            <w:tcW w:type="dxa" w:w="256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處理方式與界線</w:t>
            </w:r>
          </w:p>
        </w:tc>
      </w:tr>
      <w:tr>
        <w:trPr>
          <w:cantSplit/>
        </w:trPr>
        <w:tc>
          <w:tcPr>
            <w:tcW w:type="dxa" w:w="18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MEOL 局部互連與圖形限制</w:t>
            </w:r>
          </w:p>
        </w:tc>
        <w:tc>
          <w:tcPr>
            <w:tcW w:type="dxa" w:w="31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3 nm CFET SRAM：45° 局部互連使單元維持 5 個 fin pitch；方形 L 型互連需 6 個 fin pitch、面積增加 ≥ 20%（0.0115 → 0.0138 µm²）並多一道 M0G 光罩；低 NA EUV 每側蝕刻偏差 3–4 nm、高 NA 約 0.5 nm [8]</w:t>
            </w:r>
          </w:p>
        </w:tc>
        <w:tc>
          <w:tcPr>
            <w:tcW w:type="dxa" w:w="20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開關、比較器與 CDAC 單位格的形狀、接點重疊與面積大小</w:t>
            </w:r>
          </w:p>
        </w:tc>
        <w:tc>
          <w:tcPr>
            <w:tcW w:type="dxa" w:w="2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只轉譯互連連接、端點間距與裕度觀念；45° 圖形、pitch 與面積數字不移用，實際規則依 4 nm PDK</w:t>
            </w:r>
          </w:p>
        </w:tc>
      </w:tr>
      <w:tr>
        <w:trPr>
          <w:cantSplit/>
        </w:trPr>
        <w:tc>
          <w:tcPr>
            <w:tcW w:type="dxa" w:w="1878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互連電阻上升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與 RP／CP 取捨</w:t>
            </w:r>
          </w:p>
        </w:tc>
        <w:tc>
          <w:tcPr>
            <w:tcW w:type="dxa" w:w="312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層數增加使 RP 上升、加寬金屬增加 CP；6 nm 以金屬疊層與屏蔽取捨 [1]</w:t>
            </w:r>
          </w:p>
        </w:tc>
        <w:tc>
          <w:tcPr>
            <w:tcW w:type="dxa" w:w="206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CDAC 頂板與 VREF 的 RC 決定安定時間及增益誤差大小</w:t>
            </w:r>
          </w:p>
        </w:tc>
        <w:tc>
          <w:tcPr>
            <w:tcW w:type="dxa" w:w="256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接點／過孔與層別列為 E1 因子；敏感線以完整 PEX 量測</w:t>
            </w:r>
          </w:p>
        </w:tc>
      </w:tr>
      <w:tr>
        <w:trPr>
          <w:cantSplit/>
        </w:trPr>
        <w:tc>
          <w:tcPr>
            <w:tcW w:type="dxa" w:w="18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LDE 與 dummy 漏電</w:t>
            </w:r>
          </w:p>
        </w:tc>
        <w:tc>
          <w:tcPr>
            <w:tcW w:type="dxa" w:w="31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連續主動區 dummy 於快角高溫漏電；取樣開關 GIDL 偏高 [3]；primitive 內部寄生與 LDE 影響匹配 [5]</w:t>
            </w:r>
          </w:p>
        </w:tc>
        <w:tc>
          <w:tcPr>
            <w:tcW w:type="dxa" w:w="20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比較器輸入對偏移；取樣開關的線性度</w:t>
            </w:r>
          </w:p>
        </w:tc>
        <w:tc>
          <w:tcPr>
            <w:tcW w:type="dxa" w:w="2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dummy、鄰接與邊界環境保持可追溯；PDK 無 LDE 模型時僅報規則與環境證據</w:t>
            </w:r>
          </w:p>
        </w:tc>
      </w:tr>
      <w:tr>
        <w:trPr>
          <w:cantSplit/>
        </w:trPr>
        <w:tc>
          <w:tcPr>
            <w:tcW w:type="dxa" w:w="1878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佈局後模擬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爆量</w:t>
            </w:r>
          </w:p>
        </w:tc>
        <w:tc>
          <w:tcPr>
            <w:tcW w:type="dxa" w:w="312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4 nm ESD：完整 SPF 模擬 16.18 h；skip-cell 0.48 h 但誤差 −7.9%；選擇性萃取 0.67 h、誤差 1.4% [9]</w:t>
            </w:r>
          </w:p>
        </w:tc>
        <w:tc>
          <w:tcPr>
            <w:tcW w:type="dxa" w:w="206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閉迴路每輪跑完整 PEX 將使候選數極為有限</w:t>
            </w:r>
          </w:p>
        </w:tc>
        <w:tc>
          <w:tcPr>
            <w:tcW w:type="dxa" w:w="256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證據來自 ESD；ADC 適用性列為假設 H2，以門檻與回退機制檢驗</w:t>
            </w:r>
          </w:p>
        </w:tc>
      </w:tr>
      <w:tr>
        <w:trPr>
          <w:cantSplit/>
        </w:trPr>
        <w:tc>
          <w:tcPr>
            <w:tcW w:type="dxa" w:w="18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GAA／CFET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改變 P／N 關係</w:t>
            </w:r>
          </w:p>
        </w:tc>
        <w:tc>
          <w:tcPr>
            <w:tcW w:type="dxa" w:w="31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CFET 將 NMOS 疊於 PMOS 之上，局部互連方式決定單元面積 [8]</w:t>
            </w:r>
          </w:p>
        </w:tc>
        <w:tc>
          <w:tcPr>
            <w:tcW w:type="dxa" w:w="20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平面共質心與 P／N 分列假設需重新定義</w:t>
            </w:r>
          </w:p>
        </w:tc>
        <w:tc>
          <w:tcPr>
            <w:tcW w:type="dxa" w:w="2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僅作文獻啟發，不實作堆疊 CFET 或自行修改光罩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3. 研究目標與可檢驗假設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本計畫有三項目標：</w:t>
      </w:r>
      <w:r>
        <w:rPr>
          <w:rFonts w:ascii="Times New Roman" w:eastAsia="標楷體" w:hAnsi="Times New Roman"/>
          <w:b/>
          <w:bCs/>
        </w:rPr>
        <w:t xml:space="preserve">目標一</w:t>
      </w:r>
      <w:r>
        <w:rPr>
          <w:rFonts w:ascii="Times New Roman" w:eastAsia="標楷體" w:hAnsi="Times New Roman"/>
        </w:rPr>
        <w:t xml:space="preserve">，建立 4 nm 電氣等效且製程合法的基本單元變體與佈局技巧規則庫，量測匹配、接點與局部配線技巧；</w:t>
      </w:r>
      <w:r>
        <w:rPr>
          <w:rFonts w:ascii="Times New Roman" w:eastAsia="標楷體" w:hAnsi="Times New Roman"/>
          <w:b/>
          <w:bCs/>
        </w:rPr>
        <w:t xml:space="preserve">目標二</w:t>
      </w:r>
      <w:r>
        <w:rPr>
          <w:rFonts w:ascii="Times New Roman" w:eastAsia="標楷體" w:hAnsi="Times New Roman"/>
        </w:rPr>
        <w:t xml:space="preserve">，研究保留完整寄生 RC 的選擇性萃取（Selective Extraction, SE），建立必要元件集合與誤差門檻；</w:t>
      </w:r>
      <w:r>
        <w:rPr>
          <w:rFonts w:ascii="Times New Roman" w:eastAsia="標楷體" w:hAnsi="Times New Roman"/>
          <w:b/>
          <w:bCs/>
        </w:rPr>
        <w:t xml:space="preserve">目標三</w:t>
      </w:r>
      <w:r>
        <w:rPr>
          <w:rFonts w:ascii="Times New Roman" w:eastAsia="標楷體" w:hAnsi="Times New Roman"/>
        </w:rPr>
        <w:t xml:space="preserve">，將局部變體選擇與巨集擺置串成多代理閉迴路，以實際 PEX 與效能回饋進行 ECO。主案例規劃 12 位元 SAR ADC，取樣率、VDD、滿刻度及功耗／面積上限於 M2 依 4 nm 基準凍結。各假設由獨立對照檢驗，未成立時報告原因與適用範圍。</w:t>
      </w: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2　可檢驗假設與判定方式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660"/>
        <w:gridCol w:w="4489"/>
        <w:gridCol w:w="1056"/>
        <w:gridCol w:w="3433"/>
      </w:tblGrid>
      <w:tr>
        <w:trPr>
          <w:cantSplit/>
          <w:tblHeader/>
        </w:trPr>
        <w:tc>
          <w:tcPr>
            <w:tcW w:type="dxa" w:w="6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編號</w:t>
            </w:r>
          </w:p>
        </w:tc>
        <w:tc>
          <w:tcPr>
            <w:tcW w:type="dxa" w:w="448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假設</w:t>
            </w:r>
          </w:p>
        </w:tc>
        <w:tc>
          <w:tcPr>
            <w:tcW w:type="dxa" w:w="105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檢驗</w:t>
            </w:r>
          </w:p>
        </w:tc>
        <w:tc>
          <w:tcPr>
            <w:tcW w:type="dxa" w:w="343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成立判定（目標值）</w:t>
            </w:r>
          </w:p>
        </w:tc>
      </w:tr>
      <w:tr>
        <w:trPr>
          <w:cantSplit/>
        </w:trPr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H1</w:t>
            </w:r>
          </w:p>
        </w:tc>
        <w:tc>
          <w:tcPr>
            <w:tcW w:type="dxa" w:w="44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固定拓樸與總鰭數時，匹配環境、接點與 pin 出口協同調整，可降低關鍵差動 RC 不匹配或安定時間</w:t>
            </w:r>
          </w:p>
        </w:tc>
        <w:tc>
          <w:tcPr>
            <w:tcW w:type="dxa" w:w="10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E1</w:t>
            </w:r>
          </w:p>
        </w:tc>
        <w:tc>
          <w:tcPr>
            <w:tcW w:type="dxa" w:w="34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關鍵 εR 或 εC 中位降低 ≥ 20%，且安定時間不退化、面積功耗在限制內</w:t>
            </w:r>
          </w:p>
        </w:tc>
      </w:tr>
      <w:tr>
        <w:trPr>
          <w:cantSplit/>
        </w:trPr>
        <w:tc>
          <w:tcPr>
            <w:tcW w:type="dxa" w:w="66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H2</w:t>
            </w:r>
          </w:p>
        </w:tc>
        <w:tc>
          <w:tcPr>
            <w:tcW w:type="dxa" w:w="448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在功能依賴與負載閉合成立的子電路，SE 可於預定誤差內縮短模擬時間</w:t>
            </w:r>
          </w:p>
        </w:tc>
        <w:tc>
          <w:tcPr>
            <w:tcW w:type="dxa" w:w="105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E2</w:t>
            </w:r>
          </w:p>
        </w:tc>
        <w:tc>
          <w:tcPr>
            <w:tcW w:type="dxa" w:w="3433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通過表 14 門檻，且適用子電路模擬中位加速 ≥ 2 倍</w:t>
            </w:r>
          </w:p>
        </w:tc>
      </w:tr>
      <w:tr>
        <w:trPr>
          <w:cantSplit/>
        </w:trPr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H3</w:t>
            </w:r>
          </w:p>
        </w:tc>
        <w:tc>
          <w:tcPr>
            <w:tcW w:type="dxa" w:w="44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相同規格與預算下，局部變體選擇與寄生回饋可提高完整 ADC 的 SNDR 或規格達成率</w:t>
            </w:r>
          </w:p>
        </w:tc>
        <w:tc>
          <w:tcPr>
            <w:tcW w:type="dxa" w:w="10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E3</w:t>
            </w:r>
          </w:p>
        </w:tc>
        <w:tc>
          <w:tcPr>
            <w:tcW w:type="dxa" w:w="34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SNDR 中位改善 ≥ 1 dB 或規格率提高（配對比較、95% 信賴區間）</w:t>
            </w:r>
          </w:p>
        </w:tc>
      </w:tr>
      <w:tr>
        <w:trPr>
          <w:cantSplit/>
        </w:trPr>
        <w:tc>
          <w:tcPr>
            <w:tcW w:type="dxa" w:w="66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H4</w:t>
            </w:r>
          </w:p>
        </w:tc>
        <w:tc>
          <w:tcPr>
            <w:tcW w:type="dxa" w:w="448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不確定性選樣可降低誤排序及完整驗證之成本</w:t>
            </w:r>
          </w:p>
        </w:tc>
        <w:tc>
          <w:tcPr>
            <w:tcW w:type="dxa" w:w="105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E3 消融</w:t>
            </w:r>
          </w:p>
        </w:tc>
        <w:tc>
          <w:tcPr>
            <w:tcW w:type="dxa" w:w="3433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合格候選所需完整驗證次數降低 ≥ 20%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4. 研究範圍與界線</w:t>
      </w:r>
    </w:p>
    <w:p>
      <w:pPr>
        <w:pStyle w:val="ListParagraph"/>
        <w:numPr>
          <w:ilvl w:val="0"/>
          <w:numId w:val="3"/>
        </w:numPr>
        <w:spacing w:after="40" w:line="240"/>
        <w:jc w:val="both"/>
      </w:pPr>
      <w:r>
        <w:rPr>
          <w:rFonts w:ascii="Times New Roman" w:eastAsia="標楷體" w:hAnsi="Times New Roman"/>
        </w:rPr>
        <w:t xml:space="preserve">聚焦一個具授權的 4 nm FinFET 節點。先完成電路基準與局部變體驗證，再分 </w:t>
      </w:r>
      <w:r>
        <w:rPr>
          <w:rFonts w:ascii="Times New Roman" w:eastAsia="標楷體" w:hAnsi="Times New Roman"/>
          <w:b/>
          <w:bCs/>
        </w:rPr>
        <w:t xml:space="preserve">L0</w:t>
      </w:r>
      <w:r>
        <w:rPr>
          <w:rFonts w:ascii="Times New Roman" w:eastAsia="標楷體" w:hAnsi="Times New Roman"/>
        </w:rPr>
        <w:t xml:space="preserve">（固定巨集內部，只比較擺置）與 </w:t>
      </w:r>
      <w:r>
        <w:rPr>
          <w:rFonts w:ascii="Times New Roman" w:eastAsia="標楷體" w:hAnsi="Times New Roman"/>
          <w:b/>
          <w:bCs/>
        </w:rPr>
        <w:t xml:space="preserve">L1</w:t>
      </w:r>
      <w:r>
        <w:rPr>
          <w:rFonts w:ascii="Times New Roman" w:eastAsia="標楷體" w:hAnsi="Times New Roman"/>
        </w:rPr>
        <w:t xml:space="preserve">（從已驗證且電氣等效的變體中選擇）兩層，分開報告。</w:t>
      </w:r>
    </w:p>
    <w:p>
      <w:pPr>
        <w:pStyle w:val="ListParagraph"/>
        <w:numPr>
          <w:ilvl w:val="0"/>
          <w:numId w:val="3"/>
        </w:numPr>
        <w:spacing w:after="40" w:line="240"/>
        <w:jc w:val="both"/>
      </w:pPr>
      <w:r>
        <w:rPr>
          <w:rFonts w:ascii="Times New Roman" w:eastAsia="標楷體" w:hAnsi="Times New Roman"/>
        </w:rPr>
        <w:t xml:space="preserve">不得以改變電路尺寸、增加電容或放寬規格取得改善。CFET 僅為文獻啟發；130 nm 與 ASAP7 只作工具與介面測試，不作 4 nm 證據。</w:t>
      </w:r>
    </w:p>
    <w:p>
      <w:pPr>
        <w:pStyle w:val="ListParagraph"/>
        <w:numPr>
          <w:ilvl w:val="0"/>
          <w:numId w:val="3"/>
        </w:numPr>
        <w:spacing w:after="40" w:line="240"/>
        <w:jc w:val="both"/>
      </w:pPr>
      <w:r>
        <w:rPr>
          <w:rFonts w:ascii="Times New Roman" w:eastAsia="標楷體" w:hAnsi="Times New Roman"/>
        </w:rPr>
        <w:t xml:space="preserve">AI 負責設計意圖理解、約束生成與修改理由；數值與 EDA 結果負責判定。工具逾時、缺模型或解析失敗一律回報未完成，不以文字報告視為通過。</w:t>
      </w: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5. 上年度研究進度與前期成果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實驗室已建立網表檢索（TKU1）、佈局建議（TKU2）及下線審查（TKU3）三套模組，採語意 AI 與確定性工具雙軌架構，以 Docker、n8n、Ollama、PostgreSQL、LightRAG 及 KLayout 本地部署 [10]。表 3 列出可承接的成果與界線。</w:t>
      </w: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3　前期成果、本計畫銜接與界線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1848"/>
        <w:gridCol w:w="3169"/>
        <w:gridCol w:w="2310"/>
        <w:gridCol w:w="2311"/>
      </w:tblGrid>
      <w:tr>
        <w:trPr>
          <w:cantSplit/>
          <w:tblHeader/>
        </w:trPr>
        <w:tc>
          <w:tcPr>
            <w:tcW w:type="dxa" w:w="1848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前期成果</w:t>
            </w:r>
          </w:p>
        </w:tc>
        <w:tc>
          <w:tcPr>
            <w:tcW w:type="dxa" w:w="316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實測結果</w:t>
            </w:r>
          </w:p>
        </w:tc>
        <w:tc>
          <w:tcPr>
            <w:tcW w:type="dxa" w:w="231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本計畫銜接</w:t>
            </w:r>
          </w:p>
        </w:tc>
        <w:tc>
          <w:tcPr>
            <w:tcW w:type="dxa" w:w="231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界線</w:t>
            </w:r>
          </w:p>
        </w:tc>
      </w:tr>
      <w:tr>
        <w:trPr>
          <w:cantSplit/>
        </w:trPr>
        <w:tc>
          <w:tcPr>
            <w:tcW w:type="dxa" w:w="18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RALF 巨集擺置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（130 nm）</w:t>
            </w:r>
          </w:p>
        </w:tc>
        <w:tc>
          <w:tcPr>
            <w:tcW w:type="dxa" w:w="31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12 位元、11 個巨集；16 個搜尋變數；約束與對稱規則 PASS；SA 正規化成本 1.000 → 0.989；157.7 × 242.3 µm</w:t>
            </w:r>
          </w:p>
        </w:tc>
        <w:tc>
          <w:tcPr>
            <w:tcW w:type="dxa" w:w="23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承接搜尋原型；移植至 FinFET 介面並驗證</w:t>
            </w:r>
          </w:p>
        </w:tc>
        <w:tc>
          <w:tcPr>
            <w:tcW w:type="dxa" w:w="23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尚無區塊間繞線與寄生；成本改善不能據以推論 SNDR 改善</w:t>
            </w:r>
          </w:p>
        </w:tc>
      </w:tr>
      <w:tr>
        <w:trPr>
          <w:cantSplit/>
        </w:trPr>
        <w:tc>
          <w:tcPr>
            <w:tcW w:type="dxa" w:w="1848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TKU2 佈局建議</w:t>
            </w:r>
          </w:p>
        </w:tc>
        <w:tc>
          <w:tcPr>
            <w:tcW w:type="dxa" w:w="316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1,042 份網表全量、零崩潰，約 6 分鐘／份；中低複雜度元件涵蓋率 96.8–100%</w:t>
            </w:r>
          </w:p>
        </w:tc>
        <w:tc>
          <w:tcPr>
            <w:tcW w:type="dxa" w:w="231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重用解析與分群；文字建議轉為可執行約束 JSON</w:t>
            </w:r>
          </w:p>
        </w:tc>
        <w:tc>
          <w:tcPr>
            <w:tcW w:type="dxa" w:w="231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建議需工程師核可方可改寫版圖</w:t>
            </w:r>
          </w:p>
        </w:tc>
      </w:tr>
      <w:tr>
        <w:trPr>
          <w:cantSplit/>
        </w:trPr>
        <w:tc>
          <w:tcPr>
            <w:tcW w:type="dxa" w:w="18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TKU1 網表檢索</w:t>
            </w:r>
          </w:p>
        </w:tc>
        <w:tc>
          <w:tcPr>
            <w:tcW w:type="dxa" w:w="31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56／56 cell 入庫；952 元件、678 net、159 拓樸樣式；Hit@1 0.409、分流器 Recall 1.0</w:t>
            </w:r>
          </w:p>
        </w:tc>
        <w:tc>
          <w:tcPr>
            <w:tcW w:type="dxa" w:w="23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作為子電路辨識與約束來源</w:t>
            </w:r>
          </w:p>
        </w:tc>
        <w:tc>
          <w:tcPr>
            <w:tcW w:type="dxa" w:w="23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同族 cell 排序為瓶頸，需補 BM25</w:t>
            </w:r>
          </w:p>
        </w:tc>
      </w:tr>
      <w:tr>
        <w:trPr>
          <w:cantSplit/>
        </w:trPr>
        <w:tc>
          <w:tcPr>
            <w:tcW w:type="dxa" w:w="1848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TKU3 下線審查</w:t>
            </w:r>
          </w:p>
        </w:tc>
        <w:tc>
          <w:tcPr>
            <w:tcW w:type="dxa" w:w="316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0.18 µm SAR ADC 主案例 7／7 高風險全識別；29 案例加權偵測率 52.8%（142／269）</w:t>
            </w:r>
          </w:p>
        </w:tc>
        <w:tc>
          <w:tcPr>
            <w:tcW w:type="dxa" w:w="231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作為擺置後的審查關卡</w:t>
            </w:r>
          </w:p>
        </w:tc>
        <w:tc>
          <w:tcPr>
            <w:tcW w:type="dxa" w:w="231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不以 AI 判定取代 DRC／LVS</w:t>
            </w:r>
          </w:p>
        </w:tc>
      </w:tr>
      <w:tr>
        <w:trPr>
          <w:cantSplit/>
        </w:trPr>
        <w:tc>
          <w:tcPr>
            <w:tcW w:type="dxa" w:w="18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領域微調模型</w:t>
            </w:r>
          </w:p>
        </w:tc>
        <w:tc>
          <w:tcPr>
            <w:tcW w:type="dxa" w:w="31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3,383 筆 SFT；Qwen 3.5 9B 於 73 題保留集 72.6% → 87.7%</w:t>
            </w:r>
          </w:p>
        </w:tc>
        <w:tc>
          <w:tcPr>
            <w:tcW w:type="dxa" w:w="23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用於設計意圖辨識與規則問答</w:t>
            </w:r>
          </w:p>
        </w:tc>
        <w:tc>
          <w:tcPr>
            <w:tcW w:type="dxa" w:w="23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問答分數不代表版圖效能</w:t>
            </w:r>
          </w:p>
        </w:tc>
      </w:tr>
      <w:tr>
        <w:trPr>
          <w:cantSplit/>
        </w:trPr>
        <w:tc>
          <w:tcPr>
            <w:tcW w:type="dxa" w:w="1848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幾何規則檢查</w:t>
            </w:r>
          </w:p>
        </w:tc>
        <w:tc>
          <w:tcPr>
            <w:tcW w:type="dxa" w:w="316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ASAP7 三個 cell 正常版通過、注入違規 3／3 捕獲</w:t>
            </w:r>
          </w:p>
        </w:tc>
        <w:tc>
          <w:tcPr>
            <w:tcW w:type="dxa" w:w="231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重用 DRC 介面</w:t>
            </w:r>
          </w:p>
        </w:tc>
        <w:tc>
          <w:tcPr>
            <w:tcW w:type="dxa" w:w="231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不等同 4 nm 製程之簽核</w:t>
            </w:r>
          </w:p>
        </w:tc>
      </w:tr>
    </w:tbl>
    <w:p>
      <w:pPr>
        <w:spacing w:after="120"/>
      </w:pPr>
    </w:p>
    <w:p>
      <w:pPr>
        <w:spacing w:after="100" w:line="240"/>
        <w:jc w:val="both"/>
      </w:pPr>
      <w:r>
        <w:rPr>
          <w:rFonts w:ascii="Times New Roman" w:eastAsia="標楷體" w:hAnsi="Times New Roman"/>
          <w:color w:val="595959"/>
          <w:sz w:val="24"/>
          <w:szCs w:val="24"/>
        </w:rPr>
        <w:t xml:space="preserve">註：前期數據來源為實驗室結案報告簡報（封面日期 2026/10/30）。納入正式連續性計畫前，應由主持人以原始日誌確認完成時間、樣本範圍與計畫歸屬。簡報第 29–30 頁已列出 4 nm PDK、fin 量化元件、MOM 電容與 LDE 對稱等缺口，即本計畫的起點。</w:t>
      </w: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6. 國內外研究現況與文獻評述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現有研究已各自解決部分問題，但尚無工作把「4 nm 局部變體、寄生預測、ADC 效能判定、ECO 重擺置」串成以完整驗證為準的閉迴路。</w:t>
      </w: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4　國內外研究現況與本計畫切入點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1799"/>
        <w:gridCol w:w="2442"/>
        <w:gridCol w:w="2570"/>
        <w:gridCol w:w="2827"/>
      </w:tblGrid>
      <w:tr>
        <w:trPr>
          <w:cantSplit/>
          <w:tblHeader/>
        </w:trPr>
        <w:tc>
          <w:tcPr>
            <w:tcW w:type="dxa" w:w="179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研究方向</w:t>
            </w:r>
          </w:p>
        </w:tc>
        <w:tc>
          <w:tcPr>
            <w:tcW w:type="dxa" w:w="244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代表工作</w:t>
            </w:r>
          </w:p>
        </w:tc>
        <w:tc>
          <w:tcPr>
            <w:tcW w:type="dxa" w:w="257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已解決</w:t>
            </w:r>
          </w:p>
        </w:tc>
        <w:tc>
          <w:tcPr>
            <w:tcW w:type="dxa" w:w="282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尚未解決（本計畫切入點）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開源類比佈局</w:t>
            </w:r>
          </w:p>
        </w:tc>
        <w:tc>
          <w:tcPr>
            <w:tcW w:type="dxa" w:w="2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ALIGN [11]、MAGICAL [12]、OpenSAR [13]</w:t>
            </w:r>
          </w:p>
        </w:tc>
        <w:tc>
          <w:tcPr>
            <w:tcW w:type="dxa" w:w="25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階層式網表與約束介面，可產出 GDS</w:t>
            </w:r>
          </w:p>
        </w:tc>
        <w:tc>
          <w:tcPr>
            <w:tcW w:type="dxa" w:w="2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目標以幾何與線長為主，未以 ADC 動態效能回饋</w:t>
            </w:r>
          </w:p>
        </w:tc>
      </w:tr>
      <w:tr>
        <w:trPr>
          <w:cantSplit/>
        </w:trPr>
        <w:tc>
          <w:tcPr>
            <w:tcW w:type="dxa" w:w="179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FinFET primitive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最佳化</w:t>
            </w:r>
          </w:p>
        </w:tc>
        <w:tc>
          <w:tcPr>
            <w:tcW w:type="dxa" w:w="244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Madhusudan 等 [5]</w:t>
            </w:r>
          </w:p>
        </w:tc>
        <w:tc>
          <w:tcPr>
            <w:tcW w:type="dxa" w:w="257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將 primitive 寄生與 LDE 納入內外部配線</w:t>
            </w:r>
          </w:p>
        </w:tc>
        <w:tc>
          <w:tcPr>
            <w:tcW w:type="dxa" w:w="282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尚未連結至巨集擺置與 ADC 系統效能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RL／SA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類比擺置</w:t>
            </w:r>
          </w:p>
        </w:tc>
        <w:tc>
          <w:tcPr>
            <w:tcW w:type="dxa" w:w="2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RALF [14]</w:t>
            </w:r>
          </w:p>
        </w:tc>
        <w:tc>
          <w:tcPr>
            <w:tcW w:type="dxa" w:w="25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開源 SKY130／Magic 流程，可輸出擺置與繞線腳本</w:t>
            </w:r>
          </w:p>
        </w:tc>
        <w:tc>
          <w:tcPr>
            <w:tcW w:type="dxa" w:w="2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僅四種元件、無量化 benchmark，不能由名稱推定 FinFET 能力</w:t>
            </w:r>
          </w:p>
        </w:tc>
      </w:tr>
      <w:tr>
        <w:trPr>
          <w:cantSplit/>
        </w:trPr>
        <w:tc>
          <w:tcPr>
            <w:tcW w:type="dxa" w:w="179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數位巨集擺置</w:t>
            </w:r>
          </w:p>
        </w:tc>
        <w:tc>
          <w:tcPr>
            <w:tcW w:type="dxa" w:w="244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C2FPlace [15]、圖形強化學習 [16]</w:t>
            </w:r>
          </w:p>
        </w:tc>
        <w:tc>
          <w:tcPr>
            <w:tcW w:type="dxa" w:w="257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族群演化、關鍵巨集細調、PPA 最佳化</w:t>
            </w:r>
          </w:p>
        </w:tc>
        <w:tc>
          <w:tcPr>
            <w:tcW w:type="dxa" w:w="282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缺少類比敏感區、對稱與參考阻抗約束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佈局感知尺寸最佳化</w:t>
            </w:r>
          </w:p>
        </w:tc>
        <w:tc>
          <w:tcPr>
            <w:tcW w:type="dxa" w:w="2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Budak 等 [17]、Maji 等 [18]</w:t>
            </w:r>
          </w:p>
        </w:tc>
        <w:tc>
          <w:tcPr>
            <w:tcW w:type="dxa" w:w="25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將佈局寄生納入 sizing 與端到端流程</w:t>
            </w:r>
          </w:p>
        </w:tc>
        <w:tc>
          <w:tcPr>
            <w:tcW w:type="dxa" w:w="2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對象為元件尺寸，巨集層級的參考與時脈未成擺置變數</w:t>
            </w:r>
          </w:p>
        </w:tc>
      </w:tr>
      <w:tr>
        <w:trPr>
          <w:cantSplit/>
        </w:trPr>
        <w:tc>
          <w:tcPr>
            <w:tcW w:type="dxa" w:w="179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GNN 寄生與約束預測</w:t>
            </w:r>
          </w:p>
        </w:tc>
        <w:tc>
          <w:tcPr>
            <w:tcW w:type="dxa" w:w="244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ParaGraph [19]、對稱標註 [20]</w:t>
            </w:r>
          </w:p>
        </w:tc>
        <w:tc>
          <w:tcPr>
            <w:tcW w:type="dxa" w:w="257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快速預測 net 寄生、辨識對稱</w:t>
            </w:r>
          </w:p>
        </w:tc>
        <w:tc>
          <w:tcPr>
            <w:tcW w:type="dxa" w:w="282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未接到 ADC 效能，也未進入擺置迴路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LLM／多代理類比自動化</w:t>
            </w:r>
          </w:p>
        </w:tc>
        <w:tc>
          <w:tcPr>
            <w:tcW w:type="dxa" w:w="2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AnalogCoder [21]、AnalogAgent [22]、LayoutCopilot [23]、LLM 約束生成 [24]</w:t>
            </w:r>
          </w:p>
        </w:tc>
        <w:tc>
          <w:tcPr>
            <w:tcW w:type="dxa" w:w="25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電路生成、互動式佈局、自我演化記憶；AnalogAgent 以 Qwen-8B 達 72.1% Pass@1</w:t>
            </w:r>
          </w:p>
        </w:tc>
        <w:tc>
          <w:tcPr>
            <w:tcW w:type="dxa" w:w="2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綜述 [25] 指出缺少佈局後寄生管理；無效能裁判與 ECO 代理</w:t>
            </w:r>
          </w:p>
        </w:tc>
      </w:tr>
      <w:tr>
        <w:trPr>
          <w:cantSplit/>
        </w:trPr>
        <w:tc>
          <w:tcPr>
            <w:tcW w:type="dxa" w:w="179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SAR ADC 系統最佳化</w:t>
            </w:r>
          </w:p>
        </w:tc>
        <w:tc>
          <w:tcPr>
            <w:tcW w:type="dxa" w:w="244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Global-local 最佳化 [26]</w:t>
            </w:r>
          </w:p>
        </w:tc>
        <w:tc>
          <w:tcPr>
            <w:tcW w:type="dxa" w:w="257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系統級 sizing，12 個設計案例具競爭力</w:t>
            </w:r>
          </w:p>
        </w:tc>
        <w:tc>
          <w:tcPr>
            <w:tcW w:type="dxa" w:w="282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不涵蓋實體擺置與寄生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先進製程佈局與簽核</w:t>
            </w:r>
          </w:p>
        </w:tc>
        <w:tc>
          <w:tcPr>
            <w:tcW w:type="dxa" w:w="2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CFET MEOL [8]、4 nm SE [9]、5 nm AMS [3]</w:t>
            </w:r>
          </w:p>
        </w:tc>
        <w:tc>
          <w:tcPr>
            <w:tcW w:type="dxa" w:w="25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個別佈局技巧與模擬加速已驗證</w:t>
            </w:r>
          </w:p>
        </w:tc>
        <w:tc>
          <w:tcPr>
            <w:tcW w:type="dxa" w:w="2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技巧未成為 AI 可調用之規則；SE 僅於 ESD 驗證，cell 選擇仍靠人工</w:t>
            </w:r>
          </w:p>
        </w:tc>
      </w:tr>
    </w:tbl>
    <w:p>
      <w:pPr>
        <w:spacing w:after="120"/>
      </w:pPr>
    </w:p>
    <w:p>
      <w:pPr>
        <w:spacing w:after="80" w:line="240"/>
        <w:ind w:firstLine="440"/>
        <w:jc w:val="both"/>
      </w:pPr>
      <w:r>
        <w:rPr>
          <w:rFonts w:ascii="Times New Roman" w:eastAsia="標楷體" w:hAnsi="Times New Roman"/>
        </w:rPr>
        <w:t xml:space="preserve">兩篇關鍵文獻的適用範圍需特別說明。Li 等人研究的是假設性 3 nm CFET SRAM 與 EUV 圖形，45° 與方正局部互連涉及 5／6 個 fin pitch、3／4 道光罩與接點重疊取捨 [8]；本計畫只轉譯其連接、端點間距與裕度觀念。Lee 等人在 4 nm ESD 電路以 LVS 規則檔選擇性保留元件，未選區域保留非 FET 元件與完整寄生 RC 後正常 PEX，兩案例由 16.18 降至 0.67 小時、2.14 降至 0.27 小時，Vgs 差異 1.4% 與 0.4% [9]；這是 ESD 情境證據，並非 ADC 的 SNDR 或 INL 精度，本計畫需驗證類比負載、切換與回授的保留條件。</w:t>
      </w: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7. 原創性與預期影響</w:t>
      </w:r>
    </w:p>
    <w:p>
      <w:pPr>
        <w:pStyle w:val="ListParagraph"/>
        <w:numPr>
          <w:ilvl w:val="0"/>
          <w:numId w:val="4"/>
        </w:numPr>
        <w:spacing w:after="40" w:line="240"/>
        <w:jc w:val="both"/>
      </w:pPr>
      <w:r>
        <w:rPr>
          <w:rFonts w:ascii="Times New Roman" w:eastAsia="標楷體" w:hAnsi="Times New Roman"/>
          <w:b/>
          <w:bCs/>
        </w:rPr>
        <w:t xml:space="preserve">4 nm 合法變體連結匹配環境與局部互連：</w:t>
      </w:r>
      <w:r>
        <w:rPr>
          <w:rFonts w:ascii="Times New Roman" w:eastAsia="標楷體" w:hAnsi="Times New Roman"/>
        </w:rPr>
        <w:t xml:space="preserve"> 以電氣等效、通過完整 DRC／LVS 的 primitive 變體，量化接點、pin 出口、dummy 與裕度對差動 RC 與安定時間的影響。</w:t>
      </w:r>
    </w:p>
    <w:p>
      <w:pPr>
        <w:pStyle w:val="ListParagraph"/>
        <w:numPr>
          <w:ilvl w:val="0"/>
          <w:numId w:val="4"/>
        </w:numPr>
        <w:spacing w:after="40" w:line="240"/>
        <w:jc w:val="both"/>
      </w:pPr>
      <w:r>
        <w:rPr>
          <w:rFonts w:ascii="Times New Roman" w:eastAsia="標楷體" w:hAnsi="Times New Roman"/>
          <w:b/>
          <w:bCs/>
        </w:rPr>
        <w:t xml:space="preserve">SAR ADC 的 SE 必要元件集合與誤差判定：</w:t>
      </w:r>
      <w:r>
        <w:rPr>
          <w:rFonts w:ascii="Times New Roman" w:eastAsia="標楷體" w:hAnsi="Times New Roman"/>
        </w:rPr>
        <w:t xml:space="preserve"> 首次系統性檢驗 ESD 型選擇性萃取轉用類比轉換器的條件，並研究由寄生敏感度輔助選取保留 cell。</w:t>
      </w:r>
    </w:p>
    <w:p>
      <w:pPr>
        <w:pStyle w:val="ListParagraph"/>
        <w:numPr>
          <w:ilvl w:val="0"/>
          <w:numId w:val="4"/>
        </w:numPr>
        <w:spacing w:after="40" w:line="240"/>
        <w:jc w:val="both"/>
      </w:pPr>
      <w:r>
        <w:rPr>
          <w:rFonts w:ascii="Times New Roman" w:eastAsia="標楷體" w:hAnsi="Times New Roman"/>
          <w:b/>
          <w:bCs/>
        </w:rPr>
        <w:t xml:space="preserve">效能導向的多代理閉迴路：</w:t>
      </w:r>
      <w:r>
        <w:rPr>
          <w:rFonts w:ascii="Times New Roman" w:eastAsia="標楷體" w:hAnsi="Times New Roman"/>
        </w:rPr>
        <w:t xml:space="preserve"> 以完整萃取標籤校正 AI 輔助的局部與巨集協同搜尋，目標由線長轉為 SNDR、規格達成率與驗證成本。</w:t>
      </w:r>
    </w:p>
    <w:p>
      <w:pPr>
        <w:pStyle w:val="ListParagraph"/>
        <w:numPr>
          <w:ilvl w:val="0"/>
          <w:numId w:val="4"/>
        </w:numPr>
        <w:spacing w:after="40" w:line="240"/>
        <w:jc w:val="both"/>
      </w:pPr>
      <w:r>
        <w:rPr>
          <w:rFonts w:ascii="Times New Roman" w:eastAsia="標楷體" w:hAnsi="Times New Roman"/>
          <w:b/>
          <w:bCs/>
        </w:rPr>
        <w:t xml:space="preserve">可追溯的本地平台：</w:t>
      </w:r>
      <w:r>
        <w:rPr>
          <w:rFonts w:ascii="Times New Roman" w:eastAsia="標楷體" w:hAnsi="Times New Roman"/>
        </w:rPr>
        <w:t xml:space="preserve"> 延續「AI 判斷、Code 把關」原則，每次修改的理由、成本變化與工程師 FIX 皆寫入記憶庫；保留負結果，不只報告成功案例。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新增方法的適用性與增益由對照及消融判斷，不將既有文獻方法本身宣稱為本案原創。</w:t>
      </w:r>
    </w:p>
    <w:p>
      <w:pPr>
        <w:pStyle w:val="Heading2"/>
        <w:keepNext/>
      </w:pPr>
      <w:r>
        <w:rPr>
          <w:rFonts w:ascii="Times New Roman" w:eastAsia="標楷體" w:hAnsi="Times New Roman"/>
        </w:rPr>
        <w:t xml:space="preserve">（二）研究方法、進行步驟及執行進度</w:t>
      </w: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1. 整體研究架構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流程先建立 4 nm 合法基本單元變體，再以三層評估分工：</w:t>
      </w:r>
      <w:r>
        <w:rPr>
          <w:rFonts w:ascii="Times New Roman" w:eastAsia="標楷體" w:hAnsi="Times New Roman"/>
          <w:b/>
          <w:bCs/>
        </w:rPr>
        <w:t xml:space="preserve">快速層</w:t>
      </w:r>
      <w:r>
        <w:rPr>
          <w:rFonts w:ascii="Times New Roman" w:eastAsia="標楷體" w:hAnsi="Times New Roman"/>
        </w:rPr>
        <w:t xml:space="preserve">以 variant_id、pin 與局部環境特徵排序候選；</w:t>
      </w:r>
      <w:r>
        <w:rPr>
          <w:rFonts w:ascii="Times New Roman" w:eastAsia="標楷體" w:hAnsi="Times New Roman"/>
          <w:b/>
          <w:bCs/>
        </w:rPr>
        <w:t xml:space="preserve">SE 層</w:t>
      </w:r>
      <w:r>
        <w:rPr>
          <w:rFonts w:ascii="Times New Roman" w:eastAsia="標楷體" w:hAnsi="Times New Roman"/>
        </w:rPr>
        <w:t xml:space="preserve">保留完整寄生 RC 並核對誤差，僅用於合格情境篩選；</w:t>
      </w:r>
      <w:r>
        <w:rPr>
          <w:rFonts w:ascii="Times New Roman" w:eastAsia="標楷體" w:hAnsi="Times New Roman"/>
          <w:b/>
          <w:bCs/>
        </w:rPr>
        <w:t xml:space="preserve">完整層</w:t>
      </w:r>
      <w:r>
        <w:rPr>
          <w:rFonts w:ascii="Times New Roman" w:eastAsia="標楷體" w:hAnsi="Times New Roman"/>
        </w:rPr>
        <w:t xml:space="preserve">採未修改之 DRC／LVS、PEX 與電路模擬。只有完整層結果列為 ADC 最終合格證據，並回饋下一輪 ECO（圖 1）。此架構延續實驗室「擺置→寄生回饋→ECO 重擺置」研究構想 [27]。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平台以五個代理分工執行此流程（圖 2、表 5）。只有通過效能裁判的候選才進入繞線與簽核；未通過者帶著「主導成本項」診斷交由 ECO 代理局部修正。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圖 1　4 nm 局部變體、合格 SE 篩選與完整寄生驗收的研究流程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625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圖 2　五代理閉迴路架構（數值皆由確定性工具產生）</w:t>
      </w: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5　代理分工、工具與判定依據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1644"/>
        <w:gridCol w:w="2211"/>
        <w:gridCol w:w="2154"/>
        <w:gridCol w:w="1531"/>
        <w:gridCol w:w="2098"/>
      </w:tblGrid>
      <w:tr>
        <w:trPr>
          <w:cantSplit/>
          <w:tblHeader/>
        </w:trPr>
        <w:tc>
          <w:tcPr>
            <w:tcW w:type="dxa" w:w="164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代理</w:t>
            </w:r>
          </w:p>
        </w:tc>
        <w:tc>
          <w:tcPr>
            <w:tcW w:type="dxa" w:w="221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主要工作</w:t>
            </w:r>
          </w:p>
        </w:tc>
        <w:tc>
          <w:tcPr>
            <w:tcW w:type="dxa" w:w="215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確定性工具</w:t>
            </w:r>
          </w:p>
        </w:tc>
        <w:tc>
          <w:tcPr>
            <w:tcW w:type="dxa" w:w="153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LLM 角色</w:t>
            </w:r>
          </w:p>
        </w:tc>
        <w:tc>
          <w:tcPr>
            <w:tcW w:type="dxa" w:w="2098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判定依據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Placement</w:t>
            </w:r>
          </w:p>
        </w:tc>
        <w:tc>
          <w:tcPr>
            <w:tcW w:type="dxa" w:w="22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選擇合法局部變體並生成巨集候選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Analog-C2FPlace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SA 基準</w:t>
            </w:r>
          </w:p>
        </w:tc>
        <w:tc>
          <w:tcPr>
            <w:tcW w:type="dxa" w:w="153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由 TKU2 建議產生約束</w:t>
            </w:r>
          </w:p>
        </w:tc>
        <w:tc>
          <w:tcPr>
            <w:tcW w:type="dxa" w:w="20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variant_id、座標與硬性約束</w:t>
            </w:r>
          </w:p>
        </w:tc>
      </w:tr>
      <w:tr>
        <w:trPr>
          <w:cantSplit/>
        </w:trPr>
        <w:tc>
          <w:tcPr>
            <w:tcW w:type="dxa" w:w="1644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Parasitic／SE</w:t>
            </w:r>
          </w:p>
        </w:tc>
        <w:tc>
          <w:tcPr>
            <w:tcW w:type="dxa" w:w="221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RC 預測、選擇性萃取與誤差檢查</w:t>
            </w:r>
          </w:p>
        </w:tc>
        <w:tc>
          <w:tcPr>
            <w:tcW w:type="dxa" w:w="2154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幾何 RC 模型、樹模型／GNN</w:t>
            </w:r>
          </w:p>
        </w:tc>
        <w:tc>
          <w:tcPr>
            <w:tcW w:type="dxa" w:w="153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標示敏感 net</w:t>
            </w:r>
          </w:p>
        </w:tc>
        <w:tc>
          <w:tcPr>
            <w:tcW w:type="dxa" w:w="2098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局部變體、必要元件與完整 RC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PEX／Noise</w:t>
            </w:r>
          </w:p>
        </w:tc>
        <w:tc>
          <w:tcPr>
            <w:tcW w:type="dxa" w:w="22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執行工具並解析驗證結果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Calibre 或相容 DRC／LVS／PEX</w:t>
            </w:r>
          </w:p>
        </w:tc>
        <w:tc>
          <w:tcPr>
            <w:tcW w:type="dxa" w:w="153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無</w:t>
            </w:r>
          </w:p>
        </w:tc>
        <w:tc>
          <w:tcPr>
            <w:tcW w:type="dxa" w:w="20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工具退出狀態、規則報告、萃取網表</w:t>
            </w:r>
          </w:p>
        </w:tc>
      </w:tr>
      <w:tr>
        <w:trPr>
          <w:cantSplit/>
        </w:trPr>
        <w:tc>
          <w:tcPr>
            <w:tcW w:type="dxa" w:w="1644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Performance Judge</w:t>
            </w:r>
          </w:p>
        </w:tc>
        <w:tc>
          <w:tcPr>
            <w:tcW w:type="dxa" w:w="221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統計效能與規格達成狀態</w:t>
            </w:r>
          </w:p>
        </w:tc>
        <w:tc>
          <w:tcPr>
            <w:tcW w:type="dxa" w:w="2154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SPICE、FFT 與 INL／DNL 腳本</w:t>
            </w:r>
          </w:p>
        </w:tc>
        <w:tc>
          <w:tcPr>
            <w:tcW w:type="dxa" w:w="153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解釋失敗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主因</w:t>
            </w:r>
          </w:p>
        </w:tc>
        <w:tc>
          <w:tcPr>
            <w:tcW w:type="dxa" w:w="2098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實際模擬數值、門檻與信賴區間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ECO</w:t>
            </w:r>
          </w:p>
        </w:tc>
        <w:tc>
          <w:tcPr>
            <w:tcW w:type="dxa" w:w="22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提出可回復修改與更新版本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合法化與規則檢查</w:t>
            </w:r>
          </w:p>
        </w:tc>
        <w:tc>
          <w:tcPr>
            <w:tcW w:type="dxa" w:w="153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提出修正動作並寫入記憶庫</w:t>
            </w:r>
          </w:p>
        </w:tc>
        <w:tc>
          <w:tcPr>
            <w:tcW w:type="dxa" w:w="20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失敗原因、敏感網路與變更紀錄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2. 工作項目一：4 nm 介面與佈局約束（M1–M6）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解析 FinFET 階層式 SPICE 網表，保留模型、元件型別、端點與原始階層路徑；以 PDK 對照表解讀鰭數、finger 與倍乘參數並與 LVS 定義核對，不以平面 MOS 寬度替代。以拓樸辨識及設計師標註確認 CDAC、取樣、比較器與控制，巨集拆分前後比對 inter-block nets。AI 建議轉為 JSON 時附 target_id、單位、容許值、來源與核准狀態；未知元件、非法旋轉與鰭數衝突由程式拒絕，未核准建議不得改寫版圖。</w:t>
      </w: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6　佈局約束項目與檢查方式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1994"/>
        <w:gridCol w:w="3822"/>
        <w:gridCol w:w="3822"/>
      </w:tblGrid>
      <w:tr>
        <w:trPr>
          <w:cantSplit/>
          <w:tblHeader/>
        </w:trPr>
        <w:tc>
          <w:tcPr>
            <w:tcW w:type="dxa" w:w="199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約束項目</w:t>
            </w:r>
          </w:p>
        </w:tc>
        <w:tc>
          <w:tcPr>
            <w:tcW w:type="dxa" w:w="382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層級與執行方式</w:t>
            </w:r>
          </w:p>
        </w:tc>
        <w:tc>
          <w:tcPr>
            <w:tcW w:type="dxa" w:w="382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檢查方式</w:t>
            </w:r>
          </w:p>
        </w:tc>
      </w:tr>
      <w:tr>
        <w:trPr>
          <w:cantSplit/>
        </w:trPr>
        <w:tc>
          <w:tcPr>
            <w:tcW w:type="dxa" w:w="199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鰭數與模型參數</w:t>
            </w:r>
          </w:p>
        </w:tc>
        <w:tc>
          <w:tcPr>
            <w:tcW w:type="dxa" w:w="382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保持移植後電路之整數鰭數與拓樸（硬限制）</w:t>
            </w:r>
          </w:p>
        </w:tc>
        <w:tc>
          <w:tcPr>
            <w:tcW w:type="dxa" w:w="382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PDK 參數映射及 LVS 屬性比對</w:t>
            </w:r>
          </w:p>
        </w:tc>
      </w:tr>
      <w:tr>
        <w:trPr>
          <w:cantSplit/>
        </w:trPr>
        <w:tc>
          <w:tcPr>
            <w:tcW w:type="dxa" w:w="199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非重疊及邊界</w:t>
            </w:r>
          </w:p>
        </w:tc>
        <w:tc>
          <w:tcPr>
            <w:tcW w:type="dxa" w:w="382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巨集硬限制；halo 與合法朝向</w:t>
            </w:r>
          </w:p>
        </w:tc>
        <w:tc>
          <w:tcPr>
            <w:tcW w:type="dxa" w:w="382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PDK 網格、方向與邊界檢查</w:t>
            </w:r>
          </w:p>
        </w:tc>
      </w:tr>
      <w:tr>
        <w:trPr>
          <w:cantSplit/>
        </w:trPr>
        <w:tc>
          <w:tcPr>
            <w:tcW w:type="dxa" w:w="199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匹配環境與 LDE</w:t>
            </w:r>
          </w:p>
        </w:tc>
        <w:tc>
          <w:tcPr>
            <w:tcW w:type="dxa" w:w="382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保留 dummy、鄰接及邊界條件</w:t>
            </w:r>
          </w:p>
        </w:tc>
        <w:tc>
          <w:tcPr>
            <w:tcW w:type="dxa" w:w="382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PDK 規則；有模型時萃取模擬</w:t>
            </w:r>
          </w:p>
        </w:tc>
      </w:tr>
      <w:tr>
        <w:trPr>
          <w:cantSplit/>
        </w:trPr>
        <w:tc>
          <w:tcPr>
            <w:tcW w:type="dxa" w:w="199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差動對稱</w:t>
            </w:r>
          </w:p>
        </w:tc>
        <w:tc>
          <w:tcPr>
            <w:tcW w:type="dxa" w:w="382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成對移動、共用對稱軸</w:t>
            </w:r>
          </w:p>
        </w:tc>
        <w:tc>
          <w:tcPr>
            <w:tcW w:type="dxa" w:w="382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座標及鏡像 pin 對照</w:t>
            </w:r>
          </w:p>
        </w:tc>
      </w:tr>
      <w:tr>
        <w:trPr>
          <w:cantSplit/>
        </w:trPr>
        <w:tc>
          <w:tcPr>
            <w:tcW w:type="dxa" w:w="199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CDAC 內部匹配</w:t>
            </w:r>
          </w:p>
        </w:tc>
        <w:tc>
          <w:tcPr>
            <w:tcW w:type="dxa" w:w="382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MOM 等電容單元與 dummy 一致</w:t>
            </w:r>
          </w:p>
        </w:tc>
        <w:tc>
          <w:tcPr>
            <w:tcW w:type="dxa" w:w="382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方向、層疊、拓樸及內部 LVS</w:t>
            </w:r>
          </w:p>
        </w:tc>
      </w:tr>
      <w:tr>
        <w:trPr>
          <w:cantSplit/>
        </w:trPr>
        <w:tc>
          <w:tcPr>
            <w:tcW w:type="dxa" w:w="199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類比隔離</w:t>
            </w:r>
          </w:p>
        </w:tc>
        <w:tc>
          <w:tcPr>
            <w:tcW w:type="dxa" w:w="382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數位 keep-out 及分離電源域</w:t>
            </w:r>
          </w:p>
        </w:tc>
        <w:tc>
          <w:tcPr>
            <w:tcW w:type="dxa" w:w="382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距離與連接檢查，再作耦合驗證</w:t>
            </w:r>
          </w:p>
        </w:tc>
      </w:tr>
      <w:tr>
        <w:trPr>
          <w:cantSplit/>
        </w:trPr>
        <w:tc>
          <w:tcPr>
            <w:tcW w:type="dxa" w:w="199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敏感連線</w:t>
            </w:r>
          </w:p>
        </w:tc>
        <w:tc>
          <w:tcPr>
            <w:tcW w:type="dxa" w:w="382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CDAC 至比較器及 VREF 優先路由</w:t>
            </w:r>
          </w:p>
        </w:tc>
        <w:tc>
          <w:tcPr>
            <w:tcW w:type="dxa" w:w="382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差動 R／C 及耦合不匹配</w:t>
            </w:r>
          </w:p>
        </w:tc>
      </w:tr>
      <w:tr>
        <w:trPr>
          <w:cantSplit/>
        </w:trPr>
        <w:tc>
          <w:tcPr>
            <w:tcW w:type="dxa" w:w="199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數位控制時序</w:t>
            </w:r>
          </w:p>
        </w:tc>
        <w:tc>
          <w:tcPr>
            <w:tcW w:type="dxa" w:w="382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固定規格與轉換相位</w:t>
            </w:r>
          </w:p>
        </w:tc>
        <w:tc>
          <w:tcPr>
            <w:tcW w:type="dxa" w:w="382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邏輯延遲與類比安定視窗</w:t>
            </w:r>
          </w:p>
        </w:tc>
      </w:tr>
    </w:tbl>
    <w:p>
      <w:pPr>
        <w:spacing w:after="120"/>
      </w:pP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鰭數、合法朝向、匹配群組與電源域採硬限制；寄生、參考擾動與面積採成本或規格限制。鏡像僅在 PDK 允許且環境等效時使用，FinFET 幾何對稱不自動視為電性匹配。</w:t>
      </w: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3. 工作項目二：元件匹配、局部互連與佈局技巧規則庫（M2–M15）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以 4 nm PDK 允許的 PCell、元件與電容建立 primitive 變體。將製程固定的 gate／source／drain 與 MEOL 結構，和設計者可調的接點、pin、局部金屬及過孔分開；固定結構只萃取建模。候選須維持相同拓樸、元件模型、總鰭數、finger／multiplicity、電容值與偏壓，逐一通過完整 DRC 與 LVS。</w:t>
      </w: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7　基本單元族、研究技巧與電路量測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2268"/>
        <w:gridCol w:w="4110"/>
        <w:gridCol w:w="3260"/>
      </w:tblGrid>
      <w:tr>
        <w:trPr>
          <w:cantSplit/>
          <w:tblHeader/>
        </w:trPr>
        <w:tc>
          <w:tcPr>
            <w:tcW w:type="dxa" w:w="2268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單元族</w:t>
            </w:r>
          </w:p>
        </w:tc>
        <w:tc>
          <w:tcPr>
            <w:tcW w:type="dxa" w:w="411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研究技巧與允許變因</w:t>
            </w:r>
          </w:p>
        </w:tc>
        <w:tc>
          <w:tcPr>
            <w:tcW w:type="dxa" w:w="32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電路量測</w:t>
            </w:r>
          </w:p>
        </w:tc>
      </w:tr>
      <w:tr>
        <w:trPr>
          <w:cantSplit/>
        </w:trPr>
        <w:tc>
          <w:tcPr>
            <w:tcW w:type="dxa" w:w="2268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比較器輸入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與再生對</w:t>
            </w:r>
          </w:p>
        </w:tc>
        <w:tc>
          <w:tcPr>
            <w:tcW w:type="dxa" w:w="41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對稱／交錯排列、共同質心適用性、dummy、鄰接及 pin 出口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輸入等效偏移、判定時間、kickback、差動 RC</w:t>
            </w:r>
          </w:p>
        </w:tc>
      </w:tr>
      <w:tr>
        <w:trPr>
          <w:cantSplit/>
        </w:trPr>
        <w:tc>
          <w:tcPr>
            <w:tcW w:type="dxa" w:w="2268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取樣開關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與差動介面</w:t>
            </w:r>
          </w:p>
        </w:tc>
        <w:tc>
          <w:tcPr>
            <w:tcW w:type="dxa" w:w="411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固定鰭數的合法排列、接點與過孔、等長同層路徑、控制線隔離</w:t>
            </w:r>
          </w:p>
        </w:tc>
        <w:tc>
          <w:tcPr>
            <w:tcW w:type="dxa" w:w="326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導通路徑 R、取樣安定、輸入負載與時脈注入</w:t>
            </w:r>
          </w:p>
        </w:tc>
      </w:tr>
      <w:tr>
        <w:trPr>
          <w:cantSplit/>
        </w:trPr>
        <w:tc>
          <w:tcPr>
            <w:tcW w:type="dxa" w:w="2268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MOM 電容與 CDAC 端點</w:t>
            </w:r>
          </w:p>
        </w:tc>
        <w:tc>
          <w:tcPr>
            <w:tcW w:type="dxa" w:w="41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單元方向、分群與 dummy、共用幹線、對稱 pin 及過孔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頂板負載與耦合、差動 C、位元切換安定</w:t>
            </w:r>
          </w:p>
        </w:tc>
      </w:tr>
    </w:tbl>
    <w:p>
      <w:pPr>
        <w:spacing w:after="120"/>
      </w:pP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8　局部互連佈局變因與比較指標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2268"/>
        <w:gridCol w:w="4110"/>
        <w:gridCol w:w="3260"/>
      </w:tblGrid>
      <w:tr>
        <w:trPr>
          <w:cantSplit/>
          <w:tblHeader/>
        </w:trPr>
        <w:tc>
          <w:tcPr>
            <w:tcW w:type="dxa" w:w="2268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佈局變因</w:t>
            </w:r>
          </w:p>
        </w:tc>
        <w:tc>
          <w:tcPr>
            <w:tcW w:type="dxa" w:w="411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4 nm 實作與限制</w:t>
            </w:r>
          </w:p>
        </w:tc>
        <w:tc>
          <w:tcPr>
            <w:tcW w:type="dxa" w:w="32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比較指標</w:t>
            </w:r>
          </w:p>
        </w:tc>
      </w:tr>
      <w:tr>
        <w:trPr>
          <w:cantSplit/>
        </w:trPr>
        <w:tc>
          <w:tcPr>
            <w:tcW w:type="dxa" w:w="2268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pin 出口與互連轉向</w:t>
            </w:r>
          </w:p>
        </w:tc>
        <w:tc>
          <w:tcPr>
            <w:tcW w:type="dxa" w:w="41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比較合法直線及正交／跨層出口；最小段長與方向依 PDK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連線 R、端點 C、耦合及 pin 可達率</w:t>
            </w:r>
          </w:p>
        </w:tc>
      </w:tr>
      <w:tr>
        <w:trPr>
          <w:cantSplit/>
        </w:trPr>
        <w:tc>
          <w:tcPr>
            <w:tcW w:type="dxa" w:w="2268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接點／過孔配置</w:t>
            </w:r>
          </w:p>
        </w:tc>
        <w:tc>
          <w:tcPr>
            <w:tcW w:type="dxa" w:w="411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最小合法配置對照允許之冗餘配置；差動兩側同層同數</w:t>
            </w:r>
          </w:p>
        </w:tc>
        <w:tc>
          <w:tcPr>
            <w:tcW w:type="dxa" w:w="326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接點／via R、ΔR、負載 C 及面積</w:t>
            </w:r>
          </w:p>
        </w:tc>
      </w:tr>
      <w:tr>
        <w:trPr>
          <w:cantSplit/>
        </w:trPr>
        <w:tc>
          <w:tcPr>
            <w:tcW w:type="dxa" w:w="2268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enclosure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與端點間距</w:t>
            </w:r>
          </w:p>
        </w:tc>
        <w:tc>
          <w:tcPr>
            <w:tcW w:type="dxa" w:w="41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量測接點包覆、線端、tip-to-tip 及最小面積等裕度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最小裕度、DRC 失敗類型與 RC 變化</w:t>
            </w:r>
          </w:p>
        </w:tc>
      </w:tr>
      <w:tr>
        <w:trPr>
          <w:cantSplit/>
        </w:trPr>
        <w:tc>
          <w:tcPr>
            <w:tcW w:type="dxa" w:w="2268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敏感線層別與隔離</w:t>
            </w:r>
          </w:p>
        </w:tc>
        <w:tc>
          <w:tcPr>
            <w:tcW w:type="dxa" w:w="411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固定合法層選項；比較距離、shield 及交叉方式</w:t>
            </w:r>
          </w:p>
        </w:tc>
        <w:tc>
          <w:tcPr>
            <w:tcW w:type="dxa" w:w="326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couple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、總 C、參考恢復與時脈注入</w:t>
            </w:r>
          </w:p>
        </w:tc>
      </w:tr>
    </w:tbl>
    <w:p>
      <w:pPr>
        <w:spacing w:after="120"/>
      </w:pP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幾何裕度以相同單位的實際包覆或間距減去規則要求計算（式 1）；複合規則以工具判定為準，不以單一裕度替代 DRC。若 PDK 提供 overlay、線寬或蝕刻變異模型，以其允許範圍做萃取敏感度實驗；若無，僅比較名目裕度與 RC 角落，不宣稱已模擬 EUV 曝光窗口或量產良率結果。</w:t>
      </w:r>
    </w:p>
    <w:p>
      <w:pPr>
        <w:spacing w:after="120" w:before="80"/>
        <w:jc w:val="center"/>
      </w:pPr>
      <w:r>
        <w:rPr>
          <w:rFonts w:ascii="Times New Roman" w:eastAsia="標楷體" w:hAnsi="Times New Roman"/>
          <w:i/>
          <w:iCs/>
          <w:sz w:val="24"/>
          <w:szCs w:val="24"/>
        </w:rPr>
        <w:t xml:space="preserve">m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rule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 =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d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actual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 −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d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required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 ,   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m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min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 = min(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m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rule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)</w:t>
      </w:r>
      <w:r>
        <w:rPr>
          <w:rFonts w:ascii="Times New Roman" w:eastAsia="標楷體" w:hAnsi="Times New Roman"/>
          <w:sz w:val="24"/>
          <w:szCs w:val="24"/>
        </w:rPr>
        <w:t xml:space="preserve">　　（1）</w:t>
      </w:r>
    </w:p>
    <w:p>
      <w:pPr>
        <w:spacing w:after="80" w:line="240"/>
        <w:jc w:val="both"/>
      </w:pPr>
      <w:r>
        <w:rPr>
          <w:rFonts w:ascii="Times New Roman" w:eastAsia="標楷體" w:hAnsi="Times New Roman"/>
          <w:b/>
          <w:bCs/>
        </w:rPr>
        <w:t xml:space="preserve">佈局技巧規則庫。</w:t>
      </w:r>
      <w:r>
        <w:rPr>
          <w:rFonts w:ascii="Times New Roman" w:eastAsia="標楷體" w:hAnsi="Times New Roman"/>
        </w:rPr>
        <w:t xml:space="preserve"> 將實驗結論與文獻、PDK 文件及工程師 FIX 整理為規則庫（表 9），每條規則記錄適用條件、做法、對應成本項、驗證方式與來源，寫入 LightRAG 與 SQL 並轉為 SFT 題型。規則庫分為「公開抽象規則」與「機密 PDK 參數」兩層，只釋出前者。第二年擴充為 CDAC、比較器輸入對、取樣開關、VREF 幹線與時脈屏蔽的參數化模板，ECO 代理可直接切換已驗證的模板變體。</w:t>
      </w: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9　4 奈米佈局技巧規則庫分類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1582"/>
        <w:gridCol w:w="4891"/>
        <w:gridCol w:w="3165"/>
      </w:tblGrid>
      <w:tr>
        <w:trPr>
          <w:cantSplit/>
          <w:tblHeader/>
        </w:trPr>
        <w:tc>
          <w:tcPr>
            <w:tcW w:type="dxa" w:w="158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類別</w:t>
            </w:r>
          </w:p>
        </w:tc>
        <w:tc>
          <w:tcPr>
            <w:tcW w:type="dxa" w:w="489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代表技巧</w:t>
            </w:r>
          </w:p>
        </w:tc>
        <w:tc>
          <w:tcPr>
            <w:tcW w:type="dxa" w:w="3165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驗證方式</w:t>
            </w:r>
          </w:p>
        </w:tc>
      </w:tr>
      <w:tr>
        <w:trPr>
          <w:cantSplit/>
        </w:trPr>
        <w:tc>
          <w:tcPr>
            <w:tcW w:type="dxa" w:w="158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元件層</w:t>
            </w:r>
          </w:p>
        </w:tc>
        <w:tc>
          <w:tcPr>
            <w:tcW w:type="dxa" w:w="4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multi-finger、fin 數量化、dummy gate、擴散斷點</w:t>
            </w:r>
          </w:p>
        </w:tc>
        <w:tc>
          <w:tcPr>
            <w:tcW w:type="dxa" w:w="31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LVS 屬性、PDK 規則</w:t>
            </w:r>
          </w:p>
        </w:tc>
      </w:tr>
      <w:tr>
        <w:trPr>
          <w:cantSplit/>
        </w:trPr>
        <w:tc>
          <w:tcPr>
            <w:tcW w:type="dxa" w:w="158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匹配</w:t>
            </w:r>
          </w:p>
        </w:tc>
        <w:tc>
          <w:tcPr>
            <w:tcW w:type="dxa" w:w="489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沿 fin 方向共質心、ABBA 交指、對稱 LDE 環境</w:t>
            </w:r>
          </w:p>
        </w:tc>
        <w:tc>
          <w:tcPr>
            <w:tcW w:type="dxa" w:w="316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完整 PEX、Monte Carlo</w:t>
            </w:r>
          </w:p>
        </w:tc>
      </w:tr>
      <w:tr>
        <w:trPr>
          <w:cantSplit/>
        </w:trPr>
        <w:tc>
          <w:tcPr>
            <w:tcW w:type="dxa" w:w="158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被動元件</w:t>
            </w:r>
          </w:p>
        </w:tc>
        <w:tc>
          <w:tcPr>
            <w:tcW w:type="dxa" w:w="4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MOM 封裝與屏蔽層、單位格規則化、頂板出口</w:t>
            </w:r>
          </w:p>
        </w:tc>
        <w:tc>
          <w:tcPr>
            <w:tcW w:type="dxa" w:w="31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內部 LVS、差動 C</w:t>
            </w:r>
          </w:p>
        </w:tc>
      </w:tr>
      <w:tr>
        <w:trPr>
          <w:cantSplit/>
        </w:trPr>
        <w:tc>
          <w:tcPr>
            <w:tcW w:type="dxa" w:w="158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互連</w:t>
            </w:r>
          </w:p>
        </w:tc>
        <w:tc>
          <w:tcPr>
            <w:tcW w:type="dxa" w:w="489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單向金屬、雙 via／via 陣列、EM 線寬、屏蔽</w:t>
            </w:r>
          </w:p>
        </w:tc>
        <w:tc>
          <w:tcPr>
            <w:tcW w:type="dxa" w:w="316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DRC、R／C 矩陣、EM 檢查</w:t>
            </w:r>
          </w:p>
        </w:tc>
      </w:tr>
      <w:tr>
        <w:trPr>
          <w:cantSplit/>
        </w:trPr>
        <w:tc>
          <w:tcPr>
            <w:tcW w:type="dxa" w:w="158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隔離</w:t>
            </w:r>
          </w:p>
        </w:tc>
        <w:tc>
          <w:tcPr>
            <w:tcW w:type="dxa" w:w="4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guard ring、深 N 井、時脈 keep-out、分離電源域</w:t>
            </w:r>
          </w:p>
        </w:tc>
        <w:tc>
          <w:tcPr>
            <w:tcW w:type="dxa" w:w="31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耦合萃取、注入模擬</w:t>
            </w:r>
          </w:p>
        </w:tc>
      </w:tr>
      <w:tr>
        <w:trPr>
          <w:cantSplit/>
        </w:trPr>
        <w:tc>
          <w:tcPr>
            <w:tcW w:type="dxa" w:w="158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可製造性</w:t>
            </w:r>
          </w:p>
        </w:tc>
        <w:tc>
          <w:tcPr>
            <w:tcW w:type="dxa" w:w="489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密度填充只放 dummy 區、統一方向、MEOL 互連樣式</w:t>
            </w:r>
          </w:p>
        </w:tc>
        <w:tc>
          <w:tcPr>
            <w:tcW w:type="dxa" w:w="316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DRC、幾何裕度（式 1）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4. 工作項目三：類比約束下的粗至細搜尋與 ECO（M7–M21）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將既有 SA 移植至 4 nm 合法巨集，並參考 C2FPlace 的族群演化與關鍵巨集細調 [15]。L0 固定內部版圖，搜尋離散位置與合法朝向；L1 增加 variant_id。最佳化採「先可行、再排序」：幾何、連通、匹配群組與電源域不合格者直接淘汰；可行候選以式 2 排序，各項以預先固定的基準尺度正規化，避免將電阻、電容、電壓與面積直接相加。權重由驗證集設定並在保留測試前凍結，比較時同步報告各原始指標。</w:t>
      </w:r>
    </w:p>
    <w:p>
      <w:pPr>
        <w:spacing w:after="120" w:before="80"/>
        <w:jc w:val="center"/>
      </w:pPr>
      <w:r>
        <w:rPr>
          <w:rFonts w:ascii="Times New Roman" w:eastAsia="標楷體" w:hAnsi="Times New Roman"/>
          <w:i/>
          <w:iCs/>
          <w:sz w:val="24"/>
          <w:szCs w:val="24"/>
        </w:rPr>
        <w:t xml:space="preserve">J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fast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(P) =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w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H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z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HPWL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 +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w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C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z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coupling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 +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w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R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z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reference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 +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w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M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z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mismatch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 +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w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L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z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LDE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 +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w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A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z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area</w:t>
      </w:r>
      <w:r>
        <w:rPr>
          <w:rFonts w:ascii="Times New Roman" w:eastAsia="標楷體" w:hAnsi="Times New Roman"/>
          <w:sz w:val="24"/>
          <w:szCs w:val="24"/>
        </w:rPr>
        <w:t xml:space="preserve">　　（2）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z 為無量綱指標；P 包含位置、朝向及 L1 的 variant_id。</w:t>
      </w:r>
      <w:r>
        <w:rPr>
          <w:rFonts w:ascii="Times New Roman" w:eastAsia="標楷體" w:hAnsi="Times New Roman"/>
          <w:i/>
          <w:iCs/>
        </w:rPr>
        <w:t xml:space="preserve">z</w:t>
      </w:r>
      <w:r>
        <w:rPr>
          <w:rFonts w:ascii="Times New Roman" w:eastAsia="標楷體" w:hAnsi="Times New Roman"/>
          <w:vertAlign w:val="subscript"/>
        </w:rPr>
        <w:t xml:space="preserve">LDE</w:t>
      </w:r>
      <w:r>
        <w:rPr>
          <w:rFonts w:ascii="Times New Roman" w:eastAsia="標楷體" w:hAnsi="Times New Roman"/>
        </w:rPr>
        <w:t xml:space="preserve"> 僅在 PDK 提供 LDE 模型時啟用。表 10 列出各成本來源與處理方式，其中熱、基板與回流路徑只在有模型時量化，否則僅作風險特徵。</w:t>
      </w: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10　寄生感知成本項與處理方式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1606"/>
        <w:gridCol w:w="2945"/>
        <w:gridCol w:w="2142"/>
        <w:gridCol w:w="2945"/>
      </w:tblGrid>
      <w:tr>
        <w:trPr>
          <w:cantSplit/>
          <w:tblHeader/>
        </w:trPr>
        <w:tc>
          <w:tcPr>
            <w:tcW w:type="dxa" w:w="160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成本項</w:t>
            </w:r>
          </w:p>
        </w:tc>
        <w:tc>
          <w:tcPr>
            <w:tcW w:type="dxa" w:w="2945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SAR ADC 物理意義</w:t>
            </w:r>
          </w:p>
        </w:tc>
        <w:tc>
          <w:tcPr>
            <w:tcW w:type="dxa" w:w="214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資料來源</w:t>
            </w:r>
          </w:p>
        </w:tc>
        <w:tc>
          <w:tcPr>
            <w:tcW w:type="dxa" w:w="2945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在搜尋中的處理</w:t>
            </w:r>
          </w:p>
        </w:tc>
      </w:tr>
      <w:tr>
        <w:trPr>
          <w:cantSplit/>
        </w:trPr>
        <w:tc>
          <w:tcPr>
            <w:tcW w:type="dxa" w:w="160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HPWL</w:t>
            </w:r>
          </w:p>
        </w:tc>
        <w:tc>
          <w:tcPr>
            <w:tcW w:type="dxa" w:w="29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繞線線長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網表／擺置</w:t>
            </w:r>
          </w:p>
        </w:tc>
        <w:tc>
          <w:tcPr>
            <w:tcW w:type="dxa" w:w="29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z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HPWL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，僅作搜尋代理值</w:t>
            </w:r>
          </w:p>
        </w:tc>
      </w:tr>
      <w:tr>
        <w:trPr>
          <w:cantSplit/>
        </w:trPr>
        <w:tc>
          <w:tcPr>
            <w:tcW w:type="dxa" w:w="160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時脈耦合</w:t>
            </w:r>
          </w:p>
        </w:tc>
        <w:tc>
          <w:tcPr>
            <w:tcW w:type="dxa" w:w="294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CLK 對 CDAC／比較器的耦合</w:t>
            </w:r>
          </w:p>
        </w:tc>
        <w:tc>
          <w:tcPr>
            <w:tcW w:type="dxa" w:w="214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耦合萃取</w:t>
            </w:r>
          </w:p>
        </w:tc>
        <w:tc>
          <w:tcPr>
            <w:tcW w:type="dxa" w:w="294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z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coupling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；決定 keep-out 及屏蔽配置</w:t>
            </w:r>
          </w:p>
        </w:tc>
      </w:tr>
      <w:tr>
        <w:trPr>
          <w:cantSplit/>
        </w:trPr>
        <w:tc>
          <w:tcPr>
            <w:tcW w:type="dxa" w:w="160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參考網路</w:t>
            </w:r>
          </w:p>
        </w:tc>
        <w:tc>
          <w:tcPr>
            <w:tcW w:type="dxa" w:w="29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VREF 阻抗、瞬態偏移與恢復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RC 萃取與參考網路模擬</w:t>
            </w:r>
          </w:p>
        </w:tc>
        <w:tc>
          <w:tcPr>
            <w:tcW w:type="dxa" w:w="29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z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reference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；目標為 </w:t>
            </w:r>
            <w:r>
              <w:rPr>
                <w:rFonts w:ascii="Times New Roman" w:eastAsia="標楷體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Z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REF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 最小且 L／R 對稱</w:t>
            </w:r>
          </w:p>
        </w:tc>
      </w:tr>
      <w:tr>
        <w:trPr>
          <w:cantSplit/>
        </w:trPr>
        <w:tc>
          <w:tcPr>
            <w:tcW w:type="dxa" w:w="160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差動不匹配</w:t>
            </w:r>
          </w:p>
        </w:tc>
        <w:tc>
          <w:tcPr>
            <w:tcW w:type="dxa" w:w="294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差動 R／C 及接點／via 之差異</w:t>
            </w:r>
          </w:p>
        </w:tc>
        <w:tc>
          <w:tcPr>
            <w:tcW w:type="dxa" w:w="214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完整 PEX</w:t>
            </w:r>
          </w:p>
        </w:tc>
        <w:tc>
          <w:tcPr>
            <w:tcW w:type="dxa" w:w="294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z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mismatch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（式 6 的 </w:t>
            </w:r>
            <w:r>
              <w:rPr>
                <w:rFonts w:ascii="Times New Roman" w:eastAsia="標楷體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ε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R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、</w:t>
            </w:r>
            <w:r>
              <w:rPr>
                <w:rFonts w:ascii="Times New Roman" w:eastAsia="標楷體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ε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C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）</w:t>
            </w:r>
          </w:p>
        </w:tc>
      </w:tr>
      <w:tr>
        <w:trPr>
          <w:cantSplit/>
        </w:trPr>
        <w:tc>
          <w:tcPr>
            <w:tcW w:type="dxa" w:w="160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LDE</w:t>
            </w:r>
          </w:p>
        </w:tc>
        <w:tc>
          <w:tcPr>
            <w:tcW w:type="dxa" w:w="29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WPE、主動區長度與間距、dummy 配置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PDK LDE 模型</w:t>
            </w:r>
          </w:p>
        </w:tc>
        <w:tc>
          <w:tcPr>
            <w:tcW w:type="dxa" w:w="29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z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LDE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；無模型時不計分</w:t>
            </w:r>
          </w:p>
        </w:tc>
      </w:tr>
      <w:tr>
        <w:trPr>
          <w:cantSplit/>
        </w:trPr>
        <w:tc>
          <w:tcPr>
            <w:tcW w:type="dxa" w:w="160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IR／EM</w:t>
            </w:r>
          </w:p>
        </w:tc>
        <w:tc>
          <w:tcPr>
            <w:tcW w:type="dxa" w:w="294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電源與參考 IR drop、電流密度</w:t>
            </w:r>
          </w:p>
        </w:tc>
        <w:tc>
          <w:tcPr>
            <w:tcW w:type="dxa" w:w="214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EMIR</w:t>
            </w:r>
          </w:p>
        </w:tc>
        <w:tc>
          <w:tcPr>
            <w:tcW w:type="dxa" w:w="294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規格限制</w:t>
            </w:r>
          </w:p>
        </w:tc>
      </w:tr>
      <w:tr>
        <w:trPr>
          <w:cantSplit/>
        </w:trPr>
        <w:tc>
          <w:tcPr>
            <w:tcW w:type="dxa" w:w="160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熱／基板</w:t>
            </w:r>
          </w:p>
        </w:tc>
        <w:tc>
          <w:tcPr>
            <w:tcW w:type="dxa" w:w="29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熱梯度與數位切換造成的基板雜訊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功率圖、基板模型代理值</w:t>
            </w:r>
          </w:p>
        </w:tc>
        <w:tc>
          <w:tcPr>
            <w:tcW w:type="dxa" w:w="29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有模型才量化，否則為風險特徵</w:t>
            </w:r>
          </w:p>
        </w:tc>
      </w:tr>
      <w:tr>
        <w:trPr>
          <w:cantSplit/>
        </w:trPr>
        <w:tc>
          <w:tcPr>
            <w:tcW w:type="dxa" w:w="160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回流路徑</w:t>
            </w:r>
          </w:p>
        </w:tc>
        <w:tc>
          <w:tcPr>
            <w:tcW w:type="dxa" w:w="294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訊號與回流迴路面積</w:t>
            </w:r>
          </w:p>
        </w:tc>
        <w:tc>
          <w:tcPr>
            <w:tcW w:type="dxa" w:w="214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電源／地拓樸</w:t>
            </w:r>
          </w:p>
        </w:tc>
        <w:tc>
          <w:tcPr>
            <w:tcW w:type="dxa" w:w="294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依拓樸個別處理，不與其他阻抗任意相加</w:t>
            </w:r>
          </w:p>
        </w:tc>
      </w:tr>
      <w:tr>
        <w:trPr>
          <w:cantSplit/>
        </w:trPr>
        <w:tc>
          <w:tcPr>
            <w:tcW w:type="dxa" w:w="160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幾何裕度</w:t>
            </w:r>
          </w:p>
        </w:tc>
        <w:tc>
          <w:tcPr>
            <w:tcW w:type="dxa" w:w="29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tip-to-tip、enclosure、圖形合法性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DRC 與式 1</w:t>
            </w:r>
          </w:p>
        </w:tc>
        <w:tc>
          <w:tcPr>
            <w:tcW w:type="dxa" w:w="29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硬門檻；額外裕度作選擇性比較</w:t>
            </w:r>
          </w:p>
        </w:tc>
      </w:tr>
    </w:tbl>
    <w:p>
      <w:pPr>
        <w:spacing w:after="120"/>
      </w:pP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完成精確驗證的候選須先通過面積、功耗、DRC、LVS 與時序門檻，再以 SNDR 為主要效能指標、SFDR 為獨立限制或 Pareto 比較項。ENOB 由標準正弦測試下的 SNDR 推得（式 3），避免兩者在獎勵中重複加權。</w:t>
      </w:r>
    </w:p>
    <w:p>
      <w:pPr>
        <w:spacing w:after="120" w:before="80"/>
        <w:jc w:val="center"/>
      </w:pP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ENOB = 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(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SNDR − 1.76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)／(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6.02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)</w:t>
      </w:r>
      <w:r>
        <w:rPr>
          <w:rFonts w:ascii="Times New Roman" w:eastAsia="標楷體" w:hAnsi="Times New Roman"/>
          <w:sz w:val="24"/>
          <w:szCs w:val="24"/>
        </w:rPr>
        <w:t xml:space="preserve">　　（3）</w:t>
      </w:r>
    </w:p>
    <w:p>
      <w:pPr>
        <w:spacing w:after="80" w:line="240"/>
        <w:jc w:val="both"/>
      </w:pPr>
      <w:r>
        <w:rPr>
          <w:rFonts w:ascii="Times New Roman" w:eastAsia="標楷體" w:hAnsi="Times New Roman"/>
          <w:b/>
          <w:bCs/>
        </w:rPr>
        <w:t xml:space="preserve">ECO 策略。</w:t>
      </w:r>
      <w:r>
        <w:rPr>
          <w:rFonts w:ascii="Times New Roman" w:eastAsia="標楷體" w:hAnsi="Times New Roman"/>
        </w:rPr>
        <w:t xml:space="preserve"> 依敏感網路耦合、差動寄生誤差及局部擾動對效能的影響排序巨集，對 CDAC 與比較器間距、時脈路徑隔離或參考接點位置提出小幅調整，並可切換已驗證的模板變體。每次修改記錄原因、受影響網路、預測與實測改善及工具成本；未改善或失去可行性即回復上一版本。強化學習（PPO）只在核心里程碑完成後作為局部 ECO 延伸，其訓練成本計入預算；RL 是否優於 SA 以相同評估預算公平比較。</w:t>
      </w: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5. 工作項目四：寄生預測與不確定性回饋（M7–M20）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建立 placement-only、粗略路由及完整 PEX 資料；SE 結果另標為篩選資料，不當成完整 ADC 真值。輸入特徵包含 variant_id、接點／via 配置、pin 出口、幾何裕度、dummy 與鄰接特徵，以及層別、平行段、線寬、間距與屏蔽；只知巨集距離時提高不確定性。</w:t>
      </w: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11　寄生與效能資料集之特徵與標籤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2295"/>
        <w:gridCol w:w="3672"/>
        <w:gridCol w:w="3671"/>
      </w:tblGrid>
      <w:tr>
        <w:trPr>
          <w:cantSplit/>
          <w:tblHeader/>
        </w:trPr>
        <w:tc>
          <w:tcPr>
            <w:tcW w:type="dxa" w:w="2295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特徵或標籤</w:t>
            </w:r>
          </w:p>
        </w:tc>
        <w:tc>
          <w:tcPr>
            <w:tcW w:type="dxa" w:w="367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來源</w:t>
            </w:r>
          </w:p>
        </w:tc>
        <w:tc>
          <w:tcPr>
            <w:tcW w:type="dxa" w:w="3671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29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差動輸入 R 與 C</w:t>
            </w:r>
          </w:p>
        </w:tc>
        <w:tc>
          <w:tcPr>
            <w:tcW w:type="dxa" w:w="36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完整 PEX，含巨集內外部寄生</w:t>
            </w:r>
          </w:p>
        </w:tc>
        <w:tc>
          <w:tcPr>
            <w:tcW w:type="dxa" w:w="3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估計差動不匹配與輸入負載</w:t>
            </w:r>
          </w:p>
        </w:tc>
      </w:tr>
      <w:tr>
        <w:trPr>
          <w:cantSplit/>
        </w:trPr>
        <w:tc>
          <w:tcPr>
            <w:tcW w:type="dxa" w:w="229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CLK 至類比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節點耦合</w:t>
            </w:r>
          </w:p>
        </w:tc>
        <w:tc>
          <w:tcPr>
            <w:tcW w:type="dxa" w:w="367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耦合萃取與指定切換情境</w:t>
            </w:r>
          </w:p>
        </w:tc>
        <w:tc>
          <w:tcPr>
            <w:tcW w:type="dxa" w:w="367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分析時脈擾動與效能退化</w:t>
            </w:r>
          </w:p>
        </w:tc>
      </w:tr>
      <w:tr>
        <w:trPr>
          <w:cantSplit/>
        </w:trPr>
        <w:tc>
          <w:tcPr>
            <w:tcW w:type="dxa" w:w="229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VREF 路徑 R 與瞬態偏移</w:t>
            </w:r>
          </w:p>
        </w:tc>
        <w:tc>
          <w:tcPr>
            <w:tcW w:type="dxa" w:w="36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RC 萃取及參考網路模擬</w:t>
            </w:r>
          </w:p>
        </w:tc>
        <w:tc>
          <w:tcPr>
            <w:tcW w:type="dxa" w:w="3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評估 CDAC 切換與參考恢復</w:t>
            </w:r>
          </w:p>
        </w:tc>
      </w:tr>
      <w:tr>
        <w:trPr>
          <w:cantSplit/>
        </w:trPr>
        <w:tc>
          <w:tcPr>
            <w:tcW w:type="dxa" w:w="229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安定時間與比較器偏移</w:t>
            </w:r>
          </w:p>
        </w:tc>
        <w:tc>
          <w:tcPr>
            <w:tcW w:type="dxa" w:w="367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固定測試平台電路模擬</w:t>
            </w:r>
          </w:p>
        </w:tc>
        <w:tc>
          <w:tcPr>
            <w:tcW w:type="dxa" w:w="367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連接寄生與轉換誤差</w:t>
            </w:r>
          </w:p>
        </w:tc>
      </w:tr>
      <w:tr>
        <w:trPr>
          <w:cantSplit/>
        </w:trPr>
        <w:tc>
          <w:tcPr>
            <w:tcW w:type="dxa" w:w="229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SNDR 及 SFDR</w:t>
            </w:r>
          </w:p>
        </w:tc>
        <w:tc>
          <w:tcPr>
            <w:tcW w:type="dxa" w:w="36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萃取後 ADC 輸出，FFT 設定一致</w:t>
            </w:r>
          </w:p>
        </w:tc>
        <w:tc>
          <w:tcPr>
            <w:tcW w:type="dxa" w:w="3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訓練效能預測與最終驗證</w:t>
            </w:r>
          </w:p>
        </w:tc>
      </w:tr>
    </w:tbl>
    <w:p>
      <w:pPr>
        <w:spacing w:after="120"/>
      </w:pP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初始以簡化 RC 及樹模型作基準，資料足夠再評估圖模型（如 ParaGraph [19]）。寄生與效能模型分開，區分「幾何→寄生」與「寄生→效能」的誤差。敏感電容誤差以式 4 計算，</w:t>
      </w:r>
      <w:r>
        <w:rPr>
          <w:rFonts w:ascii="Times New Roman" w:eastAsia="標楷體" w:hAnsi="Times New Roman"/>
          <w:i/>
          <w:iCs/>
        </w:rPr>
        <w:t xml:space="preserve">C</w:t>
      </w:r>
      <w:r>
        <w:rPr>
          <w:rFonts w:ascii="Times New Roman" w:eastAsia="標楷體" w:hAnsi="Times New Roman"/>
          <w:vertAlign w:val="subscript"/>
        </w:rPr>
        <w:t xml:space="preserve">floor</w:t>
      </w:r>
      <w:r>
        <w:rPr>
          <w:rFonts w:ascii="Times New Roman" w:eastAsia="標楷體" w:hAnsi="Times New Roman"/>
        </w:rPr>
        <w:t xml:space="preserve"> 於保留測試前依 PDK 尺度固定；以模型集成或交叉驗證殘差估計不確定性並量測預測區間涵蓋率。</w:t>
      </w:r>
    </w:p>
    <w:p>
      <w:pPr>
        <w:spacing w:after="120" w:before="80"/>
        <w:jc w:val="center"/>
      </w:pP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NMAE = mean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( |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C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pred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 −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C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full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| / max(|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C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full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|,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C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floor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) )</w:t>
      </w:r>
      <w:r>
        <w:rPr>
          <w:rFonts w:ascii="Times New Roman" w:eastAsia="標楷體" w:hAnsi="Times New Roman"/>
          <w:sz w:val="24"/>
          <w:szCs w:val="24"/>
        </w:rPr>
        <w:t xml:space="preserve">　　（4）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每輪優先驗證預測較佳且不確定性高的候選，並保留少量隨機候選以降低取樣偏差。無法完成繞線或模擬的候選記為失敗資料，不在訓練與效率統計中刪除。資料依電路變體分組切分，同一電路的近似位置或同一萃取網表不得同時出現在訓練與測試集。</w:t>
      </w: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6. 工作項目五：繞線、完整驗證與轉換時序（M10–M24）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依 PDK 各層允許方向、pitch、過孔與 pin 可達性建立固定路由策略：差動輸入保持相近層別與過孔，VREF 兼顧負載、恢復與對稱，時脈避開敏感區；屏蔽會增加對地電容，需萃取與模擬比較。研究版圖以指定 PDK 執行 DRC 與 LVS，記錄規則版本、完整報告與 waiver 依據；幾何對稱或 AI 審查不能替代 LVS。PEX 保留敏感端點的耦合與分佈 RC；巨集內外寄生以一致端點與階層規則合併，避免重複計入。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逐位轉換需確認 CDAC 安定、比較器判定、邏輯控制與保留時間均落在可用相位內（式 5）；非同步控制依實際相位相依關係建立時序條件，不只檢查數位 slack。</w:t>
      </w:r>
    </w:p>
    <w:p>
      <w:pPr>
        <w:spacing w:after="120" w:before="80"/>
        <w:jc w:val="center"/>
      </w:pPr>
      <w:r>
        <w:rPr>
          <w:rFonts w:ascii="Times New Roman" w:eastAsia="標楷體" w:hAnsi="Times New Roman"/>
          <w:i/>
          <w:iCs/>
          <w:sz w:val="24"/>
          <w:szCs w:val="24"/>
        </w:rPr>
        <w:t xml:space="preserve">T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DAC,settle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 +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T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comparator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 +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T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logic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 +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T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guard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 ≤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T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bit,available</w:t>
      </w:r>
      <w:r>
        <w:rPr>
          <w:rFonts w:ascii="Times New Roman" w:eastAsia="標楷體" w:hAnsi="Times New Roman"/>
          <w:sz w:val="24"/>
          <w:szCs w:val="24"/>
        </w:rPr>
        <w:t xml:space="preserve">　　（5）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動態模擬使用固定記錄長度、穩態丟棄區段與頻譜規則，包含低頻與接近 Nyquist 至少三個輸入頻率，優先採相干取樣，同步量測 SNDR、SFDR、ENOB、功耗與參考擾動並保留輸出碼與腳本。PVT 與 RC corner 至少涵蓋名目及主要慢／快、電壓與溫度邊界；關鍵匹配子電路 Monte Carlo 目標 100 次，完整 ADC 先 30 次試跑再依運算成本提升至 100 次；基準與方法共用種子，規格率附信賴區間。INL／DNL 採固定 ramp 或 code-density 程序量測，不由 SNDR 推定。</w:t>
      </w: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7. 工作項目六：4 nm LVS 選擇性萃取（M4–M18）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依 Lee 等人的 SE 概念 [9]，從完整 4 nm GDS 與網表建立必要元件清單：選取單元保留全部元件；未選區保留全部非 FET 元件及完整分佈／耦合 RC，再執行正常 PEX。LVS rule deck 用於選擇元件，不取代 PEX。</w:t>
      </w: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12　SE 實作步驟與檢查點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2126"/>
        <w:gridCol w:w="3969"/>
        <w:gridCol w:w="3543"/>
      </w:tblGrid>
      <w:tr>
        <w:trPr>
          <w:cantSplit/>
          <w:tblHeader/>
        </w:trPr>
        <w:tc>
          <w:tcPr>
            <w:tcW w:type="dxa" w:w="212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步驟</w:t>
            </w:r>
          </w:p>
        </w:tc>
        <w:tc>
          <w:tcPr>
            <w:tcW w:type="dxa" w:w="396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研究實作</w:t>
            </w:r>
          </w:p>
        </w:tc>
        <w:tc>
          <w:tcPr>
            <w:tcW w:type="dxa" w:w="354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檢查點</w:t>
            </w:r>
          </w:p>
        </w:tc>
      </w:tr>
      <w:tr>
        <w:trPr>
          <w:cantSplit/>
        </w:trPr>
        <w:tc>
          <w:tcPr>
            <w:tcW w:type="dxa" w:w="212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依量測目的選取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比較器判定、取樣／CDAC 安定、VREF 恢復分別建立清單</w:t>
            </w:r>
          </w:p>
        </w:tc>
        <w:tc>
          <w:tcPr>
            <w:tcW w:type="dxa" w:w="35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保留偏壓、回授、切換及負載相關器件</w:t>
            </w:r>
          </w:p>
        </w:tc>
      </w:tr>
      <w:tr>
        <w:trPr>
          <w:cantSplit/>
        </w:trPr>
        <w:tc>
          <w:tcPr>
            <w:tcW w:type="dxa" w:w="212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功能與負載閉合</w:t>
            </w:r>
          </w:p>
        </w:tc>
        <w:tc>
          <w:tcPr>
            <w:tcW w:type="dxa" w:w="396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由網表追蹤至供應、控制與耦合端；逐層擴充選區</w:t>
            </w:r>
          </w:p>
        </w:tc>
        <w:tc>
          <w:tcPr>
            <w:tcW w:type="dxa" w:w="3543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被刪器件對 DC、動態負載及注入的影響</w:t>
            </w:r>
          </w:p>
        </w:tc>
      </w:tr>
      <w:tr>
        <w:trPr>
          <w:cantSplit/>
        </w:trPr>
        <w:tc>
          <w:tcPr>
            <w:tcW w:type="dxa" w:w="212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獨立 SE 設定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原簽核 deck 不變；可修改時另建 wrapper／研究 runset</w:t>
            </w:r>
          </w:p>
        </w:tc>
        <w:tc>
          <w:tcPr>
            <w:tcW w:type="dxa" w:w="35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保存 hash、選取 instance 及被移除 FET 清單</w:t>
            </w:r>
          </w:p>
        </w:tc>
      </w:tr>
      <w:tr>
        <w:trPr>
          <w:cantSplit/>
        </w:trPr>
        <w:tc>
          <w:tcPr>
            <w:tcW w:type="dxa" w:w="212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完整寄生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與被動元件</w:t>
            </w:r>
          </w:p>
        </w:tc>
        <w:tc>
          <w:tcPr>
            <w:tcW w:type="dxa" w:w="396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保存所有區域配線 RC、電源／地、耦合與必要 decap</w:t>
            </w:r>
          </w:p>
        </w:tc>
        <w:tc>
          <w:tcPr>
            <w:tcW w:type="dxa" w:w="3543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網路、耦合對、元件及端點對照</w:t>
            </w:r>
          </w:p>
        </w:tc>
      </w:tr>
      <w:tr>
        <w:trPr>
          <w:cantSplit/>
        </w:trPr>
        <w:tc>
          <w:tcPr>
            <w:tcW w:type="dxa" w:w="212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正常 PEX 與模擬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輸出可模擬網表；使用與 full 一致的刺激與條件</w:t>
            </w:r>
          </w:p>
        </w:tc>
        <w:tc>
          <w:tcPr>
            <w:tcW w:type="dxa" w:w="35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時間、記憶體、波形與誤判記錄</w:t>
            </w:r>
          </w:p>
        </w:tc>
      </w:tr>
    </w:tbl>
    <w:p>
      <w:pPr>
        <w:spacing w:after="120"/>
      </w:pP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SAR ADC 的取樣開關、比較器、CDAC 切換、參考緩衝與類比偏壓原則上全部保留；以 FET 建模的 MOS 電容或 decap 不可因名稱或區域刪除。完整配線 RC 不包含被刪 FET 的端點電容與非線性負載，因此必須保留影響負載的器件或使用經 full 校正的邊界模型。若授權 deck 不可修改，改用工具支援的 instance filtering 或由完整 PEX 網表作可追溯選取，另標為替代實作。</w:t>
      </w:r>
      <w:r>
        <w:rPr>
          <w:rFonts w:ascii="Times New Roman" w:eastAsia="標楷體" w:hAnsi="Times New Roman"/>
          <w:b/>
          <w:bCs/>
        </w:rPr>
        <w:t xml:space="preserve">本計畫的延伸研究</w:t>
      </w:r>
      <w:r>
        <w:rPr>
          <w:rFonts w:ascii="Times New Roman" w:eastAsia="標楷體" w:hAnsi="Times New Roman"/>
        </w:rPr>
        <w:t xml:space="preserve">是由 Parasitic 代理依敏感網路寄生圖與成本貢獻建議保留清單，並以完整 SPF 抽查校正；此分支與原 SE 結果分開報告。</w:t>
      </w: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13　萃取模式與研究判定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1843"/>
        <w:gridCol w:w="4252"/>
        <w:gridCol w:w="3543"/>
      </w:tblGrid>
      <w:tr>
        <w:trPr>
          <w:cantSplit/>
          <w:tblHeader/>
        </w:trPr>
        <w:tc>
          <w:tcPr>
            <w:tcW w:type="dxa" w:w="184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模式</w:t>
            </w:r>
          </w:p>
        </w:tc>
        <w:tc>
          <w:tcPr>
            <w:tcW w:type="dxa" w:w="425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保留內容與用途</w:t>
            </w:r>
          </w:p>
        </w:tc>
        <w:tc>
          <w:tcPr>
            <w:tcW w:type="dxa" w:w="354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研究判定</w:t>
            </w:r>
          </w:p>
        </w:tc>
      </w:tr>
      <w:tr>
        <w:trPr>
          <w:cantSplit/>
        </w:trPr>
        <w:tc>
          <w:tcPr>
            <w:tcW w:type="dxa" w:w="1843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S0 完整萃取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全部元件與完整 RC；不啟用 RC reduction</w:t>
            </w:r>
          </w:p>
        </w:tc>
        <w:tc>
          <w:tcPr>
            <w:tcW w:type="dxa" w:w="35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精度、電路效能與最終驗收參考</w:t>
            </w:r>
          </w:p>
        </w:tc>
      </w:tr>
      <w:tr>
        <w:trPr>
          <w:cantSplit/>
        </w:trPr>
        <w:tc>
          <w:tcPr>
            <w:tcW w:type="dxa" w:w="1843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S1 skip-cell</w:t>
            </w:r>
          </w:p>
        </w:tc>
        <w:tc>
          <w:tcPr>
            <w:tcW w:type="dxa" w:w="425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使用工具實際選項；記錄被省略內容</w:t>
            </w:r>
          </w:p>
        </w:tc>
        <w:tc>
          <w:tcPr>
            <w:tcW w:type="dxa" w:w="3543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只比較速度與誤差，不作驗收</w:t>
            </w:r>
          </w:p>
        </w:tc>
      </w:tr>
      <w:tr>
        <w:trPr>
          <w:cantSplit/>
        </w:trPr>
        <w:tc>
          <w:tcPr>
            <w:tcW w:type="dxa" w:w="1843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S2 選擇性萃取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必要 FET、全部非 FET、全區域寄生 RC</w:t>
            </w:r>
          </w:p>
        </w:tc>
        <w:tc>
          <w:tcPr>
            <w:tcW w:type="dxa" w:w="35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檢驗文獻方法於 ADC 子電路的適用性</w:t>
            </w:r>
          </w:p>
        </w:tc>
      </w:tr>
      <w:tr>
        <w:trPr>
          <w:cantSplit/>
        </w:trPr>
        <w:tc>
          <w:tcPr>
            <w:tcW w:type="dxa" w:w="1843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S3 邊界模型</w:t>
            </w:r>
          </w:p>
        </w:tc>
        <w:tc>
          <w:tcPr>
            <w:tcW w:type="dxa" w:w="425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S2 加經校正的非選區負載／激擾模型</w:t>
            </w:r>
          </w:p>
        </w:tc>
        <w:tc>
          <w:tcPr>
            <w:tcW w:type="dxa" w:w="3543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獨立研究分支，不與 S2 結果合併分析</w:t>
            </w:r>
          </w:p>
        </w:tc>
      </w:tr>
    </w:tbl>
    <w:p>
      <w:pPr>
        <w:spacing w:after="120"/>
      </w:pP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14　SE 預設篩選門檻（本計畫訂定，非文獻既有結果）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3685"/>
        <w:gridCol w:w="2976"/>
        <w:gridCol w:w="2977"/>
      </w:tblGrid>
      <w:tr>
        <w:trPr>
          <w:cantSplit/>
          <w:tblHeader/>
        </w:trPr>
        <w:tc>
          <w:tcPr>
            <w:tcW w:type="dxa" w:w="3685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指標</w:t>
            </w:r>
          </w:p>
        </w:tc>
        <w:tc>
          <w:tcPr>
            <w:tcW w:type="dxa" w:w="297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子電路層級</w:t>
            </w:r>
          </w:p>
        </w:tc>
        <w:tc>
          <w:tcPr>
            <w:tcW w:type="dxa" w:w="297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ADC 層級篩選</w:t>
            </w:r>
          </w:p>
        </w:tc>
      </w:tr>
      <w:tr>
        <w:trPr>
          <w:cantSplit/>
        </w:trPr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判定／安定時間相對差異</w:t>
            </w:r>
          </w:p>
        </w:tc>
        <w:tc>
          <w:tcPr>
            <w:tcW w:type="dxa" w:w="29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≤ 5%</w:t>
            </w:r>
          </w:p>
        </w:tc>
        <w:tc>
          <w:tcPr>
            <w:tcW w:type="dxa" w:w="29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8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位元決策時刻 CDAC 頂板等效電壓差</w:t>
            </w:r>
          </w:p>
        </w:tc>
        <w:tc>
          <w:tcPr>
            <w:tcW w:type="dxa" w:w="297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≤ 0.1 LSB</w:t>
            </w:r>
          </w:p>
        </w:tc>
        <w:tc>
          <w:tcPr>
            <w:tcW w:type="dxa" w:w="297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|ΔSNDR|／|ΔSFDR|</w:t>
            </w:r>
          </w:p>
        </w:tc>
        <w:tc>
          <w:tcPr>
            <w:tcW w:type="dxa" w:w="29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29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≤ 0.25 dB／≤ 0.5 dB</w:t>
            </w:r>
          </w:p>
        </w:tc>
      </w:tr>
      <w:tr>
        <w:trPr>
          <w:cantSplit/>
        </w:trPr>
        <w:tc>
          <w:tcPr>
            <w:tcW w:type="dxa" w:w="368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INL、DNL 曲線最大差異</w:t>
            </w:r>
          </w:p>
        </w:tc>
        <w:tc>
          <w:tcPr>
            <w:tcW w:type="dxa" w:w="297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297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各 ≤ 0.2 LSB</w:t>
            </w:r>
          </w:p>
        </w:tc>
      </w:tr>
      <w:tr>
        <w:trPr>
          <w:cantSplit/>
        </w:trPr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適用子電路模擬中位加速 </w:t>
            </w:r>
            <w:r>
              <w:rPr>
                <w:rFonts w:ascii="Times New Roman" w:eastAsia="標楷體" w:hAnsi="Times New Roman"/>
                <w:i/>
                <w:iCs/>
                <w:sz w:val="24"/>
                <w:szCs w:val="24"/>
              </w:rPr>
              <w:t xml:space="preserve">S</w:t>
            </w:r>
            <w:r>
              <w:rPr>
                <w:rFonts w:ascii="Times New Roman" w:eastAsia="標楷體" w:hAnsi="Times New Roman"/>
                <w:sz w:val="24"/>
                <w:szCs w:val="24"/>
                <w:vertAlign w:val="subscript"/>
              </w:rPr>
              <w:t xml:space="preserve">sim</w:t>
            </w: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（式 7）</w:t>
            </w:r>
          </w:p>
        </w:tc>
        <w:tc>
          <w:tcPr>
            <w:tcW w:type="dxa" w:w="29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≥ 2 倍</w:t>
            </w:r>
          </w:p>
        </w:tc>
        <w:tc>
          <w:tcPr>
            <w:tcW w:type="dxa" w:w="29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≥ 2 倍</w:t>
            </w:r>
          </w:p>
        </w:tc>
      </w:tr>
    </w:tbl>
    <w:p>
      <w:pPr>
        <w:spacing w:after="120"/>
      </w:pP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門檻於校正集試跑後、保留測試前由主持人確認並凍結；LSB 以凍結之 </w:t>
      </w:r>
      <w:r>
        <w:rPr>
          <w:rFonts w:ascii="Times New Roman" w:eastAsia="標楷體" w:hAnsi="Times New Roman"/>
          <w:i/>
          <w:iCs/>
        </w:rPr>
        <w:t xml:space="preserve">V</w:t>
      </w:r>
      <w:r>
        <w:rPr>
          <w:rFonts w:ascii="Times New Roman" w:eastAsia="標楷體" w:hAnsi="Times New Roman"/>
          <w:vertAlign w:val="subscript"/>
        </w:rPr>
        <w:t xml:space="preserve">FS</w:t>
      </w:r>
      <w:r>
        <w:rPr>
          <w:rFonts w:ascii="Times New Roman" w:eastAsia="標楷體" w:hAnsi="Times New Roman"/>
        </w:rPr>
        <w:t xml:space="preserve">／2</w:t>
      </w:r>
      <w:r>
        <w:rPr>
          <w:rFonts w:ascii="Times New Roman" w:eastAsia="標楷體" w:hAnsi="Times New Roman"/>
          <w:vertAlign w:val="superscript"/>
        </w:rPr>
        <w:t xml:space="preserve">N</w:t>
      </w:r>
      <w:r>
        <w:rPr>
          <w:rFonts w:ascii="Times New Roman" w:eastAsia="標楷體" w:hAnsi="Times New Roman"/>
        </w:rPr>
        <w:t xml:space="preserve"> 計算。測試涵蓋低頻／近 Nyquist、滿刻度與小訊號、主要 CDAC 切換與代表 PVT，並統計 SE 判合格而 full 不合格的 false pass；零誤判也須報告二項 95% 信賴區間。分開記錄 LVS、PEX、網表處理、模擬與人工時間，另算端到端加速與峰值記憶體。超標、拓樸或 PDK 版本變更、未校正 PVT 或必要器件不明時一律回退 S0；所有最終 ADC 仍以 S0 驗收。</w:t>
      </w: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8. 實驗設計與量化驗收</w:t>
      </w:r>
    </w:p>
    <w:p>
      <w:pPr>
        <w:spacing w:after="80" w:line="240"/>
        <w:jc w:val="both"/>
      </w:pPr>
      <w:r>
        <w:rPr>
          <w:rFonts w:ascii="Times New Roman" w:eastAsia="標楷體" w:hAnsi="Times New Roman"/>
          <w:b/>
          <w:bCs/>
        </w:rPr>
        <w:t xml:space="preserve">E1 局部佈局技巧因子實驗（M4–M12）。</w:t>
      </w:r>
      <w:r>
        <w:rPr>
          <w:rFonts w:ascii="Times New Roman" w:eastAsia="標楷體" w:hAnsi="Times New Roman"/>
        </w:rPr>
        <w:t xml:space="preserve"> 以比較器配對器件、取樣差動介面及 MOM／CDAC 端點三類單元，每類以至多四個二水準因子形成 16 組候選，目標共 48 個合法變體；不合法組合記錄後改以可行子矩陣分析。每個變體採完整 DRC／LVS／PEX，不以 SE 結果評斷局部技巧。</w:t>
      </w: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15　E1 因子與水準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1843"/>
        <w:gridCol w:w="3969"/>
        <w:gridCol w:w="3826"/>
      </w:tblGrid>
      <w:tr>
        <w:trPr>
          <w:cantSplit/>
          <w:tblHeader/>
        </w:trPr>
        <w:tc>
          <w:tcPr>
            <w:tcW w:type="dxa" w:w="184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因子</w:t>
            </w:r>
          </w:p>
        </w:tc>
        <w:tc>
          <w:tcPr>
            <w:tcW w:type="dxa" w:w="3969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候選水準</w:t>
            </w:r>
          </w:p>
        </w:tc>
        <w:tc>
          <w:tcPr>
            <w:tcW w:type="dxa" w:w="382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控制與分析</w:t>
            </w:r>
          </w:p>
        </w:tc>
      </w:tr>
      <w:tr>
        <w:trPr>
          <w:cantSplit/>
        </w:trPr>
        <w:tc>
          <w:tcPr>
            <w:tcW w:type="dxa" w:w="1843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A 匹配與環境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基準配置／合法交錯或共同質心與環境對稱</w:t>
            </w:r>
          </w:p>
        </w:tc>
        <w:tc>
          <w:tcPr>
            <w:tcW w:type="dxa" w:w="3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固定總鰭數、模型與匹配對；MOM 另用單元排列</w:t>
            </w:r>
          </w:p>
        </w:tc>
      </w:tr>
      <w:tr>
        <w:trPr>
          <w:cantSplit/>
        </w:trPr>
        <w:tc>
          <w:tcPr>
            <w:tcW w:type="dxa" w:w="1843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B 接點／via</w:t>
            </w:r>
          </w:p>
        </w:tc>
        <w:tc>
          <w:tcPr>
            <w:tcW w:type="dxa" w:w="396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最小合法／允許之配對冗餘</w:t>
            </w:r>
          </w:p>
        </w:tc>
        <w:tc>
          <w:tcPr>
            <w:tcW w:type="dxa" w:w="382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固定電路規格；比較 R 下降與 C、面積代價</w:t>
            </w:r>
          </w:p>
        </w:tc>
      </w:tr>
      <w:tr>
        <w:trPr>
          <w:cantSplit/>
        </w:trPr>
        <w:tc>
          <w:tcPr>
            <w:tcW w:type="dxa" w:w="1843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C pin 與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局部出口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基準出口／對稱且可達的合法出口</w:t>
            </w:r>
          </w:p>
        </w:tc>
        <w:tc>
          <w:tcPr>
            <w:tcW w:type="dxa" w:w="3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記錄層序、轉向、線長及外部 pin 位置</w:t>
            </w:r>
          </w:p>
        </w:tc>
      </w:tr>
      <w:tr>
        <w:trPr>
          <w:cantSplit/>
        </w:trPr>
        <w:tc>
          <w:tcPr>
            <w:tcW w:type="dxa" w:w="1843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D 裕度或隔離</w:t>
            </w:r>
          </w:p>
        </w:tc>
        <w:tc>
          <w:tcPr>
            <w:tcW w:type="dxa" w:w="396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最小合法／增加包覆、線端或隔離裕度</w:t>
            </w:r>
          </w:p>
        </w:tc>
        <w:tc>
          <w:tcPr>
            <w:tcW w:type="dxa" w:w="382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各單元選一個可控參數，其餘條件保持一致</w:t>
            </w:r>
          </w:p>
        </w:tc>
      </w:tr>
    </w:tbl>
    <w:p>
      <w:pPr>
        <w:spacing w:after="120"/>
      </w:pP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以全因子或可行子矩陣估計主效應與二因子交互作用，不把多項同時改動歸因於單一技巧。差動不匹配以式 6 由完整 PEX 計算，近零值改報絕對差。</w:t>
      </w:r>
    </w:p>
    <w:p>
      <w:pPr>
        <w:spacing w:after="120" w:before="80"/>
        <w:jc w:val="center"/>
      </w:pPr>
      <w:r>
        <w:rPr>
          <w:rFonts w:ascii="Times New Roman" w:eastAsia="標楷體" w:hAnsi="Times New Roman"/>
          <w:i/>
          <w:iCs/>
          <w:sz w:val="24"/>
          <w:szCs w:val="24"/>
        </w:rPr>
        <w:t xml:space="preserve">ε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R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 = 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(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|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R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p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 −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R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n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|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)／(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(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R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p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 +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R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n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)/2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)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 ,   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ε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C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 = 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(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|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C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p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 −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C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n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|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)／(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(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C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p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 +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C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n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)/2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)</w:t>
      </w:r>
      <w:r>
        <w:rPr>
          <w:rFonts w:ascii="Times New Roman" w:eastAsia="標楷體" w:hAnsi="Times New Roman"/>
          <w:sz w:val="24"/>
          <w:szCs w:val="24"/>
        </w:rPr>
        <w:t xml:space="preserve">　　（6）</w:t>
      </w:r>
    </w:p>
    <w:p>
      <w:pPr>
        <w:spacing w:after="80" w:line="240"/>
        <w:jc w:val="both"/>
      </w:pPr>
      <w:r>
        <w:rPr>
          <w:rFonts w:ascii="Times New Roman" w:eastAsia="標楷體" w:hAnsi="Times New Roman"/>
          <w:b/>
          <w:bCs/>
        </w:rPr>
        <w:t xml:space="preserve">E2 SE 方法對照（M7–M18）。</w:t>
      </w:r>
      <w:r>
        <w:rPr>
          <w:rFonts w:ascii="Times New Roman" w:eastAsia="標楷體" w:hAnsi="Times New Roman"/>
        </w:rPr>
        <w:t xml:space="preserve"> 從 E1 及整合版圖選取至少 12 個、涵蓋三類子電路的校正與保留案例，比較 S0–S3 及三種選區範圍；同源變體只屬一個資料分組，另保留未見的負載、切換或 pin 配置，以表 14 門檻判定。</w:t>
      </w:r>
    </w:p>
    <w:p>
      <w:pPr>
        <w:spacing w:after="120" w:before="80"/>
        <w:jc w:val="center"/>
      </w:pPr>
      <w:r>
        <w:rPr>
          <w:rFonts w:ascii="Times New Roman" w:eastAsia="標楷體" w:hAnsi="Times New Roman"/>
          <w:i/>
          <w:iCs/>
          <w:sz w:val="24"/>
          <w:szCs w:val="24"/>
        </w:rPr>
        <w:t xml:space="preserve">S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sim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 = 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(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T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full simulation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)／(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T</w:t>
      </w:r>
      <w:r>
        <w:rPr>
          <w:rFonts w:ascii="Times New Roman" w:eastAsia="標楷體" w:hAnsi="Times New Roman"/>
          <w:i w:val="false"/>
          <w:iCs w:val="false"/>
          <w:sz w:val="24"/>
          <w:szCs w:val="24"/>
          <w:vertAlign w:val="subscript"/>
        </w:rPr>
        <w:t xml:space="preserve">SE simulation</w:t>
      </w:r>
      <w:r>
        <w:rPr>
          <w:rFonts w:ascii="Times New Roman" w:eastAsia="標楷體" w:hAnsi="Times New Roman"/>
          <w:i w:val="false"/>
          <w:iCs w:val="false"/>
          <w:sz w:val="24"/>
          <w:szCs w:val="24"/>
        </w:rPr>
        <w:t xml:space="preserve">)</w:t>
      </w:r>
      <w:r>
        <w:rPr>
          <w:rFonts w:ascii="Times New Roman" w:eastAsia="標楷體" w:hAnsi="Times New Roman"/>
          <w:sz w:val="24"/>
          <w:szCs w:val="24"/>
        </w:rPr>
        <w:t xml:space="preserve">　　（7）</w:t>
      </w:r>
    </w:p>
    <w:p>
      <w:pPr>
        <w:spacing w:after="80" w:line="240"/>
        <w:jc w:val="both"/>
      </w:pPr>
      <w:r>
        <w:rPr>
          <w:rFonts w:ascii="Times New Roman" w:eastAsia="標楷體" w:hAnsi="Times New Roman"/>
          <w:b/>
          <w:bCs/>
        </w:rPr>
        <w:t xml:space="preserve">E3 完整 ADC 閉迴路比較（M13–M24）。</w:t>
      </w:r>
      <w:r>
        <w:rPr>
          <w:rFonts w:ascii="Times New Roman" w:eastAsia="標楷體" w:hAnsi="Times New Roman"/>
        </w:rPr>
        <w:t xml:space="preserve"> 以固定 4 nm SAR ADC 規格比較表 16 各組；先用同一 primitive 作 L0 比較，再以 P2 作 L1 比較，保持拓樸、元件尺寸、面積／功耗上限與測試設定。SE 開／關另作配對實驗，最終效能一律由 full 決定。自動化方法至少 10 組配對種子，分別在相同 full 驗證次數與相同端到端時間下比較，並消融局部變體、幾何裕度、時脈與 VREF 特徵、不確定性及 SE 選樣。</w:t>
      </w: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16　E3 比較組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1984"/>
        <w:gridCol w:w="4252"/>
        <w:gridCol w:w="3402"/>
      </w:tblGrid>
      <w:tr>
        <w:trPr>
          <w:cantSplit/>
          <w:tblHeader/>
        </w:trPr>
        <w:tc>
          <w:tcPr>
            <w:tcW w:type="dxa" w:w="198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比較組</w:t>
            </w:r>
          </w:p>
        </w:tc>
        <w:tc>
          <w:tcPr>
            <w:tcW w:type="dxa" w:w="425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方法差異</w:t>
            </w:r>
          </w:p>
        </w:tc>
        <w:tc>
          <w:tcPr>
            <w:tcW w:type="dxa" w:w="340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比較目的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B0 工程師基準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固定人工佈局；相同繞線與模擬設定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建立品質與人工工時參考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B1 約束 SA</w:t>
            </w:r>
          </w:p>
        </w:tc>
        <w:tc>
          <w:tcPr>
            <w:tcW w:type="dxa" w:w="425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HPWL 與壅塞；相同硬性類比限制</w:t>
            </w:r>
          </w:p>
        </w:tc>
        <w:tc>
          <w:tcPr>
            <w:tcW w:type="dxa" w:w="340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隔離寄生回饋的增益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B2 粗至細搜尋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族群探索；無實際效能回饋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評估搜尋機制本身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P1 寄生回饋</w:t>
            </w:r>
          </w:p>
        </w:tc>
        <w:tc>
          <w:tcPr>
            <w:tcW w:type="dxa" w:w="425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快速寄生模型與定期 PEX 校正</w:t>
            </w:r>
          </w:p>
        </w:tc>
        <w:tc>
          <w:tcPr>
            <w:tcW w:type="dxa" w:w="340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評估寄生感知效益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P2 完整方法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P1 加效能預測、不確定性選樣與五代理 ECO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評估閉迴路與樣本效率</w:t>
            </w:r>
          </w:p>
        </w:tc>
      </w:tr>
    </w:tbl>
    <w:p>
      <w:pPr>
        <w:spacing w:after="120"/>
      </w:pP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17　量化驗收指標（研究目標值）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1984"/>
        <w:gridCol w:w="3402"/>
        <w:gridCol w:w="4252"/>
      </w:tblGrid>
      <w:tr>
        <w:trPr>
          <w:cantSplit/>
          <w:tblHeader/>
        </w:trPr>
        <w:tc>
          <w:tcPr>
            <w:tcW w:type="dxa" w:w="198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驗收項目</w:t>
            </w:r>
          </w:p>
        </w:tc>
        <w:tc>
          <w:tcPr>
            <w:tcW w:type="dxa" w:w="340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規劃目標</w:t>
            </w:r>
          </w:p>
        </w:tc>
        <w:tc>
          <w:tcPr>
            <w:tcW w:type="dxa" w:w="425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計算與證據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4 nm 合法與一致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變體電氣等效並通過完整 DRC／LVS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元件／pin 對照、指定 deck 與報告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局部佈局技巧</w:t>
            </w:r>
          </w:p>
        </w:tc>
        <w:tc>
          <w:tcPr>
            <w:tcW w:type="dxa" w:w="340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關鍵 </w:t>
            </w:r>
            <w:r>
              <w:rPr>
                <w:rFonts w:ascii="Times New Roman" w:eastAsia="標楷體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ε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R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 或 </w:t>
            </w:r>
            <w:r>
              <w:rPr>
                <w:rFonts w:ascii="Times New Roman" w:eastAsia="標楷體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ε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C</w:t>
            </w: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 中位降低 ≥ 20%</w:t>
            </w:r>
          </w:p>
        </w:tc>
        <w:tc>
          <w:tcPr>
            <w:tcW w:type="dxa" w:w="425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E1 配對；安定時間不退化，面積功耗在限制內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寄生預測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敏感 C 之 NMAE ≤ 10%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full 保留標籤；近零另報絕對誤差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效能預測</w:t>
            </w:r>
          </w:p>
        </w:tc>
        <w:tc>
          <w:tcPr>
            <w:tcW w:type="dxa" w:w="340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SNDR MAE ≤ 1 dB</w:t>
            </w:r>
          </w:p>
        </w:tc>
        <w:tc>
          <w:tcPr>
            <w:tcW w:type="dxa" w:w="425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保留案例的實際 PEX 模擬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SE 適用性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通過表 14 門檻；中位加速 ≥ 2 倍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E2 保留案例、false pass 信賴區間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閉迴路品質</w:t>
            </w:r>
          </w:p>
        </w:tc>
        <w:tc>
          <w:tcPr>
            <w:tcW w:type="dxa" w:w="340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SNDR 中位改善 ≥ 1 dB 或規格率提高</w:t>
            </w:r>
          </w:p>
        </w:tc>
        <w:tc>
          <w:tcPr>
            <w:tcW w:type="dxa" w:w="425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相同面積功耗上限之配對比較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驗證成本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合格候選所需完整驗證次數降低 ≥ 20%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含模型訓練、失敗及工具時間</w:t>
            </w:r>
          </w:p>
        </w:tc>
      </w:tr>
    </w:tbl>
    <w:p>
      <w:pPr>
        <w:spacing w:after="120"/>
      </w:pPr>
    </w:p>
    <w:p>
      <w:pPr>
        <w:spacing w:after="100" w:line="240"/>
        <w:jc w:val="both"/>
      </w:pPr>
      <w:r>
        <w:rPr>
          <w:rFonts w:ascii="Times New Roman" w:eastAsia="標楷體" w:hAnsi="Times New Roman"/>
          <w:color w:val="595959"/>
          <w:sz w:val="24"/>
          <w:szCs w:val="24"/>
        </w:rPr>
        <w:t xml:space="preserve">註：資料目標為 200 個 full RC 標籤與 60 個 full ADC 效能標籤（另計最後的配對比較，不混算 SE 標籤）。採電路變體分組、配對差異與 95% 信賴區間；品質無增益或 SE 不適用亦列為正式結果。</w:t>
      </w: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9. 預計可能遭遇之困難及解決途徑</w:t>
      </w: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18　預計困難與解決途徑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2805"/>
        <w:gridCol w:w="6833"/>
      </w:tblGrid>
      <w:tr>
        <w:trPr>
          <w:cantSplit/>
          <w:tblHeader/>
        </w:trPr>
        <w:tc>
          <w:tcPr>
            <w:tcW w:type="dxa" w:w="2805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困難</w:t>
            </w:r>
          </w:p>
        </w:tc>
        <w:tc>
          <w:tcPr>
            <w:tcW w:type="dxa" w:w="6833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解決途徑與階段判定</w:t>
            </w:r>
          </w:p>
        </w:tc>
      </w:tr>
      <w:tr>
        <w:trPr>
          <w:cantSplit/>
        </w:trPr>
        <w:tc>
          <w:tcPr>
            <w:tcW w:type="dxa" w:w="280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4 nm PDK 或工具未取得</w:t>
            </w:r>
          </w:p>
        </w:tc>
        <w:tc>
          <w:tcPr>
            <w:tcW w:type="dxa" w:w="68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M2 確認授權、模型、電容與 runset；備援節點（ASAP7、6／7 nm）只驗證方法，不能以其結果替代 4 nm 驗證，並明列缺口</w:t>
            </w:r>
          </w:p>
        </w:tc>
      </w:tr>
      <w:tr>
        <w:trPr>
          <w:cantSplit/>
        </w:trPr>
        <w:tc>
          <w:tcPr>
            <w:tcW w:type="dxa" w:w="280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規則、LDE 模型與 runset 屬機密</w:t>
            </w:r>
          </w:p>
        </w:tc>
        <w:tc>
          <w:tcPr>
            <w:tcW w:type="dxa" w:w="6833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全流程本地部署；規則庫分為公開抽象規則與機密 PDK 參數兩層，只釋出前者</w:t>
            </w:r>
          </w:p>
        </w:tc>
      </w:tr>
      <w:tr>
        <w:trPr>
          <w:cantSplit/>
        </w:trPr>
        <w:tc>
          <w:tcPr>
            <w:tcW w:type="dxa" w:w="280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SE 需調整 LVS rule deck</w:t>
            </w:r>
          </w:p>
        </w:tc>
        <w:tc>
          <w:tcPr>
            <w:tcW w:type="dxa" w:w="68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原簽核 deck 不變；以外掛 wrapper、instance filtering 或完整 PEX 網表選取實作，先於 ASAP7 驗證流程</w:t>
            </w:r>
          </w:p>
        </w:tc>
      </w:tr>
      <w:tr>
        <w:trPr>
          <w:cantSplit/>
        </w:trPr>
        <w:tc>
          <w:tcPr>
            <w:tcW w:type="dxa" w:w="280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SE 必要器件過多或超標</w:t>
            </w:r>
          </w:p>
        </w:tc>
        <w:tc>
          <w:tcPr>
            <w:tcW w:type="dxa" w:w="6833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M3 量測單次成本；SE 未過門檻即回退 S0、降低候選量並報實際統計精度</w:t>
            </w:r>
          </w:p>
        </w:tc>
      </w:tr>
      <w:tr>
        <w:trPr>
          <w:cantSplit/>
        </w:trPr>
        <w:tc>
          <w:tcPr>
            <w:tcW w:type="dxa" w:w="280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預測模型誤排序</w:t>
            </w:r>
          </w:p>
        </w:tc>
        <w:tc>
          <w:tcPr>
            <w:tcW w:type="dxa" w:w="68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保留隨機驗證與不確定性選樣；高誤差區回退為真實萃取</w:t>
            </w:r>
          </w:p>
        </w:tc>
      </w:tr>
      <w:tr>
        <w:trPr>
          <w:cantSplit/>
        </w:trPr>
        <w:tc>
          <w:tcPr>
            <w:tcW w:type="dxa" w:w="280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繞線或工具整合成本過高</w:t>
            </w:r>
          </w:p>
        </w:tc>
        <w:tc>
          <w:tcPr>
            <w:tcW w:type="dxa" w:w="6833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先完成子電路與固定路由策略；同一策略用於全部比較組，人工修正計入工時</w:t>
            </w:r>
          </w:p>
        </w:tc>
      </w:tr>
      <w:tr>
        <w:trPr>
          <w:cantSplit/>
        </w:trPr>
        <w:tc>
          <w:tcPr>
            <w:tcW w:type="dxa" w:w="280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約束過度限制搜尋</w:t>
            </w:r>
          </w:p>
        </w:tc>
        <w:tc>
          <w:tcPr>
            <w:tcW w:type="dxa" w:w="68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以衝突診斷定位；由設計師確認可放寬的軟限制，硬性製程與連通規則不放寬</w:t>
            </w:r>
          </w:p>
        </w:tc>
      </w:tr>
      <w:tr>
        <w:trPr>
          <w:cantSplit/>
        </w:trPr>
        <w:tc>
          <w:tcPr>
            <w:tcW w:type="dxa" w:w="280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LLM 幻覺產生錯誤約束</w:t>
            </w:r>
          </w:p>
        </w:tc>
        <w:tc>
          <w:tcPr>
            <w:tcW w:type="dxa" w:w="6833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數值一律來自 SQL／PEX／模擬；LLM 輸出經 Code 校驗與三層 fallback，約束需工程師核可</w:t>
            </w:r>
          </w:p>
        </w:tc>
      </w:tr>
      <w:tr>
        <w:trPr>
          <w:cantSplit/>
        </w:trPr>
        <w:tc>
          <w:tcPr>
            <w:tcW w:type="dxa" w:w="280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製程變異或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LDE 模型缺乏</w:t>
            </w:r>
          </w:p>
        </w:tc>
        <w:tc>
          <w:tcPr>
            <w:tcW w:type="dxa" w:w="68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只報幾何裕度、環境與已支援角落；不宣稱 EUV 窗口、量產良率、熱或基板簽核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10. 重要儀器與軟體之配合使用</w:t>
      </w:r>
    </w:p>
    <w:p>
      <w:pPr>
        <w:pStyle w:val="ListParagraph"/>
        <w:numPr>
          <w:ilvl w:val="0"/>
          <w:numId w:val="3"/>
        </w:numPr>
        <w:spacing w:after="40" w:line="240"/>
        <w:jc w:val="both"/>
      </w:pPr>
      <w:r>
        <w:rPr>
          <w:rFonts w:ascii="Times New Roman" w:eastAsia="標楷體" w:hAnsi="Times New Roman"/>
          <w:b/>
          <w:bCs/>
        </w:rPr>
        <w:t xml:space="preserve">運算：</w:t>
      </w:r>
      <w:r>
        <w:rPr>
          <w:rFonts w:ascii="Times New Roman" w:eastAsia="標楷體" w:hAnsi="Times New Roman"/>
        </w:rPr>
        <w:t xml:space="preserve"> 優先重用實驗室本地 GPU 工作站與 CPU 模擬資源，用於模型推論、數值模型訓練與批次 EDA；實際記憶體、GPU 與並行模擬數於 M1 盤點，必要時依 M3 成本估算申請設備（表 CM10）。</w:t>
      </w:r>
    </w:p>
    <w:p>
      <w:pPr>
        <w:pStyle w:val="ListParagraph"/>
        <w:numPr>
          <w:ilvl w:val="0"/>
          <w:numId w:val="3"/>
        </w:numPr>
        <w:spacing w:after="40" w:line="240"/>
        <w:jc w:val="both"/>
      </w:pPr>
      <w:r>
        <w:rPr>
          <w:rFonts w:ascii="Times New Roman" w:eastAsia="標楷體" w:hAnsi="Times New Roman"/>
          <w:b/>
          <w:bCs/>
        </w:rPr>
        <w:t xml:space="preserve">EDA：</w:t>
      </w:r>
      <w:r>
        <w:rPr>
          <w:rFonts w:ascii="Times New Roman" w:eastAsia="標楷體" w:hAnsi="Times New Roman"/>
        </w:rPr>
        <w:t xml:space="preserve"> 4 nm 使用授權 PCell 或合法 primitive、MOM 電容、完整 DRC／LVS／PEX（如 Calibre）與 SPICE（如 Spectre）；須確認授權與批次限制，SE 另確認 deck 修改或 filtering 權限。</w:t>
      </w:r>
    </w:p>
    <w:p>
      <w:pPr>
        <w:pStyle w:val="ListParagraph"/>
        <w:numPr>
          <w:ilvl w:val="0"/>
          <w:numId w:val="3"/>
        </w:numPr>
        <w:spacing w:after="40" w:line="240"/>
        <w:jc w:val="both"/>
      </w:pPr>
      <w:r>
        <w:rPr>
          <w:rFonts w:ascii="Times New Roman" w:eastAsia="標楷體" w:hAnsi="Times New Roman"/>
          <w:b/>
          <w:bCs/>
        </w:rPr>
        <w:t xml:space="preserve">既有工具：</w:t>
      </w:r>
      <w:r>
        <w:rPr>
          <w:rFonts w:ascii="Times New Roman" w:eastAsia="標楷體" w:hAnsi="Times New Roman"/>
        </w:rPr>
        <w:t xml:space="preserve"> RALF／Magic／SKY130 僅供 130 nm 工具測試；KLayout 0.29.8 與 ASAP7 作介面預演，不作 4 nm SAR ADC 證據。</w:t>
      </w:r>
    </w:p>
    <w:p>
      <w:pPr>
        <w:pStyle w:val="ListParagraph"/>
        <w:numPr>
          <w:ilvl w:val="0"/>
          <w:numId w:val="3"/>
        </w:numPr>
        <w:spacing w:after="40" w:line="240"/>
        <w:jc w:val="both"/>
      </w:pPr>
      <w:r>
        <w:rPr>
          <w:rFonts w:ascii="Times New Roman" w:eastAsia="標楷體" w:hAnsi="Times New Roman"/>
          <w:b/>
          <w:bCs/>
        </w:rPr>
        <w:t xml:space="preserve">資料：</w:t>
      </w:r>
      <w:r>
        <w:rPr>
          <w:rFonts w:ascii="Times New Roman" w:eastAsia="標楷體" w:hAnsi="Times New Roman"/>
        </w:rPr>
        <w:t xml:space="preserve"> 資料庫與檔案系統保存網表、GDS、約束、工具日誌、萃取網表與版本關係，支援結果重跑。</w:t>
      </w: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11. 赴國外或大陸地區研究之必要性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本計畫核心工作可於本地運算與既有研究環境執行，無須赴國外或大陸地區進行研究。若編列國際會議差旅，另依會議錄取情形填寫 CM12。</w:t>
      </w: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12. 執行進度與里程碑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以核定開始月為 M1。第一年完成 4 nm 資源、合法局部變體、full 基準與 SE 適用性；第二年完成粗至細搜尋、五代理閉迴路、完整 ADC 比較與交付。深色格為該工作的主要執行期。</w:t>
      </w: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19　兩年期執行進度甘特圖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2700"/>
        <w:gridCol w:w="867"/>
        <w:gridCol w:w="867"/>
        <w:gridCol w:w="867"/>
        <w:gridCol w:w="867"/>
        <w:gridCol w:w="867"/>
        <w:gridCol w:w="867"/>
        <w:gridCol w:w="867"/>
        <w:gridCol w:w="869"/>
      </w:tblGrid>
      <w:tr>
        <w:trPr>
          <w:tblHeader/>
        </w:trPr>
        <w:tc>
          <w:tcPr>
            <w:tcW w:type="dxa" w:w="2700"/>
            <w:vMerge w:val="restart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工作項目</w:t>
            </w:r>
          </w:p>
        </w:tc>
        <w:tc>
          <w:tcPr>
            <w:tcW w:type="dxa" w:w="3468"/>
            <w:gridSpan w:val="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第一年（116/08–117/07）</w:t>
            </w:r>
          </w:p>
        </w:tc>
        <w:tc>
          <w:tcPr>
            <w:tcW w:type="dxa" w:w="3468"/>
            <w:gridSpan w:val="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第二年（117/08–118/07）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tcW w:type="dxa" w:w="867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M1–3</w:t>
            </w:r>
          </w:p>
        </w:tc>
        <w:tc>
          <w:tcPr>
            <w:tcW w:type="dxa" w:w="867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M4–6</w:t>
            </w:r>
          </w:p>
        </w:tc>
        <w:tc>
          <w:tcPr>
            <w:tcW w:type="dxa" w:w="867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M7–9</w:t>
            </w:r>
          </w:p>
        </w:tc>
        <w:tc>
          <w:tcPr>
            <w:tcW w:type="dxa" w:w="867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M10–12</w:t>
            </w:r>
          </w:p>
        </w:tc>
        <w:tc>
          <w:tcPr>
            <w:tcW w:type="dxa" w:w="867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M13–15</w:t>
            </w:r>
          </w:p>
        </w:tc>
        <w:tc>
          <w:tcPr>
            <w:tcW w:type="dxa" w:w="867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M16–18</w:t>
            </w:r>
          </w:p>
        </w:tc>
        <w:tc>
          <w:tcPr>
            <w:tcW w:type="dxa" w:w="867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M19–21</w:t>
            </w:r>
          </w:p>
        </w:tc>
        <w:tc>
          <w:tcPr>
            <w:tcW w:type="dxa" w:w="869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M22–24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4 nm 授權與 PDK 介面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凍結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維護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維護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維護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維護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維護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維護</w:t>
            </w:r>
          </w:p>
        </w:tc>
        <w:tc>
          <w:tcPr>
            <w:tcW w:type="dxa" w:w="869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定稿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primitive 變體（E1）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初始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E1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E1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保留測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模板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模板</w:t>
            </w:r>
          </w:p>
        </w:tc>
        <w:tc>
          <w:tcPr>
            <w:tcW w:type="dxa" w:w="8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</w:p>
        </w:tc>
        <w:tc>
          <w:tcPr>
            <w:tcW w:type="dxa" w:w="869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封版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佈局技巧規則庫與模板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蒐集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規則 v1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規則 v1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封版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模板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模板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更新</w:t>
            </w:r>
          </w:p>
        </w:tc>
        <w:tc>
          <w:tcPr>
            <w:tcW w:type="dxa" w:w="869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公開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full 與 SE 萃取（E2）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full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SE 介面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校正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校正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門檻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保留測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重現</w:t>
            </w:r>
          </w:p>
        </w:tc>
        <w:tc>
          <w:tcPr>
            <w:tcW w:type="dxa" w:w="8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</w:p>
        </w:tc>
      </w:tr>
      <w:tr>
        <w:trPr>
          <w:cantSplit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寄生與效能資料集</w:t>
            </w:r>
          </w:p>
        </w:tc>
        <w:tc>
          <w:tcPr>
            <w:tcW w:type="dxa" w:w="8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取樣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蒐集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蒐集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蒐集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保留測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整理</w:t>
            </w:r>
          </w:p>
        </w:tc>
        <w:tc>
          <w:tcPr>
            <w:tcW w:type="dxa" w:w="8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</w:p>
        </w:tc>
      </w:tr>
      <w:tr>
        <w:trPr>
          <w:cantSplit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粗至細搜尋與五代理 ECO</w:t>
            </w:r>
          </w:p>
        </w:tc>
        <w:tc>
          <w:tcPr>
            <w:tcW w:type="dxa" w:w="8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</w:p>
        </w:tc>
        <w:tc>
          <w:tcPr>
            <w:tcW w:type="dxa" w:w="8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SA 基準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原型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閉迴路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閉迴路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E3</w:t>
            </w:r>
          </w:p>
        </w:tc>
        <w:tc>
          <w:tcPr>
            <w:tcW w:type="dxa" w:w="869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消融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繞線、PVT 與統計驗證</w:t>
            </w:r>
          </w:p>
        </w:tc>
        <w:tc>
          <w:tcPr>
            <w:tcW w:type="dxa" w:w="8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定義</w:t>
            </w:r>
          </w:p>
        </w:tc>
        <w:tc>
          <w:tcPr>
            <w:tcW w:type="dxa" w:w="8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試跑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執行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執行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執行</w:t>
            </w:r>
          </w:p>
        </w:tc>
        <w:tc>
          <w:tcPr>
            <w:tcW w:type="dxa" w:w="869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確認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4 nm 巨集與完整 ADC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移植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子電路</w:t>
            </w:r>
          </w:p>
        </w:tc>
        <w:tc>
          <w:tcPr>
            <w:tcW w:type="dxa" w:w="8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整合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整合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E3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E3</w:t>
            </w:r>
          </w:p>
        </w:tc>
        <w:tc>
          <w:tcPr>
            <w:tcW w:type="dxa" w:w="869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最終 full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論文與技術文件</w:t>
            </w:r>
          </w:p>
        </w:tc>
        <w:tc>
          <w:tcPr>
            <w:tcW w:type="dxa" w:w="8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規格</w:t>
            </w:r>
          </w:p>
        </w:tc>
        <w:tc>
          <w:tcPr>
            <w:tcW w:type="dxa" w:w="8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報告</w:t>
            </w:r>
          </w:p>
        </w:tc>
        <w:tc>
          <w:tcPr>
            <w:tcW w:type="dxa" w:w="8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投稿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初稿</w:t>
            </w:r>
          </w:p>
        </w:tc>
        <w:tc>
          <w:tcPr>
            <w:tcW w:type="dxa" w:w="869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交付</w:t>
            </w:r>
          </w:p>
        </w:tc>
      </w:tr>
    </w:tbl>
    <w:p>
      <w:pPr>
        <w:spacing w:after="120"/>
      </w:pP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20　階段里程碑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1134"/>
        <w:gridCol w:w="8504"/>
      </w:tblGrid>
      <w:tr>
        <w:trPr>
          <w:cantSplit/>
          <w:tblHeader/>
        </w:trPr>
        <w:tc>
          <w:tcPr>
            <w:tcW w:type="dxa" w:w="113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里程碑</w:t>
            </w:r>
          </w:p>
        </w:tc>
        <w:tc>
          <w:tcPr>
            <w:tcW w:type="dxa" w:w="850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查核內容</w:t>
            </w:r>
          </w:p>
        </w:tc>
      </w:tr>
      <w:tr>
        <w:trPr>
          <w:cantSplit/>
        </w:trPr>
        <w:tc>
          <w:tcPr>
            <w:tcW w:type="dxa" w:w="113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M3</w:t>
            </w:r>
          </w:p>
        </w:tc>
        <w:tc>
          <w:tcPr>
            <w:tcW w:type="dxa" w:w="850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完成 4 nm 參數與 primitive 映射、三類因子矩陣及至少一類 full 萃取；建立人工／SA 與 S0 基準，量測單次 PEX 與模擬成本。若 M2 授權未完成，須列明 4 nm 驗證缺口。</w:t>
            </w:r>
          </w:p>
        </w:tc>
      </w:tr>
      <w:tr>
        <w:trPr>
          <w:cantSplit/>
        </w:trPr>
        <w:tc>
          <w:tcPr>
            <w:tcW w:type="dxa" w:w="113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M6</w:t>
            </w:r>
          </w:p>
        </w:tc>
        <w:tc>
          <w:tcPr>
            <w:tcW w:type="dxa" w:w="8504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完成 E1 初始合法變體、三類 full 標籤及 SE 清單／runset；凍結規格、比較流程、資料分組及 SE 門檻。</w:t>
            </w:r>
          </w:p>
        </w:tc>
      </w:tr>
      <w:tr>
        <w:trPr>
          <w:cantSplit/>
        </w:trPr>
        <w:tc>
          <w:tcPr>
            <w:tcW w:type="dxa" w:w="113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M12</w:t>
            </w:r>
          </w:p>
        </w:tc>
        <w:tc>
          <w:tcPr>
            <w:tcW w:type="dxa" w:w="850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第一年查核：E1 因子效應、規則庫 v1、E2 校正結果、寄生預測基準模型；精度不符即擴大必要器件或停用 SE，不延後 full 基準。</w:t>
            </w:r>
          </w:p>
        </w:tc>
      </w:tr>
      <w:tr>
        <w:trPr>
          <w:cantSplit/>
        </w:trPr>
        <w:tc>
          <w:tcPr>
            <w:tcW w:type="dxa" w:w="113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M18</w:t>
            </w:r>
          </w:p>
        </w:tc>
        <w:tc>
          <w:tcPr>
            <w:tcW w:type="dxa" w:w="8504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完成五代理閉迴路原型、參數化模板與 E2 保留測試；開始 E3 配對比較。</w:t>
            </w:r>
          </w:p>
        </w:tc>
      </w:tr>
      <w:tr>
        <w:trPr>
          <w:cantSplit/>
        </w:trPr>
        <w:tc>
          <w:tcPr>
            <w:tcW w:type="dxa" w:w="113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M24</w:t>
            </w:r>
          </w:p>
        </w:tc>
        <w:tc>
          <w:tcPr>
            <w:tcW w:type="dxa" w:w="850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交付 4 nm 變體庫、規則庫與模板、SE 適用／失敗案例、最終 S0 萃取與 ADC 結果、統計與消融、技術文件及論文；備援資料與 4 nm 資料分列。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Times New Roman" w:eastAsia="標楷體" w:hAnsi="Times New Roman"/>
        </w:rPr>
        <w:t xml:space="preserve">（三）預期完成之工作項目及成果</w:t>
      </w: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1. 分年預期完成之工作項目</w:t>
      </w: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21　分年工作項目與查核依據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1134"/>
        <w:gridCol w:w="4252"/>
        <w:gridCol w:w="4252"/>
      </w:tblGrid>
      <w:tr>
        <w:trPr>
          <w:cantSplit/>
          <w:tblHeader/>
        </w:trPr>
        <w:tc>
          <w:tcPr>
            <w:tcW w:type="dxa" w:w="113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年度</w:t>
            </w:r>
          </w:p>
        </w:tc>
        <w:tc>
          <w:tcPr>
            <w:tcW w:type="dxa" w:w="425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工作項目</w:t>
            </w:r>
          </w:p>
        </w:tc>
        <w:tc>
          <w:tcPr>
            <w:tcW w:type="dxa" w:w="425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查核依據</w:t>
            </w:r>
          </w:p>
        </w:tc>
      </w:tr>
      <w:tr>
        <w:trPr>
          <w:cantSplit/>
        </w:trP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第一年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4 nm 介面與約束 schema；三類 primitive 共 48 個合法變體（E1）；規則庫 v1；full 萃取基準與 SE 介面；寄生預測基準模型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E1 因子報告；規則 ≥ 60 條且附驗證方式；敏感 C NMAE；SE 校正誤差</w:t>
            </w:r>
          </w:p>
        </w:tc>
      </w:tr>
      <w:tr>
        <w:trPr>
          <w:cantSplit/>
        </w:trPr>
        <w:tc>
          <w:tcPr>
            <w:tcW w:type="dxa" w:w="1134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第二年</w:t>
            </w:r>
          </w:p>
        </w:tc>
        <w:tc>
          <w:tcPr>
            <w:tcW w:type="dxa" w:w="425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參數化模板；粗至細搜尋與五代理 ECO 閉迴路；E2 保留測試；E3 完整 ADC 配對比較與消融；平台與資料集開放</w:t>
            </w:r>
          </w:p>
        </w:tc>
        <w:tc>
          <w:tcPr>
            <w:tcW w:type="dxa" w:w="425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SE 門檻與加速；SNDR 改善或規格率；完整驗證次數；最終 S0 驗收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2. 預期完成之研究成果</w:t>
      </w: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22　預期研究成果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1984"/>
        <w:gridCol w:w="2126"/>
        <w:gridCol w:w="2126"/>
        <w:gridCol w:w="3402"/>
      </w:tblGrid>
      <w:tr>
        <w:trPr>
          <w:cantSplit/>
          <w:tblHeader/>
        </w:trPr>
        <w:tc>
          <w:tcPr>
            <w:tcW w:type="dxa" w:w="198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成果</w:t>
            </w:r>
          </w:p>
        </w:tc>
        <w:tc>
          <w:tcPr>
            <w:tcW w:type="dxa" w:w="212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第一年</w:t>
            </w:r>
          </w:p>
        </w:tc>
        <w:tc>
          <w:tcPr>
            <w:tcW w:type="dxa" w:w="212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第二年</w:t>
            </w:r>
          </w:p>
        </w:tc>
        <w:tc>
          <w:tcPr>
            <w:tcW w:type="dxa" w:w="3402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內容與完成依據</w:t>
            </w:r>
          </w:p>
        </w:tc>
      </w:tr>
      <w:tr>
        <w:trPr>
          <w:cantSplit/>
        </w:trPr>
        <w:tc>
          <w:tcPr>
            <w:tcW w:type="dxa" w:w="19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研究原型</w:t>
            </w:r>
          </w:p>
        </w:tc>
        <w:tc>
          <w:tcPr>
            <w:tcW w:type="dxa" w:w="21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介面與 SE 原型</w:t>
            </w:r>
          </w:p>
        </w:tc>
        <w:tc>
          <w:tcPr>
            <w:tcW w:type="dxa" w:w="21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閉迴路 1 套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可執行之閉迴路與版本化約束介面</w:t>
            </w:r>
          </w:p>
        </w:tc>
      </w:tr>
      <w:tr>
        <w:trPr>
          <w:cantSplit/>
        </w:trPr>
        <w:tc>
          <w:tcPr>
            <w:tcW w:type="dxa" w:w="1984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4 nm 佈局變體</w:t>
            </w:r>
          </w:p>
        </w:tc>
        <w:tc>
          <w:tcPr>
            <w:tcW w:type="dxa" w:w="212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3 類、48 個</w:t>
            </w:r>
          </w:p>
        </w:tc>
        <w:tc>
          <w:tcPr>
            <w:tcW w:type="dxa" w:w="212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模板擴充</w:t>
            </w:r>
          </w:p>
        </w:tc>
        <w:tc>
          <w:tcPr>
            <w:tcW w:type="dxa" w:w="340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電氣等效、GDS、環境、pin 與 full 證據</w:t>
            </w:r>
          </w:p>
        </w:tc>
      </w:tr>
      <w:tr>
        <w:trPr>
          <w:cantSplit/>
        </w:trPr>
        <w:tc>
          <w:tcPr>
            <w:tcW w:type="dxa" w:w="19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驗證資料</w:t>
            </w:r>
          </w:p>
        </w:tc>
        <w:tc>
          <w:tcPr>
            <w:tcW w:type="dxa" w:w="21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200 個 RC 標籤</w:t>
            </w:r>
          </w:p>
        </w:tc>
        <w:tc>
          <w:tcPr>
            <w:tcW w:type="dxa" w:w="21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60 個 ADC 標籤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含訓練、驗證與保留案例清單</w:t>
            </w:r>
          </w:p>
        </w:tc>
      </w:tr>
      <w:tr>
        <w:trPr>
          <w:cantSplit/>
        </w:trPr>
        <w:tc>
          <w:tcPr>
            <w:tcW w:type="dxa" w:w="1984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SE 與技術報告</w:t>
            </w:r>
          </w:p>
        </w:tc>
        <w:tc>
          <w:tcPr>
            <w:tcW w:type="dxa" w:w="212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≥ 12 案例</w:t>
            </w:r>
          </w:p>
        </w:tc>
        <w:tc>
          <w:tcPr>
            <w:tcW w:type="dxa" w:w="212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報告 1 份</w:t>
            </w:r>
          </w:p>
        </w:tc>
        <w:tc>
          <w:tcPr>
            <w:tcW w:type="dxa" w:w="340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S0–S3、門檻、誤判、加速及失敗邊界</w:t>
            </w:r>
          </w:p>
        </w:tc>
      </w:tr>
      <w:tr>
        <w:trPr>
          <w:cantSplit/>
        </w:trPr>
        <w:tc>
          <w:tcPr>
            <w:tcW w:type="dxa" w:w="19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論文</w:t>
            </w:r>
          </w:p>
        </w:tc>
        <w:tc>
          <w:tcPr>
            <w:tcW w:type="dxa" w:w="21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研討會 1 篇</w:t>
            </w:r>
          </w:p>
        </w:tc>
        <w:tc>
          <w:tcPr>
            <w:tcW w:type="dxa" w:w="21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期刊或研討會 1–2 篇投稿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以可重現方法與比較結果為主，不預設錄取</w:t>
            </w:r>
          </w:p>
        </w:tc>
      </w:tr>
      <w:tr>
        <w:trPr>
          <w:cantSplit/>
        </w:trPr>
        <w:tc>
          <w:tcPr>
            <w:tcW w:type="dxa" w:w="1984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人才培育</w:t>
            </w:r>
          </w:p>
        </w:tc>
        <w:tc>
          <w:tcPr>
            <w:tcW w:type="dxa" w:w="212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碩士生 1–2 名</w:t>
            </w:r>
          </w:p>
        </w:tc>
        <w:tc>
          <w:tcPr>
            <w:tcW w:type="dxa" w:w="212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碩士論文 1–2 篇</w:t>
            </w:r>
          </w:p>
        </w:tc>
        <w:tc>
          <w:tcPr>
            <w:tcW w:type="dxa" w:w="340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sz w:val="24"/>
                <w:szCs w:val="24"/>
              </w:rPr>
              <w:t xml:space="preserve">依實際參與人員填列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3. 參與工作人員可獲之訓練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研究助理與學生將接受 4 nm 鰭數與模型、PCell 與局部互連、dummy 與 LDE、差動配線、DRC／LVS／PEX、SE 邊界、SPICE 與 FFT、因子與配對統計，以及 LLM 多代理、圖模型與最佳化方法訓練。每月依工具證據檢討，要求原始設計、變體、選取清單、網表與成果可追溯。</w:t>
      </w:r>
    </w:p>
    <w:p>
      <w:pPr>
        <w:pStyle w:val="Heading3"/>
        <w:keepNext/>
      </w:pPr>
      <w:r>
        <w:rPr>
          <w:rFonts w:ascii="Times New Roman" w:eastAsia="標楷體" w:hAnsi="Times New Roman"/>
        </w:rPr>
        <w:t xml:space="preserve">4. 學術、國家發展及其他應用方面之貢獻</w:t>
      </w:r>
    </w:p>
    <w:p>
      <w:pPr>
        <w:pStyle w:val="ListParagraph"/>
        <w:numPr>
          <w:ilvl w:val="0"/>
          <w:numId w:val="3"/>
        </w:numPr>
        <w:spacing w:after="40" w:line="240"/>
        <w:jc w:val="both"/>
      </w:pPr>
      <w:r>
        <w:rPr>
          <w:rFonts w:ascii="Times New Roman" w:eastAsia="標楷體" w:hAnsi="Times New Roman"/>
          <w:b/>
          <w:bCs/>
        </w:rPr>
        <w:t xml:space="preserve">學術：</w:t>
      </w:r>
      <w:r>
        <w:rPr>
          <w:rFonts w:ascii="Times New Roman" w:eastAsia="標楷體" w:hAnsi="Times New Roman"/>
        </w:rPr>
        <w:t xml:space="preserve"> 建立 4 nm 局部互連與匹配環境至 SAR ADC 效能的實驗證據，並釐清 ESD 型 SE 方法轉用類比轉換器的必要條件。</w:t>
      </w:r>
    </w:p>
    <w:p>
      <w:pPr>
        <w:pStyle w:val="ListParagraph"/>
        <w:numPr>
          <w:ilvl w:val="0"/>
          <w:numId w:val="3"/>
        </w:numPr>
        <w:spacing w:after="40" w:line="240"/>
        <w:jc w:val="both"/>
      </w:pPr>
      <w:r>
        <w:rPr>
          <w:rFonts w:ascii="Times New Roman" w:eastAsia="標楷體" w:hAnsi="Times New Roman"/>
          <w:b/>
          <w:bCs/>
        </w:rPr>
        <w:t xml:space="preserve">技術：</w:t>
      </w:r>
      <w:r>
        <w:rPr>
          <w:rFonts w:ascii="Times New Roman" w:eastAsia="標楷體" w:hAnsi="Times New Roman"/>
        </w:rPr>
        <w:t xml:space="preserve"> 將可調佈局參數、primitive 變體、快速篩選與 full 驗收串接至既有 AI 平台，形成可審查的實體設計資料與方法。</w:t>
      </w:r>
    </w:p>
    <w:p>
      <w:pPr>
        <w:pStyle w:val="ListParagraph"/>
        <w:numPr>
          <w:ilvl w:val="0"/>
          <w:numId w:val="3"/>
        </w:numPr>
        <w:spacing w:after="40" w:line="240"/>
        <w:jc w:val="both"/>
      </w:pPr>
      <w:r>
        <w:rPr>
          <w:rFonts w:ascii="Times New Roman" w:eastAsia="標楷體" w:hAnsi="Times New Roman"/>
          <w:b/>
          <w:bCs/>
        </w:rPr>
        <w:t xml:space="preserve">國家發展與產業：</w:t>
      </w:r>
      <w:r>
        <w:rPr>
          <w:rFonts w:ascii="Times New Roman" w:eastAsia="標楷體" w:hAnsi="Times New Roman"/>
        </w:rPr>
        <w:t xml:space="preserve"> 強化先進製程類比 IP 設計自動化的自主能力；可公開部分包括方法說明、無製程機密的 schema、評估腳本與可再散布案例。專利與技術移轉於結果具體後評估，不預先承諾件數或金額。</w:t>
      </w:r>
    </w:p>
    <w:p>
      <w:pPr>
        <w:pStyle w:val="Heading2"/>
        <w:keepNext/>
      </w:pPr>
      <w:r>
        <w:rPr>
          <w:rFonts w:ascii="Times New Roman" w:eastAsia="標楷體" w:hAnsi="Times New Roman"/>
        </w:rPr>
        <w:t xml:space="preserve">（四）整合型研究計畫說明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本計畫為個別型計畫，依國科會申請書格式撰寫 [28]。內部工作包由主持人統籌，研究助理負責工具串接、資料與版本管理，學生依電路、佈局及模型分工。</w:t>
      </w:r>
    </w:p>
    <w:p>
      <w:pPr>
        <w:pStyle w:val="Heading1"/>
        <w:keepNext/>
      </w:pPr>
      <w:r>
        <w:rPr>
          <w:rFonts w:ascii="Times New Roman" w:eastAsia="標楷體" w:hAnsi="Times New Roman"/>
        </w:rPr>
        <w:t xml:space="preserve">參考文獻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[1] Y. Kwon et al., "A 10-bit 500-MS/s pipelined SAR ADC with feedback factor compensation in 6-nm FinFET," IEEE Trans. Circuits Syst. II, vol. 72, no. 5, pp. 698–702, May 2025.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[2] S. Baek et al., "A 12b 600MS/s pipelined SAR and 2×-interleaved incremental delta-sigma ADC with source-follower-based residue-transfer scheme in 7nm FinFET," in IEEE ISSCC Dig. Tech. Papers, 2021, pp. 172–174.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[3] "Design challenges and techniques for 5nm FinFET CMOS analog/mixed-signal circuits," in Proc. Int. Conf. VLSI Design (VLSID), 2023, pp. 98–103, doi: 10.1109/VLSID57277.2023.00033.</w:t>
      </w:r>
      <w:r>
        <w:rPr>
          <w:rFonts w:ascii="Times New Roman" w:eastAsia="標楷體" w:hAnsi="Times New Roman"/>
          <w:sz w:val="24"/>
          <w:szCs w:val="24"/>
          <w:highlight w:val="yellow"/>
          <w:highlightCs w:val="yellow"/>
        </w:rPr>
        <w:t xml:space="preserve">（作者待補）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[4] Synopsys, "FinFET design insights and reliability." [Online]. Available: https://www.synopsys.com/articles/finfet-design.html（鰭數量化與限制性規則；實際參數依指定 PDK）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[5] M. Madhusudan et al., "Analog layout generation using optimized primitives," in Proc. DATE, 2021, pp. 1234–1239, doi: 10.23919/DATE51398.2021.9474010.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[6] B. Razavi, "The StrongARM latch: A circuit for all seasons," IEEE Solid-State Circuits Magazine, vol. 7, no. 2, pp. 12–17, 2015.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[7] 實驗室提供，AI-Driven_Parasitic-Aware_SAR-ADC_Placement.pptx（第 1–15 頁）與 AI-driven Macro Placement.pptx（第 2–5 頁）；示意圖僅作研究構想參考，不作為本計畫實測結果。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[8] Y. Li, Q. Wu, and X. Liu, "A MEOL logic layout optimization recommendation under 3 nm CFET architecture and beyond," in Proc. IEEE ICSICT, 2022, doi: 10.1109/ICSICT55466.2022.9963470.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[9] W. Lee et al., "Fast and accurate post-layout simulation methodology using 4nm LVS rule deck," in Proc. IEEE MDTS, 2022, doi: 10.1109/MDTS54894.2022.9826968.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[10] 實驗室提供，SMI_Final_Report-V4_RALF.pptx（AI agent 智慧化設計分析平台結案報告），第 3–4、8–9、19–21、24–30 頁；封面標示日期 2026/10/30。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[11] T. Dhar et al., "ALIGN: A system for automating analog layout," IEEE Design &amp; Test, vol. 38, no. 2, pp. 8–18, 2021, doi: 10.1109/MDAT.2020.3042177.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[12] B. Xu et al., "MAGICAL: Toward fully automated analog IC layout leveraging human and machine intelligence," in Proc. IEEE/ACM ICCAD, 2019.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[13] M. Liu, X. Tang, K. Zhu, H. Chen, N. Sun, and D. Z. Pan, "OpenSAR: An open source automated end-to-end SAR ADC compiler," in Proc. IEEE/ACM ICCAD, 2021.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[14] J. Ratschenberger and H. Pretl, "RALF: A reinforcement learning assisted automated analog layout design flow," TechRxiv preprint, 2024, doi: 10.36227/techrxiv.171742468.82130474/v1；開源實作 https://github.com/JakobRat/RALF（以研究起始時固定之 commit 為準）。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[15] B. Liu, Z. Jin, K. Sun, Z. Lu, Q. Zhang, and B. Yuan, "Coarse-to-fine macro placement via evolutionary search and critical macro tuning," arXiv:2609.34452v1, 2026.</w:t>
      </w:r>
      <w:r>
        <w:rPr>
          <w:rFonts w:ascii="Times New Roman" w:eastAsia="標楷體" w:hAnsi="Times New Roman"/>
          <w:sz w:val="24"/>
          <w:szCs w:val="24"/>
          <w:highlight w:val="yellow"/>
          <w:highlightCs w:val="yellow"/>
        </w:rPr>
        <w:t xml:space="preserve">（預印本，請主持人確認版本與出處）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[16] A. Mirhoseini et al., "A graph placement methodology for fast chip design," Nature, vol. 594, pp. 207–212, 2021.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[17] A. F. Budak et al., "Joint optimization of sizing and layout for AMS designs: Challenges and opportunities," in Proc. ISPD, 2023, pp. 84–92.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[18] S. Maji, A. F. Budak, S. Poddar, and D. Z. Pan, "Toward end-to-end analog design automation with ML and data-driven approaches (invited paper)," in Proc. ASP-DAC, 2024, pp. 657–664.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[19] H. Ren, G. F. Kokai, W. J. Turner, and T.-S. Ku, "ParaGraph: Layout parasitics and device parameter prediction using graph neural networks," in Proc. DAC, 2020.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[20] X. Gao et al., "Layout symmetry annotation for analog circuits with graph neural networks," in Proc. ASP-DAC, 2021, pp. 152–157.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[21] Y. Lai et al., "AnalogCoder: Analog circuit design via training-free code generation," in Proc. AAAI, vol. 39, 2025, pp. 379–387.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[22] Z. Bao et al., "AnalogAgent: Self-improving analog circuit design automation with LLM agents," preprint, 2026.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[23] B. Liu et al., "LayoutCopilot: An LLM-powered multi-agent collaborative framework for interactive analog layout design," IEEE Trans. Comput.-Aided Design Integr. Circuits Syst., 2025.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[24] G. Chen et al., "LLM-enhanced Bayesian optimization for efficient analog layout constraint generation," arXiv:2406.05250, 2024.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[25] D. N. Zadeh and M. B. Elamien, "Generative AI for analog integrated circuit design: Methodologies and applications."</w:t>
      </w:r>
      <w:r>
        <w:rPr>
          <w:rFonts w:ascii="Times New Roman" w:eastAsia="標楷體" w:hAnsi="Times New Roman"/>
          <w:sz w:val="24"/>
          <w:szCs w:val="24"/>
          <w:highlight w:val="yellow"/>
          <w:highlightCs w:val="yellow"/>
        </w:rPr>
        <w:t xml:space="preserve">（期刊出處待補）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[26] Y. Hao, K. Li, M. Gandara, S. Li, and B. Liu, "A global-local optimization approach for asynchronous SAR ADC design," arXiv:2507.19541, 2025.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[27] 實驗室提供，Macro Placement → Parasitic Feedback → ECO Re-placement.docx（寄生感知成本、參考與時脈約束、效能回饋及 ECO 研究構想）。</w:t>
      </w:r>
    </w:p>
    <w:p>
      <w:pPr>
        <w:spacing w:after="50" w:line="240"/>
        <w:ind w:left="480" w:hanging="480"/>
        <w:jc w:val="left"/>
      </w:pPr>
      <w:r>
        <w:rPr>
          <w:rFonts w:ascii="Times New Roman" w:eastAsia="標楷體" w:hAnsi="Times New Roman"/>
          <w:sz w:val="24"/>
          <w:szCs w:val="24"/>
        </w:rPr>
        <w:t xml:space="preserve">[28] 國家科學及技術委員會，專題研究計畫申請書（115 年 4 月 10 日版，申請書1150410.docx）；共用表格與工程處表格：https://www.nstc.gov.tw/folksonomy/list/6c0b309f-518b-4613-a142-44af89109251?l=ch（查核日期 2026/10/05）。</w:t>
      </w:r>
    </w:p>
    <w:p>
      <w:pPr>
        <w:pStyle w:val="Heading1"/>
        <w:keepNext/>
        <w:pageBreakBefore/>
      </w:pPr>
      <w:r>
        <w:rPr>
          <w:rFonts w:ascii="Times New Roman" w:eastAsia="標楷體" w:hAnsi="Times New Roman"/>
        </w:rPr>
        <w:t xml:space="preserve">五至十、申請補助經費、研究人力與設備（表 CM05–CM10）</w:t>
      </w:r>
    </w:p>
    <w:p>
      <w:pPr>
        <w:spacing w:after="80" w:line="240"/>
        <w:jc w:val="both"/>
      </w:pPr>
      <w:r>
        <w:rPr>
          <w:rFonts w:ascii="Times New Roman" w:eastAsia="標楷體" w:hAnsi="Times New Roman"/>
        </w:rPr>
        <w:t xml:space="preserve">經費以兩年期研究需求編列；研究人力為核心，優先重用既有運算與 EDA 資源。金額由主持人與申請機構依實際敘薪及報價填列。</w:t>
      </w: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23　申請補助經費彙整（CM05）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2190"/>
        <w:gridCol w:w="4235"/>
        <w:gridCol w:w="1606"/>
        <w:gridCol w:w="1607"/>
      </w:tblGrid>
      <w:tr>
        <w:trPr>
          <w:cantSplit/>
          <w:tblHeader/>
        </w:trPr>
        <w:tc>
          <w:tcPr>
            <w:tcW w:type="dxa" w:w="219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補助項目</w:t>
            </w:r>
          </w:p>
        </w:tc>
        <w:tc>
          <w:tcPr>
            <w:tcW w:type="dxa" w:w="4235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需求與計算依據</w:t>
            </w:r>
          </w:p>
        </w:tc>
        <w:tc>
          <w:tcPr>
            <w:tcW w:type="dxa" w:w="160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第一年</w:t>
            </w:r>
          </w:p>
        </w:tc>
        <w:tc>
          <w:tcPr>
            <w:tcW w:type="dxa" w:w="160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第二年</w:t>
            </w:r>
          </w:p>
        </w:tc>
      </w:tr>
      <w:tr>
        <w:trPr>
          <w:cantSplit/>
        </w:trPr>
        <w:tc>
          <w:tcPr>
            <w:tcW w:type="dxa" w:w="2190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研究人力費</w:t>
            </w:r>
          </w:p>
        </w:tc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專任研究助理 1 名、兼任學生 2 名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【待填】</w:t>
            </w:r>
          </w:p>
        </w:tc>
        <w:tc>
          <w:tcPr>
            <w:tcW w:type="dxa" w:w="16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190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耗材、物品、圖書及雜項</w:t>
            </w:r>
          </w:p>
        </w:tc>
        <w:tc>
          <w:tcPr>
            <w:tcW w:type="dxa" w:w="423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資料保存、研究文獻與必要軟體服務</w:t>
            </w:r>
          </w:p>
        </w:tc>
        <w:tc>
          <w:tcPr>
            <w:tcW w:type="dxa" w:w="160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【待填】</w:t>
            </w:r>
          </w:p>
        </w:tc>
        <w:tc>
          <w:tcPr>
            <w:tcW w:type="dxa" w:w="160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190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研究設備費</w:t>
            </w:r>
          </w:p>
        </w:tc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依既有 GPU、CPU、RAM 與儲存盤點決定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【待填或 0】</w:t>
            </w:r>
          </w:p>
        </w:tc>
        <w:tc>
          <w:tcPr>
            <w:tcW w:type="dxa" w:w="16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【待填或 0】</w:t>
            </w:r>
          </w:p>
        </w:tc>
      </w:tr>
      <w:tr>
        <w:trPr>
          <w:cantSplit/>
        </w:trPr>
        <w:tc>
          <w:tcPr>
            <w:tcW w:type="dxa" w:w="2190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國外學者來臺</w:t>
            </w:r>
          </w:p>
        </w:tc>
        <w:tc>
          <w:tcPr>
            <w:tcW w:type="dxa" w:w="423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暫無規劃</w:t>
            </w:r>
          </w:p>
        </w:tc>
        <w:tc>
          <w:tcPr>
            <w:tcW w:type="dxa" w:w="160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60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190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國外差旅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（合作／移地）</w:t>
            </w:r>
          </w:p>
        </w:tc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核心工作無此需求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6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190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國外差旅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（國際會議）</w:t>
            </w:r>
          </w:p>
        </w:tc>
        <w:tc>
          <w:tcPr>
            <w:tcW w:type="dxa" w:w="423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依成果與錄取情形另編 CM12</w:t>
            </w:r>
          </w:p>
        </w:tc>
        <w:tc>
          <w:tcPr>
            <w:tcW w:type="dxa" w:w="160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【待填或 0】</w:t>
            </w:r>
          </w:p>
        </w:tc>
        <w:tc>
          <w:tcPr>
            <w:tcW w:type="dxa" w:w="160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【待填或 0】</w:t>
            </w:r>
          </w:p>
        </w:tc>
      </w:tr>
      <w:tr>
        <w:trPr>
          <w:cantSplit/>
        </w:trPr>
        <w:tc>
          <w:tcPr>
            <w:tcW w:type="dxa" w:w="2190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管理費</w:t>
            </w:r>
          </w:p>
        </w:tc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依國科會規定及申請機構比例計算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系統產生</w:t>
            </w:r>
          </w:p>
        </w:tc>
        <w:tc>
          <w:tcPr>
            <w:tcW w:type="dxa" w:w="16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系統產生</w:t>
            </w:r>
          </w:p>
        </w:tc>
      </w:tr>
      <w:tr>
        <w:trPr>
          <w:cantSplit/>
        </w:trPr>
        <w:tc>
          <w:tcPr>
            <w:tcW w:type="dxa" w:w="2190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合計</w:t>
            </w:r>
          </w:p>
        </w:tc>
        <w:tc>
          <w:tcPr>
            <w:tcW w:type="dxa" w:w="423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上述項目加總</w:t>
            </w:r>
          </w:p>
        </w:tc>
        <w:tc>
          <w:tcPr>
            <w:tcW w:type="dxa" w:w="160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【待填】</w:t>
            </w:r>
          </w:p>
        </w:tc>
        <w:tc>
          <w:tcPr>
            <w:tcW w:type="dxa" w:w="160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【待填】</w:t>
            </w:r>
          </w:p>
        </w:tc>
      </w:tr>
    </w:tbl>
    <w:p>
      <w:pPr>
        <w:spacing w:after="120"/>
      </w:pP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24　主要研究人力與分工（CM06／CM07）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2044"/>
        <w:gridCol w:w="5257"/>
        <w:gridCol w:w="2337"/>
      </w:tblGrid>
      <w:tr>
        <w:trPr>
          <w:cantSplit/>
          <w:tblHeader/>
        </w:trPr>
        <w:tc>
          <w:tcPr>
            <w:tcW w:type="dxa" w:w="204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角色</w:t>
            </w:r>
          </w:p>
        </w:tc>
        <w:tc>
          <w:tcPr>
            <w:tcW w:type="dxa" w:w="525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具體工作</w:t>
            </w:r>
          </w:p>
        </w:tc>
        <w:tc>
          <w:tcPr>
            <w:tcW w:type="dxa" w:w="233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姓名與投入比率</w:t>
            </w:r>
          </w:p>
        </w:tc>
      </w:tr>
      <w:tr>
        <w:trPr>
          <w:cantSplit/>
        </w:trPr>
        <w:tc>
          <w:tcPr>
            <w:tcW w:type="dxa" w:w="204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計畫主持人</w:t>
            </w:r>
          </w:p>
        </w:tc>
        <w:tc>
          <w:tcPr>
            <w:tcW w:type="dxa" w:w="525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研究設計、電路規格、實驗審核及成果撰寫</w:t>
            </w:r>
          </w:p>
        </w:tc>
        <w:tc>
          <w:tcPr>
            <w:tcW w:type="dxa" w:w="23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04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共同／協同研究人員</w:t>
            </w:r>
          </w:p>
        </w:tc>
        <w:tc>
          <w:tcPr>
            <w:tcW w:type="dxa" w:w="525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如設置，負責電路、實體設計或模型方法</w:t>
            </w:r>
          </w:p>
        </w:tc>
        <w:tc>
          <w:tcPr>
            <w:tcW w:type="dxa" w:w="233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【待確認】</w:t>
            </w:r>
          </w:p>
        </w:tc>
      </w:tr>
      <w:tr>
        <w:trPr>
          <w:cantSplit/>
        </w:trPr>
        <w:tc>
          <w:tcPr>
            <w:tcW w:type="dxa" w:w="204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專任研究助理</w:t>
            </w:r>
          </w:p>
        </w:tc>
        <w:tc>
          <w:tcPr>
            <w:tcW w:type="dxa" w:w="525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EDA 介面、批次流程、資料與版本管理、平台整合與實驗重現</w:t>
            </w:r>
          </w:p>
        </w:tc>
        <w:tc>
          <w:tcPr>
            <w:tcW w:type="dxa" w:w="23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04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兼任學生 2 名</w:t>
            </w:r>
          </w:p>
        </w:tc>
        <w:tc>
          <w:tcPr>
            <w:tcW w:type="dxa" w:w="525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電路與佈局驗證；預測模型與最佳化實驗</w:t>
            </w:r>
          </w:p>
        </w:tc>
        <w:tc>
          <w:tcPr>
            <w:tcW w:type="dxa" w:w="233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【待填】</w:t>
            </w:r>
          </w:p>
        </w:tc>
      </w:tr>
    </w:tbl>
    <w:p>
      <w:pPr>
        <w:spacing w:after="120"/>
      </w:pPr>
    </w:p>
    <w:p>
      <w:pPr>
        <w:keepNext/>
        <w:spacing w:after="60" w:before="100"/>
      </w:pPr>
      <w:r>
        <w:rPr>
          <w:rFonts w:ascii="Times New Roman" w:eastAsia="標楷體" w:hAnsi="Times New Roman"/>
          <w:b/>
          <w:bCs/>
          <w:color w:val="1F3864"/>
          <w:sz w:val="24"/>
          <w:szCs w:val="24"/>
        </w:rPr>
        <w:t xml:space="preserve">表 25　耗材與研究設備（CM08／CM10）</w:t>
      </w:r>
    </w:p>
    <w:tbl>
      <w:tblPr>
        <w:tblW w:type="dxa" w:w="9638"/>
        <w:tblBorders>
          <w:top w:val="single" w:color="A9B4C4" w:sz="4"/>
          <w:left w:val="single" w:color="A9B4C4" w:sz="4"/>
          <w:bottom w:val="single" w:color="A9B4C4" w:sz="4"/>
          <w:right w:val="single" w:color="A9B4C4" w:sz="4"/>
          <w:insideH w:val="single" w:color="A9B4C4" w:sz="4"/>
          <w:insideV w:val="single" w:color="A9B4C4" w:sz="4"/>
        </w:tblBorders>
        <w:tblLayout w:type="fixed"/>
      </w:tblPr>
      <w:tblGrid>
        <w:gridCol w:w="2044"/>
        <w:gridCol w:w="5257"/>
        <w:gridCol w:w="2337"/>
      </w:tblGrid>
      <w:tr>
        <w:trPr>
          <w:cantSplit/>
          <w:tblHeader/>
        </w:trPr>
        <w:tc>
          <w:tcPr>
            <w:tcW w:type="dxa" w:w="204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項目</w:t>
            </w:r>
          </w:p>
        </w:tc>
        <w:tc>
          <w:tcPr>
            <w:tcW w:type="dxa" w:w="525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研究用途與估算方式</w:t>
            </w:r>
          </w:p>
        </w:tc>
        <w:tc>
          <w:tcPr>
            <w:tcW w:type="dxa" w:w="2337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eastAsia="標楷體" w:hAnsi="Times New Roman"/>
                <w:b/>
                <w:bCs/>
                <w:color w:val="FFFFFF"/>
                <w:sz w:val="24"/>
                <w:szCs w:val="24"/>
              </w:rPr>
              <w:t xml:space="preserve">金額</w:t>
            </w:r>
          </w:p>
        </w:tc>
      </w:tr>
      <w:tr>
        <w:trPr>
          <w:cantSplit/>
        </w:trPr>
        <w:tc>
          <w:tcPr>
            <w:tcW w:type="dxa" w:w="204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資料保存與備份</w:t>
            </w:r>
          </w:p>
        </w:tc>
        <w:tc>
          <w:tcPr>
            <w:tcW w:type="dxa" w:w="525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保存 GDS、PEX、波形與版本；依實際容量報價</w:t>
            </w:r>
          </w:p>
        </w:tc>
        <w:tc>
          <w:tcPr>
            <w:tcW w:type="dxa" w:w="23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04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文獻與研究資料</w:t>
            </w:r>
          </w:p>
        </w:tc>
        <w:tc>
          <w:tcPr>
            <w:tcW w:type="dxa" w:w="525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方法與類比設計文獻；依實際書目與授權</w:t>
            </w:r>
          </w:p>
        </w:tc>
        <w:tc>
          <w:tcPr>
            <w:tcW w:type="dxa" w:w="233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04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軟體或模擬服務</w:t>
            </w:r>
          </w:p>
        </w:tc>
        <w:tc>
          <w:tcPr>
            <w:tcW w:type="dxa" w:w="525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僅限必要且未由既有授權涵蓋者</w:t>
            </w:r>
          </w:p>
        </w:tc>
        <w:tc>
          <w:tcPr>
            <w:tcW w:type="dxa" w:w="23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【待填或 0】</w:t>
            </w:r>
          </w:p>
        </w:tc>
      </w:tr>
      <w:tr>
        <w:trPr>
          <w:cantSplit/>
        </w:trPr>
        <w:tc>
          <w:tcPr>
            <w:tcW w:type="dxa" w:w="204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本地運算設備</w:t>
            </w:r>
          </w:p>
        </w:tc>
        <w:tc>
          <w:tcPr>
            <w:tcW w:type="dxa" w:w="525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供模型與批次 EDA；先確認既有設備是否足夠</w:t>
            </w:r>
          </w:p>
        </w:tc>
        <w:tc>
          <w:tcPr>
            <w:tcW w:type="dxa" w:w="233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【待盤點】</w:t>
            </w:r>
          </w:p>
        </w:tc>
      </w:tr>
      <w:tr>
        <w:trPr>
          <w:cantSplit/>
        </w:trPr>
        <w:tc>
          <w:tcPr>
            <w:tcW w:type="dxa" w:w="204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記憶體與</w:t>
            </w:r>
          </w:p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儲存擴充</w:t>
            </w:r>
          </w:p>
        </w:tc>
        <w:tc>
          <w:tcPr>
            <w:tcW w:type="dxa" w:w="525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依波形、PEX 容量與並行作業量評估</w:t>
            </w:r>
          </w:p>
        </w:tc>
        <w:tc>
          <w:tcPr>
            <w:tcW w:type="dxa" w:w="23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  <w:highlight w:val="yellow"/>
                <w:highlightCs w:val="yellow"/>
              </w:rPr>
              <w:t xml:space="preserve">【待估價】</w:t>
            </w:r>
          </w:p>
        </w:tc>
      </w:tr>
    </w:tbl>
    <w:p>
      <w:pPr>
        <w:spacing w:after="120"/>
      </w:pPr>
    </w:p>
    <w:p>
      <w:pPr>
        <w:spacing w:after="100" w:line="240"/>
        <w:jc w:val="both"/>
      </w:pPr>
      <w:r>
        <w:rPr>
          <w:rFonts w:ascii="Times New Roman" w:eastAsia="標楷體" w:hAnsi="Times New Roman"/>
          <w:color w:val="595959"/>
          <w:sz w:val="24"/>
          <w:szCs w:val="24"/>
        </w:rPr>
        <w:t xml:space="preserve">設備、軟體與儲存項目依性質歸入對應科目，同一需求不重複列於 CM08 與 CM10；需檢附估價者依正式申請時適用規定辦理。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標楷體" w:hAnsi="Times New Roman"/>
        <w:color w:val="808080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標楷體" w:hAnsi="Times New Roman"/>
        <w:color w:val="808080"/>
        <w:sz w:val="16"/>
        <w:szCs w:val="16"/>
      </w:rPr>
      <w:t xml:space="preserve">4 奈米以下 SAR ADC 之寄生感知 AI 多代理佈局平台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480" w:hanging="4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標楷體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40" w:before="240"/>
      <w:outlineLvl w:val="0"/>
    </w:pPr>
    <w:rPr>
      <w:rFonts w:ascii="Times New Roman" w:cs="Times New Roman" w:eastAsia="標楷體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imes New Roman" w:cs="Times New Roman" w:eastAsia="標楷體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標楷體" w:hAnsi="Times New Roman"/>
      <w:b/>
      <w:bCs/>
      <w:color w:val="2E4A7D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Times New Roman" w:cs="Times New Roman" w:eastAsia="標楷體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021157b2fce313e729c15edf69e26ec1b98aad8.png"/><Relationship Id="rId10" Type="http://schemas.openxmlformats.org/officeDocument/2006/relationships/image" Target="media/13834d5b1d219287d763afecddaf33672927d8d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 奈米以下 SAR ADC 之寄生感知 AI 多代理佈局平台</dc:title>
  <dc:creator>TKU EE Lab</dc:creator>
  <cp:lastModifiedBy>Un-named</cp:lastModifiedBy>
  <cp:revision>1</cp:revision>
  <dcterms:created xsi:type="dcterms:W3CDTF">2026-10-06T04:17:53.129Z</dcterms:created>
  <dcterms:modified xsi:type="dcterms:W3CDTF">2026-10-06T04:17:53.129Z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