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footer_v5_1.xml" ContentType="application/vnd.openxmlformats-officedocument.wordprocessingml.footer+xml"/>
  <Override PartName="/word/footer_v5_2.xml" ContentType="application/vnd.openxmlformats-officedocument.wordprocessingml.footer+xml"/>
  <Override PartName="/word/footer_v5_3.xml" ContentType="application/vnd.openxmlformats-officedocument.wordprocessingml.footer+xml"/>
  <Override PartName="/word/footer_v5_4.xml" ContentType="application/vnd.openxmlformats-officedocument.wordprocessingml.footer+xml"/>
  <Override PartName="/word/footer_v5_5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40" w:lineRule="auto" w:before="0" w:after="60"/>
        <w:jc w:val="center"/>
        <w:widowControl/>
      </w:pPr>
      <w:r>
        <w:rPr>
          <w:rFonts w:ascii="Times New Roman" w:hAnsi="Times New Roman" w:eastAsia="Noto Serif CJK TC" w:cs="Times New Roman"/>
          <w:color w:val="000000"/>
          <w:sz w:val="24"/>
          <w:szCs w:val="24"/>
        </w:rPr>
        <w:t xml:space="preserve">國家科學及技術委員會專題研究計畫申請書</w:t>
      </w:r>
    </w:p>
    <w:p>
      <w:pPr>
        <w:spacing w:line="240" w:lineRule="auto" w:before="0" w:after="60"/>
        <w:jc w:val="center"/>
        <w:widowControl/>
        <w:pStyle w:val="Title"/>
      </w:pPr>
      <w:r>
        <w:rPr>
          <w:rFonts w:ascii="Times New Roman" w:hAnsi="Times New Roman" w:eastAsia="Noto Serif CJK TC" w:cs="Times New Roman"/>
          <w:b/>
          <w:bCs/>
          <w:color w:val="000000"/>
          <w:sz w:val="34"/>
          <w:szCs w:val="34"/>
        </w:rPr>
        <w:t xml:space="preserve">4 奈米以下 SAR ADC 之寄生感知 AI 多代理佈局平台</w:t>
      </w:r>
    </w:p>
    <w:p>
      <w:pPr>
        <w:spacing w:line="240" w:lineRule="auto" w:before="0" w:after="60"/>
        <w:jc w:val="center"/>
        <w:widowControl/>
      </w:pPr>
      <w:r>
        <w:rPr>
          <w:rFonts w:ascii="Times New Roman" w:hAnsi="Times New Roman" w:eastAsia="Noto Serif CJK TC" w:cs="Times New Roman"/>
          <w:i/>
          <w:iCs/>
          <w:sz w:val="24"/>
          <w:szCs w:val="24"/>
          <w:color w:val="000000"/>
        </w:rPr>
        <w:t xml:space="preserve">A Parasitic-Aware Multi-Agent AI Layout Platform for Sub-4 nm SAR ADCs</w:t>
      </w:r>
    </w:p>
    <w:p>
      <w:pPr>
        <w:pStyle w:val="Heading1"/>
        <w:spacing w:line="240" w:lineRule="auto" w:before="120" w:after="60"/>
        <w:keepNext/>
        <w:widowControl/>
      </w:pPr>
      <w:r>
        <w:t>一、計畫基本資料（CM01填寫工作稿）</w:t>
        <w:rPr>
          <w:rFonts w:ascii="Times New Roman" w:hAnsi="Times New Roman" w:eastAsia="Noto Serif CJK TC" w:cs="Times New Roman"/>
          <w:sz w:val="24"/>
          <w:szCs w:val="24"/>
          <w:color w:val="000000"/>
        </w:rPr>
      </w:r>
    </w:p>
    <w:tbl>
      <w:tblPr>
        <w:tblW w:type="dxa" w:w="9638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CellMar>
          <w:top w:w="45" w:type="dxa"/>
          <w:bottom w:w="45" w:type="dxa"/>
          <w:left w:w="65" w:type="dxa"/>
          <w:right w:w="65" w:type="dxa"/>
        </w:tblCellMar>
      </w:tblPr>
      <w:tblGrid>
        <w:gridCol w:w="2152"/>
        <w:gridCol w:w="7486"/>
      </w:tblGrid>
      <w:tr>
        <w:trPr>
          <w:cantSplit/>
        </w:trPr>
        <w:tc>
          <w:tcPr>
            <w:tcW w:type="dxa" w:w="2152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計畫名稱（中文）</w:t>
            </w:r>
          </w:p>
        </w:tc>
        <w:tc>
          <w:tcPr>
            <w:tcW w:type="dxa" w:w="748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4 奈米以下 SAR ADC 之寄生感知 AI 多代理佈局平台</w:t>
            </w:r>
          </w:p>
        </w:tc>
      </w:tr>
      <w:tr>
        <w:trPr>
          <w:cantSplit/>
        </w:trPr>
        <w:tc>
          <w:tcPr>
            <w:tcW w:type="dxa" w:w="2152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計畫名稱（英文）</w:t>
            </w:r>
          </w:p>
        </w:tc>
        <w:tc>
          <w:tcPr>
            <w:tcW w:type="dxa" w:w="7486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A Parasitic-Aware Multi-Agent AI Layout Platform for Sub-4 nm SAR ADCs</w:t>
            </w:r>
          </w:p>
        </w:tc>
      </w:tr>
      <w:tr>
        <w:trPr>
          <w:cantSplit/>
        </w:trPr>
        <w:tc>
          <w:tcPr>
            <w:tcW w:type="dxa" w:w="2152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申請年度／類別</w:t>
            </w:r>
          </w:p>
        </w:tc>
        <w:tc>
          <w:tcPr>
            <w:tcW w:type="dxa" w:w="748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民國 116 年度；一般研究計畫，個別型，兩年期</w:t>
            </w:r>
          </w:p>
        </w:tc>
      </w:tr>
      <w:tr>
        <w:trPr>
          <w:cantSplit/>
        </w:trPr>
        <w:tc>
          <w:tcPr>
            <w:tcW w:type="dxa" w:w="2152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計畫歸屬／學門</w:t>
            </w:r>
          </w:p>
        </w:tc>
        <w:tc>
          <w:tcPr>
            <w:tcW w:type="dxa" w:w="7486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工程技術研究發展處；微電子工程（電子設計自動化、類比積體電路），細分學門代碼</w:t>
            </w: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highlight w:val="yellow"/>
                <w:highlightCs w:val="yellow"/>
                <w:color w:val="000000"/>
              </w:rPr>
              <w:t xml:space="preserve">【待確認】</w:t>
            </w:r>
          </w:p>
        </w:tc>
      </w:tr>
      <w:tr>
        <w:trPr>
          <w:cantSplit/>
        </w:trPr>
        <w:tc>
          <w:tcPr>
            <w:tcW w:type="dxa" w:w="2152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申請機構／系所</w:t>
            </w:r>
          </w:p>
        </w:tc>
        <w:tc>
          <w:tcPr>
            <w:tcW w:type="dxa" w:w="748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淡江大學電機工程學系</w:t>
            </w:r>
          </w:p>
        </w:tc>
      </w:tr>
      <w:tr>
        <w:trPr>
          <w:cantSplit/>
        </w:trPr>
        <w:tc>
          <w:tcPr>
            <w:tcW w:type="dxa" w:w="2152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計畫主持人</w:t>
            </w:r>
          </w:p>
        </w:tc>
        <w:tc>
          <w:tcPr>
            <w:tcW w:type="dxa" w:w="7486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highlight w:val="yellow"/>
                <w:highlightCs w:val="yellow"/>
                <w:color w:val="000000"/>
              </w:rPr>
              <w:t xml:space="preserve">【待填教授姓名與職稱】</w:t>
            </w: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　共同主持人：</w:t>
            </w: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highlight w:val="yellow"/>
                <w:highlightCs w:val="yellow"/>
                <w:color w:val="000000"/>
              </w:rPr>
              <w:t xml:space="preserve">【由主持人確認是否設置】</w:t>
            </w:r>
          </w:p>
        </w:tc>
      </w:tr>
      <w:tr>
        <w:trPr>
          <w:cantSplit/>
        </w:trPr>
        <w:tc>
          <w:tcPr>
            <w:tcW w:type="dxa" w:w="2152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全程執行期限</w:t>
            </w:r>
          </w:p>
        </w:tc>
        <w:tc>
          <w:tcPr>
            <w:tcW w:type="dxa" w:w="748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民國 116 年 8 月 1 日至 118 年 7 月 31 日</w:t>
            </w: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highlight w:val="yellow"/>
                <w:highlightCs w:val="yellow"/>
                <w:color w:val="000000"/>
              </w:rPr>
              <w:t xml:space="preserve">（24 個月；依 116 年度徵求公告確認）</w:t>
            </w:r>
          </w:p>
        </w:tc>
      </w:tr>
      <w:tr>
        <w:trPr>
          <w:cantSplit/>
        </w:trPr>
        <w:tc>
          <w:tcPr>
            <w:tcW w:type="dxa" w:w="2152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研究對象</w:t>
            </w:r>
          </w:p>
        </w:tc>
        <w:tc>
          <w:tcPr>
            <w:tcW w:type="dxa" w:w="7486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經授權之 4 nm FinFET 製程 SAR ADC：元件匹配、局部互連、巨集擺置、寄生回饋與後佈局驗證</w:t>
            </w:r>
          </w:p>
        </w:tc>
      </w:tr>
      <w:tr>
        <w:trPr>
          <w:cantSplit/>
        </w:trPr>
        <w:tc>
          <w:tcPr>
            <w:tcW w:type="dxa" w:w="2152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前期相關計畫</w:t>
            </w:r>
          </w:p>
        </w:tc>
        <w:tc>
          <w:tcPr>
            <w:tcW w:type="dxa" w:w="748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114WFD0410548「結合大型語言模型與開源EDA工具之AI驅動物聯網晶片設計自動化版圖資料集產生與驗證平台」（114/12/01–115/11/30）</w:t>
            </w:r>
          </w:p>
        </w:tc>
      </w:tr>
      <w:tr>
        <w:trPr>
          <w:cantSplit/>
        </w:trPr>
        <w:tc>
          <w:tcPr>
            <w:tcW w:type="dxa" w:w="2152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關鍵詞</w:t>
            </w:r>
          </w:p>
        </w:tc>
        <w:tc>
          <w:tcPr>
            <w:tcW w:type="dxa" w:w="7486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4 奈米 FinFET、SAR ADC、局部互連、元件匹配、寄生感知佈局、選擇性萃取、多代理系統、ECO</w:t>
            </w:r>
          </w:p>
        </w:tc>
      </w:tr>
      <w:tr>
        <w:trPr>
          <w:cantSplit/>
        </w:trPr>
        <w:tc>
          <w:tcPr>
            <w:tcW w:type="dxa" w:w="2152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>申請件數及優先序</w:t>
            </w:r>
          </w:p>
        </w:tc>
        <w:tc>
          <w:tcPr>
            <w:tcW w:type="dxa" w:w="7486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>【待填】本年度申請件數及本件優先順序</w:t>
            </w:r>
          </w:p>
        </w:tc>
      </w:tr>
      <w:tr>
        <w:trPr>
          <w:cantSplit/>
        </w:trPr>
        <w:tc>
          <w:tcPr>
            <w:tcW w:type="dxa" w:w="2152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>其他補助及計畫揭露</w:t>
            </w:r>
          </w:p>
        </w:tc>
        <w:tc>
          <w:tcPr>
            <w:tcW w:type="dxa" w:w="7486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>【待確認】其他單位補助及近三年非國科會計畫</w:t>
            </w:r>
          </w:p>
        </w:tc>
      </w:tr>
      <w:tr>
        <w:trPr>
          <w:cantSplit/>
        </w:trPr>
        <w:tc>
          <w:tcPr>
            <w:tcW w:type="dxa" w:w="2152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>特殊研究與資源勾選</w:t>
            </w:r>
          </w:p>
        </w:tc>
        <w:tc>
          <w:tcPr>
            <w:tcW w:type="dxa" w:w="7486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>【由主持人核對】研究倫理、國際合作及高效能計算資源等適用項目</w:t>
            </w:r>
          </w:p>
        </w:tc>
      </w:tr>
      <w:tr>
        <w:trPr>
          <w:cantSplit/>
        </w:trPr>
        <w:tc>
          <w:tcPr>
            <w:tcW w:type="dxa" w:w="2152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>計畫聯絡資料</w:t>
            </w:r>
          </w:p>
        </w:tc>
        <w:tc>
          <w:tcPr>
            <w:tcW w:type="dxa" w:w="7486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>【待填】聯絡人、電話、通訊地址及E-mail</w:t>
            </w:r>
          </w:p>
        </w:tc>
      </w:tr>
    </w:tbl>
    <w:p>
      <w:pPr>
        <w:spacing w:line="240" w:lineRule="auto" w:before="0" w:after="60"/>
        <w:widowControl/>
      </w:pPr>
    </w:p>
    <w:p>
      <w:pPr>
        <w:sectPr>
          <w:pgSz w:w="11906" w:h="16838" w:orient="portrait"/>
          <w:pgMar w:top="1134" w:right="1134" w:bottom="1134" w:left="1134" w:header="567" w:footer="567" w:gutter="0"/>
          <w:footerReference w:type="default" r:id="rIdV5Footer1"/>
          <w:type w:val="nextPage"/>
          <w:pgNumType w:start="1"/>
        </w:sectPr>
      </w:pPr>
    </w:p>
    <w:p>
      <w:pPr>
        <w:pStyle w:val="Heading1"/>
        <w:spacing w:line="240" w:lineRule="auto" w:before="120" w:after="60"/>
        <w:keepNext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二、研究計畫中英文摘要（表 CM02）</w:t>
      </w:r>
    </w:p>
    <w:p>
      <w:pPr>
        <w:pStyle w:val="Heading3"/>
        <w:spacing w:line="240" w:lineRule="auto" w:before="120" w:after="60"/>
        <w:keepNext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（一）計畫中文摘要（五百字以內）</w:t>
      </w:r>
    </w:p>
    <w:p>
      <w:pPr>
        <w:spacing w:line="240" w:lineRule="auto" w:before="0" w:after="60"/>
        <w:ind w:firstLine="440"/>
        <w:jc w:val="both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在 4 nm FinFET 製程中，整數鰭數、限制性設計規則、局部互連與佈局相依效應已主導類比電路效能，但 SAR ADC 巨集擺置仍多以半周線長（HPWL）為目標，須待繞線、寄生萃取（PEX）與佈局後模擬完成，才知效能是否劣化。本團隊前期已建立本地端 AI 輔助設計平台（1,042 份網表零崩潰之佈局建議、下線審查器、3,383 筆領域微調資料），並以 RALF 完成 130 nm SAR ADC 十一個巨集的約束驅動擺置。</w:t>
      </w:r>
    </w:p>
    <w:p>
      <w:pPr>
        <w:spacing w:line="240" w:lineRule="auto" w:before="0" w:after="60"/>
        <w:ind w:firstLine="440"/>
        <w:jc w:val="both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本計畫為期兩年，研究內容包括：（一）建立 4 nm 電氣等效且製程合法的基本單元變體，量測匹配環境、接點／過孔、pin 出口與幾何裕度等佈局技巧的電路效益；（二）研究保留完整寄生 RC 的 LVS 選擇性萃取，界定 SAR ADC 子電路的必要元件集合與誤差門檻；（三）以五個 AI 代理組成「擺置—寄生—效能—裁判—ECO」閉迴路，結合粗至細搜尋、寄生預測與不確定性選樣。三組實驗分別檢驗局部技巧、快速驗證與完整 ADC 閉迴路的效益，最終一律以完整 DRC、LVS、PEX 與電路模擬驗收。預期產出 4 nm 佈局變體庫、規則庫、SE 適用性報告與閉迴路原型；4 nm 驗證以取得授權 PDK 與工具為必要條件。</w:t>
      </w:r>
    </w:p>
    <w:p>
      <w:pPr>
        <w:spacing w:line="240" w:lineRule="auto" w:before="0" w:after="60"/>
        <w:jc w:val="both"/>
        <w:widowControl/>
      </w:pPr>
      <w:r>
        <w:rPr>
          <w:rFonts w:ascii="Times New Roman" w:hAnsi="Times New Roman" w:eastAsia="Noto Serif CJK TC" w:cs="Times New Roman"/>
          <w:b/>
          <w:bCs/>
          <w:sz w:val="24"/>
          <w:szCs w:val="24"/>
          <w:color w:val="000000"/>
        </w:rPr>
        <w:t xml:space="preserve">關鍵詞：</w:t>
      </w: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 4 奈米 FinFET、SAR ADC、局部互連、元件匹配、選擇性萃取、寄生感知佈局、多代理系統</w:t>
      </w:r>
    </w:p>
    <w:p>
      <w:pPr>
        <w:pStyle w:val="Heading3"/>
        <w:spacing w:line="240" w:lineRule="auto" w:before="120" w:after="60"/>
        <w:keepNext/>
        <w:widowControl/>
        <w:pageBreakBefore w:val="1"/>
      </w:pPr>
      <w:r>
        <w:t>（二）計畫英文摘要（五百詞以內）</w:t>
        <w:rPr>
          <w:rFonts w:ascii="Times New Roman" w:hAnsi="Times New Roman" w:eastAsia="Noto Serif CJK TC" w:cs="Times New Roman"/>
          <w:sz w:val="24"/>
          <w:szCs w:val="24"/>
          <w:color w:val="000000"/>
        </w:rPr>
      </w:r>
    </w:p>
    <w:p>
      <w:pPr>
        <w:spacing w:line="240" w:lineRule="auto" w:before="0" w:after="60"/>
        <w:ind w:firstLine="440"/>
        <w:jc w:val="both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In 4 nm FinFET processes, integer fin counts, restrictive design rules, local interconnects, and layout-dependent effects dominate analog performance, yet SAR ADC macro placement is still driven by half-perimeter wirelength, so degradation is found only after routing, parasitic extraction, and post-layout simulation. Building on our on-premise AI design platform and a constraint-driven 11-macro SAR ADC placement in 130 nm, this two-year project pursues three aims.</w:t>
      </w:r>
    </w:p>
    <w:p>
      <w:pPr>
        <w:spacing w:line="240" w:lineRule="auto" w:before="0" w:after="60"/>
        <w:ind w:firstLine="440"/>
        <w:jc w:val="both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First, a library of electrically equivalent, process-legal primitive variants will quantify how matching environments, contacts and vias, pin access, and geometric margins affect differential RC mismatch, settling, and comparator behavior. Second, LVS-rule-deck selective extraction, which retains the complete routing RC network and all non-FET devices, will be tested on SAR ADC sub-circuits; because published evidence concerns ESD circuits, applicability is treated as a hypothesis with predefined accuracy gates and fallback to full extraction. Third, five cooperating agents (placement, parasitic, extraction, performance judge, and ECO) will close the loop between coarse-to-fine placement, parasitic prediction, uncertainty-aware sampling, and verified performance. Controlled experiments with paired seeds, held-out variants, and PVT checks will report SNDR, SFDR, INL/DNL, specification pass rates, and end-to-end cost; final acceptance always requires complete DRC, LVS, PEX, and simulation. Deliverables include a 4 nm variant library, a layout-rule library, selective-extraction guidelines, and a closed-loop prototype.</w:t>
      </w:r>
    </w:p>
    <w:p>
      <w:pPr>
        <w:spacing w:line="240" w:lineRule="auto" w:before="0" w:after="60"/>
        <w:jc w:val="both"/>
        <w:widowControl/>
      </w:pPr>
      <w:r>
        <w:rPr>
          <w:rFonts w:ascii="Times New Roman" w:hAnsi="Times New Roman" w:eastAsia="Noto Serif CJK TC" w:cs="Times New Roman"/>
          <w:b/>
          <w:bCs/>
          <w:sz w:val="24"/>
          <w:szCs w:val="24"/>
          <w:color w:val="000000"/>
        </w:rPr>
        <w:t xml:space="preserve">Keywords:</w:t>
      </w: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 4 nm FinFET; SAR ADC; local interconnect; matching; selective extraction; parasitic-aware layout; multi-agent system</w:t>
      </w:r>
    </w:p>
    <w:p>
      <w:pPr>
        <w:pStyle w:val="Heading3"/>
        <w:spacing w:line="240" w:lineRule="auto" w:before="120" w:after="60"/>
        <w:keepNext/>
        <w:widowControl/>
      </w:pPr>
      <w:r>
        <w:t>（三）執行目的及預期影響性（三百字以內）</w:t>
        <w:rPr>
          <w:rFonts w:ascii="Times New Roman" w:hAnsi="Times New Roman" w:eastAsia="Noto Serif CJK TC" w:cs="Times New Roman"/>
          <w:sz w:val="24"/>
          <w:szCs w:val="24"/>
          <w:color w:val="000000"/>
        </w:rPr>
      </w:r>
    </w:p>
    <w:p>
      <w:pPr>
        <w:spacing w:line="240" w:lineRule="auto" w:before="0" w:after="60"/>
        <w:ind w:firstLine="440"/>
        <w:jc w:val="both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本計畫把類比佈局最耗人力的「擺置—萃取—模擬—修改」迴圈，交給可追溯的 AI 代理與確定性 EDA 工具分工完成，讓設計者在繞線前即可估計佈局決策對 ADC 效能的影響。學術面，建立 4 nm 局部互連與匹配環境至 SAR ADC 效能的可重現證據，並釐清以 ESD 驗證的選擇性萃取方法轉用類比轉換器的必要條件。產業面，平台全程本地部署，PDK 與版圖不外傳，可縮短 ADC IP 跨製程移植的驗證週期，並培育兼具先進製程佈局、EDA 與 AI 能力的人才。</w:t>
      </w:r>
    </w:p>
    <w:p>
      <w:pPr>
        <w:sectPr>
          <w:pgSz w:w="11906" w:h="16838" w:orient="portrait"/>
          <w:pgMar w:top="1134" w:right="1134" w:bottom="1134" w:left="1134" w:header="567" w:footer="567" w:gutter="0"/>
          <w:footerReference w:type="default" r:id="rIdV5Footer2"/>
          <w:type w:val="nextPage"/>
          <w:pgNumType w:start="1"/>
        </w:sectPr>
      </w:pPr>
    </w:p>
    <w:p>
      <w:pPr>
        <w:pStyle w:val="Heading1"/>
        <w:spacing w:line="240" w:lineRule="auto" w:before="120" w:after="60"/>
        <w:keepNext/>
        <w:widowControl/>
      </w:pPr>
      <w:r>
        <w:t>三、研究計畫內容（以中文或英文撰寫）</w:t>
        <w:rPr>
          <w:rFonts w:ascii="Times New Roman" w:hAnsi="Times New Roman" w:eastAsia="Noto Serif CJK TC" w:cs="Times New Roman"/>
          <w:sz w:val="24"/>
          <w:szCs w:val="24"/>
          <w:color w:val="000000"/>
        </w:rPr>
      </w:r>
    </w:p>
    <w:p>
      <w:pPr>
        <w:pStyle w:val="Heading2"/>
        <w:spacing w:line="240" w:lineRule="auto" w:before="120" w:after="60"/>
        <w:keepNext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（一）研究計畫之背景</w:t>
      </w:r>
    </w:p>
    <w:p>
      <w:pPr>
        <w:pStyle w:val="Heading3"/>
        <w:spacing w:line="240" w:lineRule="auto" w:before="120" w:after="60"/>
        <w:keepNext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1. 研究問題與重要性</w:t>
      </w:r>
    </w:p>
    <w:p>
      <w:pPr>
        <w:spacing w:line="240" w:lineRule="auto" w:before="0" w:after="60"/>
        <w:jc w:val="both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本計畫要解決的問題是：</w:t>
      </w:r>
      <w:r>
        <w:rPr>
          <w:rFonts w:ascii="Times New Roman" w:hAnsi="Times New Roman" w:eastAsia="Noto Serif CJK TC" w:cs="Times New Roman"/>
          <w:b/>
          <w:bCs/>
          <w:sz w:val="24"/>
          <w:szCs w:val="24"/>
          <w:color w:val="000000"/>
        </w:rPr>
        <w:t xml:space="preserve">4 nm SAR ADC 的佈局仍以線長為目標，但決定效能的是擺置後的寄生、耦合與局部環境。</w:t>
      </w: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 具體表現在四個面向。</w:t>
      </w:r>
    </w:p>
    <w:p>
      <w:pPr>
        <w:pStyle w:val="ListParagraph"/>
        <w:numPr>
          <w:ilvl w:val="0"/>
          <w:numId w:val="2"/>
        </w:numPr>
        <w:spacing w:line="240" w:lineRule="auto" w:before="0" w:after="60"/>
        <w:jc w:val="both"/>
        <w:widowControl/>
      </w:pPr>
      <w:r>
        <w:rPr>
          <w:rFonts w:ascii="Times New Roman" w:hAnsi="Times New Roman" w:eastAsia="Noto Serif CJK TC" w:cs="Times New Roman"/>
          <w:b/>
          <w:bCs/>
          <w:sz w:val="24"/>
          <w:szCs w:val="24"/>
          <w:color w:val="000000"/>
        </w:rPr>
        <w:t xml:space="preserve">寄生主導效能。</w:t>
      </w: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 Kwon 等人的 6 nm 10 位元 500 MS/s pipelined SAR ADC 指出，sub-10 nm FinFET 因製程層數增加使寄生電阻上升，加寬金屬又增加寄生電容，需以 M4–M7 封裝 MOM、M3／M8 屏蔽與 M11 頂板配線取捨 [1]；7 nm 12 位元 ADC 的級間增益誤差亦來自 CDAC 寄生，需靠複製電路的相鄰佈局消除 [2]。5 nm 實務另指出 dummy 漏電、MEOL／BEOL 寄生與取樣開關 GIDL 為移植主要問題 [3]。</w:t>
      </w:r>
    </w:p>
    <w:p>
      <w:pPr>
        <w:pStyle w:val="ListParagraph"/>
        <w:numPr>
          <w:ilvl w:val="0"/>
          <w:numId w:val="2"/>
        </w:numPr>
        <w:spacing w:line="240" w:lineRule="auto" w:before="0" w:after="60"/>
        <w:jc w:val="both"/>
        <w:widowControl/>
      </w:pPr>
      <w:r>
        <w:rPr>
          <w:rFonts w:ascii="Times New Roman" w:hAnsi="Times New Roman" w:eastAsia="Noto Serif CJK TC" w:cs="Times New Roman"/>
          <w:b/>
          <w:bCs/>
          <w:sz w:val="24"/>
          <w:szCs w:val="24"/>
          <w:color w:val="000000"/>
        </w:rPr>
        <w:t xml:space="preserve">FinFET 元件不能沿用平面 MOS 假設。</w:t>
      </w: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 鰭數為整數、朝向與間距受限 [4]；基本單元內部寄生與佈局相依效應（LDE）也會影響匹配，需與外部配線協同最佳化 [5]。</w:t>
      </w:r>
    </w:p>
    <w:p>
      <w:pPr>
        <w:pStyle w:val="ListParagraph"/>
        <w:numPr>
          <w:ilvl w:val="0"/>
          <w:numId w:val="2"/>
        </w:numPr>
        <w:spacing w:line="240" w:lineRule="auto" w:before="0" w:after="60"/>
        <w:jc w:val="both"/>
        <w:widowControl/>
      </w:pPr>
      <w:r>
        <w:rPr>
          <w:rFonts w:ascii="Times New Roman" w:hAnsi="Times New Roman" w:eastAsia="Noto Serif CJK TC" w:cs="Times New Roman"/>
          <w:b/>
          <w:bCs/>
          <w:sz w:val="24"/>
          <w:szCs w:val="24"/>
          <w:color w:val="000000"/>
        </w:rPr>
        <w:t xml:space="preserve">HPWL 與類比需求衝突。</w:t>
      </w: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 依 CDAC、SAR 邏輯、比較器排列可得最短線長，但數位切換夾在 CDAC 與比較器之間會增加 kickback 與參考擾動 [6]；專家平面圖則以 P／N CDAC 鏡射夾住比較器、取樣開關靠邊、數位與時脈獨立成區 [7]。數位時序 slack 為正也不保證類比安定視窗成立。</w:t>
      </w:r>
    </w:p>
    <w:p>
      <w:pPr>
        <w:pStyle w:val="ListParagraph"/>
        <w:numPr>
          <w:ilvl w:val="0"/>
          <w:numId w:val="2"/>
        </w:numPr>
        <w:spacing w:line="240" w:lineRule="auto" w:before="0" w:after="60"/>
        <w:jc w:val="both"/>
        <w:widowControl/>
      </w:pPr>
      <w:r>
        <w:rPr>
          <w:rFonts w:ascii="Times New Roman" w:hAnsi="Times New Roman" w:eastAsia="Noto Serif CJK TC" w:cs="Times New Roman"/>
          <w:b/>
          <w:bCs/>
          <w:sz w:val="24"/>
          <w:szCs w:val="24"/>
          <w:color w:val="000000"/>
        </w:rPr>
        <w:t xml:space="preserve">線性流程太晚發現問題。</w:t>
      </w: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 Placement → Routing → PEX → Post-sim 的流程使失敗在最後一步才暴露，且佈局決策與電路效能的關係難以累積成可重用資料，增加工具執行與工程師介入成本。</w:t>
      </w:r>
    </w:p>
    <w:p>
      <w:pPr>
        <w:pStyle w:val="Heading3"/>
        <w:spacing w:line="240" w:lineRule="auto" w:before="120" w:after="60"/>
        <w:keepNext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2. 4 奈米佈局技巧之關鍵挑戰</w:t>
      </w:r>
    </w:p>
    <w:p>
      <w:pPr>
        <w:spacing w:line="240" w:lineRule="auto" w:before="0" w:after="60"/>
        <w:jc w:val="both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4 nm 佈局品質同時受 MEOL 圖形化規則、LDE 與簽核成本限制。表 1 整理挑戰、文獻證據與本計畫的處理方式；兩篇新增文獻的數據均註明適用範圍，不直接移用為 4 nm FinFET ADC 成果。</w:t>
      </w:r>
    </w:p>
    <w:p>
      <w:pPr>
        <w:spacing w:line="240" w:lineRule="auto" w:before="120" w:after="60"/>
        <w:keepNext/>
        <w:widowControl/>
      </w:pPr>
      <w:r>
        <w:rPr>
          <w:rFonts w:ascii="Times New Roman" w:hAnsi="Times New Roman" w:eastAsia="Noto Serif CJK TC" w:cs="Times New Roman"/>
          <w:b/>
          <w:bCs/>
          <w:color w:val="000000"/>
          <w:sz w:val="24"/>
          <w:szCs w:val="24"/>
        </w:rPr>
        <w:t xml:space="preserve">表 1　4 奈米佈局技巧之關鍵挑戰與本計畫處理方式</w:t>
      </w:r>
    </w:p>
    <w:tbl>
      <w:tblPr>
        <w:tblW w:type="dxa" w:w="9638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CellMar>
          <w:top w:w="45" w:type="dxa"/>
          <w:bottom w:w="45" w:type="dxa"/>
          <w:left w:w="65" w:type="dxa"/>
          <w:right w:w="65" w:type="dxa"/>
        </w:tblCellMar>
      </w:tblPr>
      <w:tblGrid>
        <w:gridCol w:w="1878"/>
        <w:gridCol w:w="3129"/>
        <w:gridCol w:w="2065"/>
        <w:gridCol w:w="2566"/>
      </w:tblGrid>
      <w:tr>
        <w:trPr>
          <w:cantSplit/>
          <w:tblHeader/>
        </w:trPr>
        <w:tc>
          <w:tcPr>
            <w:tcW w:type="dxa" w:w="1878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挑戰</w:t>
            </w:r>
          </w:p>
        </w:tc>
        <w:tc>
          <w:tcPr>
            <w:tcW w:type="dxa" w:w="3129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文獻證據</w:t>
            </w:r>
          </w:p>
        </w:tc>
        <w:tc>
          <w:tcPr>
            <w:tcW w:type="dxa" w:w="2065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對 ADC 的影響</w:t>
            </w:r>
          </w:p>
        </w:tc>
        <w:tc>
          <w:tcPr>
            <w:tcW w:type="dxa" w:w="2566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處理方式與界線</w:t>
            </w:r>
          </w:p>
        </w:tc>
      </w:tr>
      <w:tr>
        <w:trPr>
          <w:cantSplit/>
        </w:trPr>
        <w:tc>
          <w:tcPr>
            <w:tcW w:type="dxa" w:w="187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MEOL 局部互連與圖形限制</w:t>
            </w:r>
          </w:p>
        </w:tc>
        <w:tc>
          <w:tcPr>
            <w:tcW w:type="dxa" w:w="312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3 nm CFET SRAM：45° 局部互連使單元維持 5 個 fin pitch；方形 L 型互連需 6 個 fin pitch、面積增加 ≥ 20%（0.0115 → 0.0138 µm²）並多一道 M0G 光罩；低 NA EUV 每側蝕刻偏差 3–4 nm、高 NA 約 0.5 nm [8]</w:t>
            </w:r>
          </w:p>
        </w:tc>
        <w:tc>
          <w:tcPr>
            <w:tcW w:type="dxa" w:w="206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開關、比較器與 CDAC 單位格的形狀、接點重疊與面積大小</w:t>
            </w:r>
          </w:p>
        </w:tc>
        <w:tc>
          <w:tcPr>
            <w:tcW w:type="dxa" w:w="25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只轉譯互連連接、端點間距與裕度觀念；45° 圖形、pitch 與面積數字不移用，實際規則依 4 nm PDK</w:t>
            </w:r>
          </w:p>
        </w:tc>
      </w:tr>
      <w:tr>
        <w:trPr>
          <w:cantSplit/>
        </w:trPr>
        <w:tc>
          <w:tcPr>
            <w:tcW w:type="dxa" w:w="1878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互連電阻上升</w:t>
            </w:r>
          </w:p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與 RP／CP 取捨</w:t>
            </w:r>
          </w:p>
        </w:tc>
        <w:tc>
          <w:tcPr>
            <w:tcW w:type="dxa" w:w="3129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層數增加使 RP 上升、加寬金屬增加 CP；6 nm 以金屬疊層與屏蔽取捨 [1]</w:t>
            </w:r>
          </w:p>
        </w:tc>
        <w:tc>
          <w:tcPr>
            <w:tcW w:type="dxa" w:w="2065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CDAC 頂板與 VREF 的 RC 決定安定時間及增益誤差大小</w:t>
            </w:r>
          </w:p>
        </w:tc>
        <w:tc>
          <w:tcPr>
            <w:tcW w:type="dxa" w:w="2566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接點／過孔與層別列為 E1 因子；敏感線以完整 PEX 量測</w:t>
            </w:r>
          </w:p>
        </w:tc>
      </w:tr>
      <w:tr>
        <w:trPr>
          <w:cantSplit/>
        </w:trPr>
        <w:tc>
          <w:tcPr>
            <w:tcW w:type="dxa" w:w="187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LDE 與 dummy 漏電</w:t>
            </w:r>
          </w:p>
        </w:tc>
        <w:tc>
          <w:tcPr>
            <w:tcW w:type="dxa" w:w="312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連續主動區 dummy 於快角高溫漏電；取樣開關 GIDL 偏高 [3]；primitive 內部寄生與 LDE 影響匹配 [5]</w:t>
            </w:r>
          </w:p>
        </w:tc>
        <w:tc>
          <w:tcPr>
            <w:tcW w:type="dxa" w:w="206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比較器輸入對偏移；取樣開關的線性度</w:t>
            </w:r>
          </w:p>
        </w:tc>
        <w:tc>
          <w:tcPr>
            <w:tcW w:type="dxa" w:w="25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dummy、鄰接與邊界環境保持可追溯；PDK 無 LDE 模型時僅報規則與環境證據</w:t>
            </w:r>
          </w:p>
        </w:tc>
      </w:tr>
      <w:tr>
        <w:trPr>
          <w:cantSplit/>
        </w:trPr>
        <w:tc>
          <w:tcPr>
            <w:tcW w:type="dxa" w:w="1878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佈局後模擬</w:t>
            </w:r>
          </w:p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爆量</w:t>
            </w:r>
          </w:p>
        </w:tc>
        <w:tc>
          <w:tcPr>
            <w:tcW w:type="dxa" w:w="3129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4 nm ESD：完整 SPF 模擬 16.18 h；skip-cell 0.48 h 但誤差 −7.9%；選擇性萃取 0.67 h、誤差 1.4% [9]</w:t>
            </w:r>
          </w:p>
        </w:tc>
        <w:tc>
          <w:tcPr>
            <w:tcW w:type="dxa" w:w="2065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閉迴路每輪跑完整 PEX 將使候選數極為有限</w:t>
            </w:r>
          </w:p>
        </w:tc>
        <w:tc>
          <w:tcPr>
            <w:tcW w:type="dxa" w:w="2566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證據來自 ESD；ADC 適用性列為假設 H2，以門檻與回退機制檢驗</w:t>
            </w:r>
          </w:p>
        </w:tc>
      </w:tr>
      <w:tr>
        <w:trPr>
          <w:cantSplit/>
        </w:trPr>
        <w:tc>
          <w:tcPr>
            <w:tcW w:type="dxa" w:w="187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GAA／CFET</w:t>
            </w:r>
          </w:p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改變 P／N 關係</w:t>
            </w:r>
          </w:p>
        </w:tc>
        <w:tc>
          <w:tcPr>
            <w:tcW w:type="dxa" w:w="312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CFET 將 NMOS 疊於 PMOS 之上，局部互連方式決定單元面積 [8]</w:t>
            </w:r>
          </w:p>
        </w:tc>
        <w:tc>
          <w:tcPr>
            <w:tcW w:type="dxa" w:w="206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平面共質心與 P／N 分列假設需重新定義</w:t>
            </w:r>
          </w:p>
        </w:tc>
        <w:tc>
          <w:tcPr>
            <w:tcW w:type="dxa" w:w="25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僅作文獻啟發，不實作堆疊 CFET 或自行修改光罩</w:t>
            </w:r>
          </w:p>
        </w:tc>
      </w:tr>
    </w:tbl>
    <w:p>
      <w:pPr>
        <w:spacing w:line="240" w:lineRule="auto" w:before="0" w:after="60"/>
        <w:widowControl/>
      </w:pPr>
    </w:p>
    <w:p>
      <w:pPr>
        <w:pStyle w:val="Heading3"/>
        <w:spacing w:line="240" w:lineRule="auto" w:before="120" w:after="60"/>
        <w:keepNext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3. 研究目標與可檢驗假設</w:t>
      </w:r>
    </w:p>
    <w:p>
      <w:pPr>
        <w:spacing w:line="240" w:lineRule="auto" w:before="0" w:after="60"/>
        <w:jc w:val="both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本計畫有三項目標：</w:t>
      </w:r>
      <w:r>
        <w:rPr>
          <w:rFonts w:ascii="Times New Roman" w:hAnsi="Times New Roman" w:eastAsia="Noto Serif CJK TC" w:cs="Times New Roman"/>
          <w:b/>
          <w:bCs/>
          <w:sz w:val="24"/>
          <w:szCs w:val="24"/>
          <w:color w:val="000000"/>
        </w:rPr>
        <w:t xml:space="preserve">目標一</w:t>
      </w: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，建立 4 nm 電氣等效且製程合法的基本單元變體與佈局技巧規則庫，量測匹配、接點與局部配線技巧；</w:t>
      </w:r>
      <w:r>
        <w:rPr>
          <w:rFonts w:ascii="Times New Roman" w:hAnsi="Times New Roman" w:eastAsia="Noto Serif CJK TC" w:cs="Times New Roman"/>
          <w:b/>
          <w:bCs/>
          <w:sz w:val="24"/>
          <w:szCs w:val="24"/>
          <w:color w:val="000000"/>
        </w:rPr>
        <w:t xml:space="preserve">目標二</w:t>
      </w: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，研究保留完整寄生 RC 的選擇性萃取（Selective Extraction, SE），建立必要元件集合與誤差門檻；</w:t>
      </w:r>
      <w:r>
        <w:rPr>
          <w:rFonts w:ascii="Times New Roman" w:hAnsi="Times New Roman" w:eastAsia="Noto Serif CJK TC" w:cs="Times New Roman"/>
          <w:b/>
          <w:bCs/>
          <w:sz w:val="24"/>
          <w:szCs w:val="24"/>
          <w:color w:val="000000"/>
        </w:rPr>
        <w:t xml:space="preserve">目標三</w:t>
      </w: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，將局部變體選擇與巨集擺置串成多代理閉迴路，以實際 PEX 與效能回饋進行 ECO。主案例規劃 12 位元 SAR ADC，取樣率、VDD、滿刻度及功耗／面積上限於 M2 依 4 nm 基準凍結。各假設由獨立對照檢驗，未成立時報告原因與適用範圍。</w:t>
      </w:r>
    </w:p>
    <w:p>
      <w:pPr>
        <w:spacing w:line="240" w:lineRule="auto" w:before="120" w:after="60"/>
        <w:keepNext/>
        <w:widowControl/>
      </w:pPr>
      <w:r>
        <w:rPr>
          <w:rFonts w:ascii="Times New Roman" w:hAnsi="Times New Roman" w:eastAsia="Noto Serif CJK TC" w:cs="Times New Roman"/>
          <w:b/>
          <w:bCs/>
          <w:color w:val="000000"/>
          <w:sz w:val="24"/>
          <w:szCs w:val="24"/>
        </w:rPr>
        <w:t xml:space="preserve">表 2　可檢驗假設與判定方式</w:t>
      </w:r>
    </w:p>
    <w:tbl>
      <w:tblPr>
        <w:tblW w:type="dxa" w:w="9638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CellMar>
          <w:top w:w="45" w:type="dxa"/>
          <w:bottom w:w="45" w:type="dxa"/>
          <w:left w:w="65" w:type="dxa"/>
          <w:right w:w="65" w:type="dxa"/>
        </w:tblCellMar>
      </w:tblPr>
      <w:tblGrid>
        <w:gridCol w:w="660"/>
        <w:gridCol w:w="4489"/>
        <w:gridCol w:w="1056"/>
        <w:gridCol w:w="3433"/>
      </w:tblGrid>
      <w:tr>
        <w:trPr>
          <w:cantSplit/>
          <w:tblHeader/>
        </w:trPr>
        <w:tc>
          <w:tcPr>
            <w:tcW w:type="dxa" w:w="660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編號</w:t>
            </w:r>
          </w:p>
        </w:tc>
        <w:tc>
          <w:tcPr>
            <w:tcW w:type="dxa" w:w="4489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假設</w:t>
            </w:r>
          </w:p>
        </w:tc>
        <w:tc>
          <w:tcPr>
            <w:tcW w:type="dxa" w:w="1056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檢驗</w:t>
            </w:r>
          </w:p>
        </w:tc>
        <w:tc>
          <w:tcPr>
            <w:tcW w:type="dxa" w:w="3433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成立判定（目標值）</w:t>
            </w:r>
          </w:p>
        </w:tc>
      </w:tr>
      <w:tr>
        <w:trPr>
          <w:cantSplit/>
        </w:trPr>
        <w:tc>
          <w:tcPr>
            <w:tcW w:type="dxa" w:w="6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H1</w:t>
            </w:r>
          </w:p>
        </w:tc>
        <w:tc>
          <w:tcPr>
            <w:tcW w:type="dxa" w:w="448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固定拓樸與總鰭數時，匹配環境、接點與 pin 出口協同調整，可降低關鍵差動 RC 不匹配或安定時間</w:t>
            </w:r>
          </w:p>
        </w:tc>
        <w:tc>
          <w:tcPr>
            <w:tcW w:type="dxa" w:w="105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E1</w:t>
            </w:r>
          </w:p>
        </w:tc>
        <w:tc>
          <w:tcPr>
            <w:tcW w:type="dxa" w:w="343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關鍵 εR 或 εC 中位降低 ≥ 20%，且安定時間不退化、面積功耗在限制內</w:t>
            </w:r>
          </w:p>
        </w:tc>
      </w:tr>
      <w:tr>
        <w:trPr>
          <w:cantSplit/>
        </w:trPr>
        <w:tc>
          <w:tcPr>
            <w:tcW w:type="dxa" w:w="660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H2</w:t>
            </w:r>
          </w:p>
        </w:tc>
        <w:tc>
          <w:tcPr>
            <w:tcW w:type="dxa" w:w="4489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在功能依賴與負載閉合成立的子電路，SE 可於預定誤差內縮短模擬時間</w:t>
            </w:r>
          </w:p>
        </w:tc>
        <w:tc>
          <w:tcPr>
            <w:tcW w:type="dxa" w:w="1056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E2</w:t>
            </w:r>
          </w:p>
        </w:tc>
        <w:tc>
          <w:tcPr>
            <w:tcW w:type="dxa" w:w="3433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通過表 14 門檻，且適用子電路模擬中位加速 ≥ 2 倍</w:t>
            </w:r>
          </w:p>
        </w:tc>
      </w:tr>
      <w:tr>
        <w:trPr>
          <w:cantSplit/>
        </w:trPr>
        <w:tc>
          <w:tcPr>
            <w:tcW w:type="dxa" w:w="6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H3</w:t>
            </w:r>
          </w:p>
        </w:tc>
        <w:tc>
          <w:tcPr>
            <w:tcW w:type="dxa" w:w="448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相同規格與預算下，局部變體選擇與寄生回饋可提高完整 ADC 的 SNDR 或規格達成率</w:t>
            </w:r>
          </w:p>
        </w:tc>
        <w:tc>
          <w:tcPr>
            <w:tcW w:type="dxa" w:w="105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E3</w:t>
            </w:r>
          </w:p>
        </w:tc>
        <w:tc>
          <w:tcPr>
            <w:tcW w:type="dxa" w:w="343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SNDR 中位改善 ≥ 1 dB 或規格率提高（配對比較、95% 信賴區間）</w:t>
            </w:r>
          </w:p>
        </w:tc>
      </w:tr>
      <w:tr>
        <w:trPr>
          <w:cantSplit/>
        </w:trPr>
        <w:tc>
          <w:tcPr>
            <w:tcW w:type="dxa" w:w="660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H4</w:t>
            </w:r>
          </w:p>
        </w:tc>
        <w:tc>
          <w:tcPr>
            <w:tcW w:type="dxa" w:w="4489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不確定性選樣可降低誤排序及完整驗證之成本</w:t>
            </w:r>
          </w:p>
        </w:tc>
        <w:tc>
          <w:tcPr>
            <w:tcW w:type="dxa" w:w="1056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E3 消融</w:t>
            </w:r>
          </w:p>
        </w:tc>
        <w:tc>
          <w:tcPr>
            <w:tcW w:type="dxa" w:w="3433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合格候選所需完整驗證次數降低 ≥ 20%</w:t>
            </w:r>
          </w:p>
        </w:tc>
      </w:tr>
    </w:tbl>
    <w:p>
      <w:pPr>
        <w:spacing w:line="240" w:lineRule="auto" w:before="0" w:after="60"/>
        <w:widowControl/>
      </w:pPr>
    </w:p>
    <w:p>
      <w:pPr>
        <w:pStyle w:val="Heading3"/>
        <w:spacing w:line="240" w:lineRule="auto" w:before="120" w:after="60"/>
        <w:keepNext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4. 研究範圍與界線</w:t>
      </w:r>
    </w:p>
    <w:p>
      <w:pPr>
        <w:pStyle w:val="ListParagraph"/>
        <w:numPr>
          <w:ilvl w:val="0"/>
          <w:numId w:val="3"/>
        </w:numPr>
        <w:spacing w:line="240" w:lineRule="auto" w:before="0" w:after="60"/>
        <w:jc w:val="both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聚焦一個具授權的 4 nm FinFET 節點。先完成電路基準與局部變體驗證，再分 </w:t>
      </w:r>
      <w:r>
        <w:rPr>
          <w:rFonts w:ascii="Times New Roman" w:hAnsi="Times New Roman" w:eastAsia="Noto Serif CJK TC" w:cs="Times New Roman"/>
          <w:b/>
          <w:bCs/>
          <w:sz w:val="24"/>
          <w:szCs w:val="24"/>
          <w:color w:val="000000"/>
        </w:rPr>
        <w:t xml:space="preserve">L0</w:t>
      </w: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（固定巨集內部，只比較擺置）與 </w:t>
      </w:r>
      <w:r>
        <w:rPr>
          <w:rFonts w:ascii="Times New Roman" w:hAnsi="Times New Roman" w:eastAsia="Noto Serif CJK TC" w:cs="Times New Roman"/>
          <w:b/>
          <w:bCs/>
          <w:sz w:val="24"/>
          <w:szCs w:val="24"/>
          <w:color w:val="000000"/>
        </w:rPr>
        <w:t xml:space="preserve">L1</w:t>
      </w: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（從已驗證且電氣等效的變體中選擇）兩層，分開報告。</w:t>
      </w:r>
    </w:p>
    <w:p>
      <w:pPr>
        <w:pStyle w:val="ListParagraph"/>
        <w:numPr>
          <w:ilvl w:val="0"/>
          <w:numId w:val="3"/>
        </w:numPr>
        <w:spacing w:line="240" w:lineRule="auto" w:before="0" w:after="60"/>
        <w:jc w:val="both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不得以改變電路尺寸、增加電容或放寬規格取得改善。CFET 僅為文獻啟發；130 nm 與 ASAP7 只作工具與介面測試，不作 4 nm 證據。</w:t>
      </w:r>
    </w:p>
    <w:p>
      <w:pPr>
        <w:pStyle w:val="ListParagraph"/>
        <w:numPr>
          <w:ilvl w:val="0"/>
          <w:numId w:val="3"/>
        </w:numPr>
        <w:spacing w:line="240" w:lineRule="auto" w:before="0" w:after="60"/>
        <w:jc w:val="both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AI 負責設計意圖理解、約束生成與修改理由；數值與 EDA 結果負責判定。工具逾時、缺模型或解析失敗一律回報未完成，不以文字報告視為通過。</w:t>
      </w:r>
    </w:p>
    <w:p>
      <w:pPr>
        <w:pStyle w:val="Heading3"/>
        <w:spacing w:line="240" w:lineRule="auto" w:before="120" w:after="60"/>
        <w:keepNext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5. 上年度研究進度與前期成果</w:t>
      </w:r>
    </w:p>
    <w:p>
      <w:pPr>
        <w:spacing w:line="240" w:lineRule="auto" w:before="0" w:after="60"/>
        <w:jc w:val="both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實驗室已建立網表檢索（TKU1）、佈局建議（TKU2）及下線審查（TKU3）三套模組，採語意 AI 與確定性工具雙軌架構，以 Docker、n8n、Ollama、PostgreSQL、LightRAG 及 KLayout 本地部署 [10]。表 3 列出可承接的成果與界線。</w:t>
      </w:r>
    </w:p>
    <w:p>
      <w:pPr>
        <w:spacing w:line="240" w:lineRule="auto" w:before="120" w:after="60"/>
        <w:keepNext/>
        <w:widowControl/>
      </w:pPr>
      <w:r>
        <w:rPr>
          <w:rFonts w:ascii="Times New Roman" w:hAnsi="Times New Roman" w:eastAsia="Noto Serif CJK TC" w:cs="Times New Roman"/>
          <w:b/>
          <w:bCs/>
          <w:color w:val="000000"/>
          <w:sz w:val="24"/>
          <w:szCs w:val="24"/>
        </w:rPr>
        <w:t xml:space="preserve">表 3　前期成果、本計畫銜接與界線</w:t>
      </w:r>
    </w:p>
    <w:tbl>
      <w:tblPr>
        <w:tblW w:type="dxa" w:w="9638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CellMar>
          <w:top w:w="45" w:type="dxa"/>
          <w:bottom w:w="45" w:type="dxa"/>
          <w:left w:w="65" w:type="dxa"/>
          <w:right w:w="65" w:type="dxa"/>
        </w:tblCellMar>
      </w:tblPr>
      <w:tblGrid>
        <w:gridCol w:w="1848"/>
        <w:gridCol w:w="3169"/>
        <w:gridCol w:w="2310"/>
        <w:gridCol w:w="2311"/>
      </w:tblGrid>
      <w:tr>
        <w:trPr>
          <w:cantSplit/>
          <w:tblHeader/>
        </w:trPr>
        <w:tc>
          <w:tcPr>
            <w:tcW w:type="dxa" w:w="1848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前期成果</w:t>
            </w:r>
          </w:p>
        </w:tc>
        <w:tc>
          <w:tcPr>
            <w:tcW w:type="dxa" w:w="3169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實測結果</w:t>
            </w:r>
          </w:p>
        </w:tc>
        <w:tc>
          <w:tcPr>
            <w:tcW w:type="dxa" w:w="2310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本計畫銜接</w:t>
            </w:r>
          </w:p>
        </w:tc>
        <w:tc>
          <w:tcPr>
            <w:tcW w:type="dxa" w:w="2311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界線</w:t>
            </w:r>
          </w:p>
        </w:tc>
      </w:tr>
      <w:tr>
        <w:trPr>
          <w:cantSplit/>
        </w:trPr>
        <w:tc>
          <w:tcPr>
            <w:tcW w:type="dxa" w:w="184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RALF 巨集擺置</w:t>
            </w:r>
          </w:p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（130 nm）</w:t>
            </w:r>
          </w:p>
        </w:tc>
        <w:tc>
          <w:tcPr>
            <w:tcW w:type="dxa" w:w="316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12 位元、11 個巨集；16 個搜尋變數；約束與對稱規則 PASS；SA 正規化成本 1.000 → 0.989；157.7 × 242.3 µm</w:t>
            </w:r>
          </w:p>
        </w:tc>
        <w:tc>
          <w:tcPr>
            <w:tcW w:type="dxa" w:w="23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承接搜尋原型；移植至 FinFET 介面並驗證</w:t>
            </w:r>
          </w:p>
        </w:tc>
        <w:tc>
          <w:tcPr>
            <w:tcW w:type="dxa" w:w="231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尚無區塊間繞線與寄生；成本改善不能據以推論 SNDR 改善</w:t>
            </w:r>
          </w:p>
        </w:tc>
      </w:tr>
      <w:tr>
        <w:trPr>
          <w:cantSplit/>
        </w:trPr>
        <w:tc>
          <w:tcPr>
            <w:tcW w:type="dxa" w:w="1848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TKU2 佈局建議</w:t>
            </w:r>
          </w:p>
        </w:tc>
        <w:tc>
          <w:tcPr>
            <w:tcW w:type="dxa" w:w="3169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1,042 份網表全量、零崩潰，約 6 分鐘／份；中低複雜度元件涵蓋率 96.8–100%</w:t>
            </w:r>
          </w:p>
        </w:tc>
        <w:tc>
          <w:tcPr>
            <w:tcW w:type="dxa" w:w="2310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重用解析與分群；文字建議轉為可執行約束 JSON</w:t>
            </w:r>
          </w:p>
        </w:tc>
        <w:tc>
          <w:tcPr>
            <w:tcW w:type="dxa" w:w="2311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建議需工程師核可方可改寫版圖</w:t>
            </w:r>
          </w:p>
        </w:tc>
      </w:tr>
      <w:tr>
        <w:trPr>
          <w:cantSplit/>
        </w:trPr>
        <w:tc>
          <w:tcPr>
            <w:tcW w:type="dxa" w:w="184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TKU1 網表檢索</w:t>
            </w:r>
          </w:p>
        </w:tc>
        <w:tc>
          <w:tcPr>
            <w:tcW w:type="dxa" w:w="316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56／56 cell 入庫；952 元件、678 net、159 拓樸樣式；Hit@1 0.409、分流器 Recall 1.0</w:t>
            </w:r>
          </w:p>
        </w:tc>
        <w:tc>
          <w:tcPr>
            <w:tcW w:type="dxa" w:w="23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作為子電路辨識與約束來源</w:t>
            </w:r>
          </w:p>
        </w:tc>
        <w:tc>
          <w:tcPr>
            <w:tcW w:type="dxa" w:w="231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同族 cell 排序為瓶頸，需補 BM25</w:t>
            </w:r>
          </w:p>
        </w:tc>
      </w:tr>
      <w:tr>
        <w:trPr>
          <w:cantSplit/>
        </w:trPr>
        <w:tc>
          <w:tcPr>
            <w:tcW w:type="dxa" w:w="1848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TKU3 下線審查</w:t>
            </w:r>
          </w:p>
        </w:tc>
        <w:tc>
          <w:tcPr>
            <w:tcW w:type="dxa" w:w="3169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0.18 µm SAR ADC 主案例 7／7 高風險全識別；29 案例加權偵測率 52.8%（142／269）</w:t>
            </w:r>
          </w:p>
        </w:tc>
        <w:tc>
          <w:tcPr>
            <w:tcW w:type="dxa" w:w="2310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作為擺置後的審查關卡</w:t>
            </w:r>
          </w:p>
        </w:tc>
        <w:tc>
          <w:tcPr>
            <w:tcW w:type="dxa" w:w="2311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不以 AI 判定取代 DRC／LVS</w:t>
            </w:r>
          </w:p>
        </w:tc>
      </w:tr>
      <w:tr>
        <w:trPr>
          <w:cantSplit/>
        </w:trPr>
        <w:tc>
          <w:tcPr>
            <w:tcW w:type="dxa" w:w="184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領域微調模型</w:t>
            </w:r>
          </w:p>
        </w:tc>
        <w:tc>
          <w:tcPr>
            <w:tcW w:type="dxa" w:w="316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3,383 筆 SFT；Qwen 3.5 9B 於 73 題保留集 72.6% → 87.7%</w:t>
            </w:r>
          </w:p>
        </w:tc>
        <w:tc>
          <w:tcPr>
            <w:tcW w:type="dxa" w:w="23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用於設計意圖辨識與規則問答</w:t>
            </w:r>
          </w:p>
        </w:tc>
        <w:tc>
          <w:tcPr>
            <w:tcW w:type="dxa" w:w="231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問答分數不代表版圖效能</w:t>
            </w:r>
          </w:p>
        </w:tc>
      </w:tr>
      <w:tr>
        <w:trPr>
          <w:cantSplit/>
        </w:trPr>
        <w:tc>
          <w:tcPr>
            <w:tcW w:type="dxa" w:w="1848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幾何規則檢查</w:t>
            </w:r>
          </w:p>
        </w:tc>
        <w:tc>
          <w:tcPr>
            <w:tcW w:type="dxa" w:w="3169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ASAP7 三個 cell 正常版通過、注入違規 3／3 捕獲</w:t>
            </w:r>
          </w:p>
        </w:tc>
        <w:tc>
          <w:tcPr>
            <w:tcW w:type="dxa" w:w="2310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重用 DRC 介面</w:t>
            </w:r>
          </w:p>
        </w:tc>
        <w:tc>
          <w:tcPr>
            <w:tcW w:type="dxa" w:w="2311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不等同 4 nm 製程之簽核</w:t>
            </w:r>
          </w:p>
        </w:tc>
      </w:tr>
    </w:tbl>
    <w:p>
      <w:pPr>
        <w:spacing w:line="240" w:lineRule="auto" w:before="0" w:after="60"/>
        <w:widowControl/>
      </w:pPr>
    </w:p>
    <w:p>
      <w:pPr>
        <w:spacing w:line="240" w:lineRule="auto" w:before="0" w:after="60"/>
        <w:jc w:val="both"/>
        <w:widowControl/>
      </w:pPr>
      <w:r>
        <w:rPr>
          <w:rFonts w:ascii="Times New Roman" w:hAnsi="Times New Roman" w:eastAsia="Noto Serif CJK TC" w:cs="Times New Roman"/>
          <w:color w:val="000000"/>
          <w:sz w:val="24"/>
          <w:szCs w:val="24"/>
        </w:rPr>
        <w:t xml:space="preserve">註：前期數據來源為實驗室結案報告簡報（封面日期 2026/10/30）。納入正式連續性計畫前，應由主持人以原始日誌確認完成時間、樣本範圍與計畫歸屬。簡報第 29–30 頁已列出 4 nm PDK、fin 量化元件、MOM 電容與 LDE 對稱等缺口，即本計畫的起點。</w:t>
      </w:r>
    </w:p>
    <w:p>
      <w:pPr>
        <w:pStyle w:val="Heading3"/>
        <w:spacing w:line="240" w:lineRule="auto" w:before="120" w:after="60"/>
        <w:keepNext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6. 國內外研究現況與文獻評述</w:t>
      </w:r>
    </w:p>
    <w:p>
      <w:pPr>
        <w:spacing w:line="240" w:lineRule="auto" w:before="0" w:after="60"/>
        <w:jc w:val="both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現有研究已各自解決部分問題，但尚無工作把「4 nm 局部變體、寄生預測、ADC 效能判定、ECO 重擺置」串成以完整驗證為準的閉迴路。</w:t>
      </w:r>
    </w:p>
    <w:p>
      <w:pPr>
        <w:spacing w:line="240" w:lineRule="auto" w:before="120" w:after="60"/>
        <w:keepNext/>
        <w:widowControl/>
      </w:pPr>
      <w:r>
        <w:rPr>
          <w:rFonts w:ascii="Times New Roman" w:hAnsi="Times New Roman" w:eastAsia="Noto Serif CJK TC" w:cs="Times New Roman"/>
          <w:b/>
          <w:bCs/>
          <w:color w:val="000000"/>
          <w:sz w:val="24"/>
          <w:szCs w:val="24"/>
        </w:rPr>
        <w:t xml:space="preserve">表 4　國內外研究現況與本計畫切入點</w:t>
      </w:r>
    </w:p>
    <w:tbl>
      <w:tblPr>
        <w:tblW w:type="dxa" w:w="9638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CellMar>
          <w:top w:w="45" w:type="dxa"/>
          <w:bottom w:w="45" w:type="dxa"/>
          <w:left w:w="65" w:type="dxa"/>
          <w:right w:w="65" w:type="dxa"/>
        </w:tblCellMar>
      </w:tblPr>
      <w:tblGrid>
        <w:gridCol w:w="1799"/>
        <w:gridCol w:w="2442"/>
        <w:gridCol w:w="2570"/>
        <w:gridCol w:w="2827"/>
      </w:tblGrid>
      <w:tr>
        <w:trPr>
          <w:cantSplit/>
          <w:tblHeader/>
        </w:trPr>
        <w:tc>
          <w:tcPr>
            <w:tcW w:type="dxa" w:w="1799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研究方向</w:t>
            </w:r>
          </w:p>
        </w:tc>
        <w:tc>
          <w:tcPr>
            <w:tcW w:type="dxa" w:w="2442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代表工作</w:t>
            </w:r>
          </w:p>
        </w:tc>
        <w:tc>
          <w:tcPr>
            <w:tcW w:type="dxa" w:w="2570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已解決</w:t>
            </w:r>
          </w:p>
        </w:tc>
        <w:tc>
          <w:tcPr>
            <w:tcW w:type="dxa" w:w="2827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尚未解決（本計畫切入點）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開源類比佈局</w:t>
            </w:r>
          </w:p>
        </w:tc>
        <w:tc>
          <w:tcPr>
            <w:tcW w:type="dxa" w:w="244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ALIGN [11]、MAGICAL [12]、OpenSAR [13]</w:t>
            </w:r>
          </w:p>
        </w:tc>
        <w:tc>
          <w:tcPr>
            <w:tcW w:type="dxa" w:w="257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階層式網表與約束介面，可產出 GDS</w:t>
            </w:r>
          </w:p>
        </w:tc>
        <w:tc>
          <w:tcPr>
            <w:tcW w:type="dxa" w:w="282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目標以幾何與線長為主，未以 ADC 動態效能回饋</w:t>
            </w:r>
          </w:p>
        </w:tc>
      </w:tr>
      <w:tr>
        <w:trPr>
          <w:cantSplit/>
        </w:trPr>
        <w:tc>
          <w:tcPr>
            <w:tcW w:type="dxa" w:w="1799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FinFET primitive</w:t>
            </w:r>
          </w:p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最佳化</w:t>
            </w:r>
          </w:p>
        </w:tc>
        <w:tc>
          <w:tcPr>
            <w:tcW w:type="dxa" w:w="2442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Madhusudan 等 [5]</w:t>
            </w:r>
          </w:p>
        </w:tc>
        <w:tc>
          <w:tcPr>
            <w:tcW w:type="dxa" w:w="2570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將 primitive 寄生與 LDE 納入內外部配線</w:t>
            </w:r>
          </w:p>
        </w:tc>
        <w:tc>
          <w:tcPr>
            <w:tcW w:type="dxa" w:w="2827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尚未連結至巨集擺置與 ADC 系統效能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RL／SA</w:t>
            </w:r>
          </w:p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類比擺置</w:t>
            </w:r>
          </w:p>
        </w:tc>
        <w:tc>
          <w:tcPr>
            <w:tcW w:type="dxa" w:w="244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RALF [14]</w:t>
            </w:r>
          </w:p>
        </w:tc>
        <w:tc>
          <w:tcPr>
            <w:tcW w:type="dxa" w:w="257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開源 SKY130／Magic 流程，可輸出擺置與繞線腳本</w:t>
            </w:r>
          </w:p>
        </w:tc>
        <w:tc>
          <w:tcPr>
            <w:tcW w:type="dxa" w:w="282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僅四種元件、無量化 benchmark，不能由名稱推定 FinFET 能力</w:t>
            </w:r>
          </w:p>
        </w:tc>
      </w:tr>
      <w:tr>
        <w:trPr>
          <w:cantSplit/>
        </w:trPr>
        <w:tc>
          <w:tcPr>
            <w:tcW w:type="dxa" w:w="1799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數位巨集擺置</w:t>
            </w:r>
          </w:p>
        </w:tc>
        <w:tc>
          <w:tcPr>
            <w:tcW w:type="dxa" w:w="2442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C2FPlace [15]、圖形強化學習 [16]</w:t>
            </w:r>
          </w:p>
        </w:tc>
        <w:tc>
          <w:tcPr>
            <w:tcW w:type="dxa" w:w="2570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族群演化、關鍵巨集細調、PPA 最佳化</w:t>
            </w:r>
          </w:p>
        </w:tc>
        <w:tc>
          <w:tcPr>
            <w:tcW w:type="dxa" w:w="2827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缺少類比敏感區、對稱與參考阻抗約束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佈局感知尺寸最佳化</w:t>
            </w:r>
          </w:p>
        </w:tc>
        <w:tc>
          <w:tcPr>
            <w:tcW w:type="dxa" w:w="244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Budak 等 [17]、Maji 等 [18]</w:t>
            </w:r>
          </w:p>
        </w:tc>
        <w:tc>
          <w:tcPr>
            <w:tcW w:type="dxa" w:w="257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將佈局寄生納入 sizing 與端到端流程</w:t>
            </w:r>
          </w:p>
        </w:tc>
        <w:tc>
          <w:tcPr>
            <w:tcW w:type="dxa" w:w="282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對象為元件尺寸，巨集層級的參考與時脈未成擺置變數</w:t>
            </w:r>
          </w:p>
        </w:tc>
      </w:tr>
      <w:tr>
        <w:trPr>
          <w:cantSplit/>
        </w:trPr>
        <w:tc>
          <w:tcPr>
            <w:tcW w:type="dxa" w:w="1799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GNN 寄生與約束預測</w:t>
            </w:r>
          </w:p>
        </w:tc>
        <w:tc>
          <w:tcPr>
            <w:tcW w:type="dxa" w:w="2442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ParaGraph [19]、對稱標註 [20]</w:t>
            </w:r>
          </w:p>
        </w:tc>
        <w:tc>
          <w:tcPr>
            <w:tcW w:type="dxa" w:w="2570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快速預測 net 寄生、辨識對稱</w:t>
            </w:r>
          </w:p>
        </w:tc>
        <w:tc>
          <w:tcPr>
            <w:tcW w:type="dxa" w:w="2827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未接到 ADC 效能，也未進入擺置迴路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LLM／多代理類比自動化</w:t>
            </w:r>
          </w:p>
        </w:tc>
        <w:tc>
          <w:tcPr>
            <w:tcW w:type="dxa" w:w="244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AnalogCoder [21]、AnalogAgent [22]、LayoutCopilot [23]、LLM 約束生成 [24]</w:t>
            </w:r>
          </w:p>
        </w:tc>
        <w:tc>
          <w:tcPr>
            <w:tcW w:type="dxa" w:w="257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電路生成、互動式佈局、自我演化記憶；AnalogAgent 以 Qwen-8B 達 72.1% Pass@1</w:t>
            </w:r>
          </w:p>
        </w:tc>
        <w:tc>
          <w:tcPr>
            <w:tcW w:type="dxa" w:w="282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綜述 [25] 指出缺少佈局後寄生管理；無效能裁判與 ECO 代理</w:t>
            </w:r>
          </w:p>
        </w:tc>
      </w:tr>
      <w:tr>
        <w:trPr>
          <w:cantSplit/>
        </w:trPr>
        <w:tc>
          <w:tcPr>
            <w:tcW w:type="dxa" w:w="1799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SAR ADC 系統最佳化</w:t>
            </w:r>
          </w:p>
        </w:tc>
        <w:tc>
          <w:tcPr>
            <w:tcW w:type="dxa" w:w="2442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Global-local 最佳化 [26]</w:t>
            </w:r>
          </w:p>
        </w:tc>
        <w:tc>
          <w:tcPr>
            <w:tcW w:type="dxa" w:w="2570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系統級 sizing，12 個設計案例具競爭力</w:t>
            </w:r>
          </w:p>
        </w:tc>
        <w:tc>
          <w:tcPr>
            <w:tcW w:type="dxa" w:w="2827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不涵蓋實體擺置與寄生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先進製程佈局與簽核</w:t>
            </w:r>
          </w:p>
        </w:tc>
        <w:tc>
          <w:tcPr>
            <w:tcW w:type="dxa" w:w="244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CFET MEOL [8]、4 nm SE [9]、5 nm AMS [3]</w:t>
            </w:r>
          </w:p>
        </w:tc>
        <w:tc>
          <w:tcPr>
            <w:tcW w:type="dxa" w:w="257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個別佈局技巧與模擬加速已驗證</w:t>
            </w:r>
          </w:p>
        </w:tc>
        <w:tc>
          <w:tcPr>
            <w:tcW w:type="dxa" w:w="282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技巧未成為 AI 可調用之規則；SE 僅於 ESD 驗證，cell 選擇仍靠人工</w:t>
            </w:r>
          </w:p>
        </w:tc>
      </w:tr>
    </w:tbl>
    <w:p>
      <w:pPr>
        <w:spacing w:line="240" w:lineRule="auto" w:before="0" w:after="60"/>
        <w:widowControl/>
      </w:pPr>
    </w:p>
    <w:p>
      <w:pPr>
        <w:spacing w:line="240" w:lineRule="auto" w:before="0" w:after="60"/>
        <w:ind w:firstLine="440"/>
        <w:jc w:val="both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兩篇關鍵文獻的適用範圍需特別說明。Li 等人研究的是假設性 3 nm CFET SRAM 與 EUV 圖形，45° 與方正局部互連涉及 5／6 個 fin pitch、3／4 道光罩與接點重疊取捨 [8]；本計畫只轉譯其連接、端點間距與裕度觀念。Lee 等人在 4 nm ESD 電路以 LVS 規則檔選擇性保留元件，未選區域保留非 FET 元件與完整寄生 RC 後正常 PEX，兩案例由 16.18 降至 0.67 小時、2.14 降至 0.27 小時，Vgs 差異 1.4% 與 0.4% [9]；這是 ESD 情境證據，並非 ADC 的 SNDR 或 INL 精度，本計畫需驗證類比負載、切換與回授的保留條件。</w:t>
      </w:r>
    </w:p>
    <w:p>
      <w:pPr>
        <w:pStyle w:val="Heading3"/>
        <w:spacing w:line="240" w:lineRule="auto" w:before="120" w:after="60"/>
        <w:keepNext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7. 原創性與預期影響</w:t>
      </w:r>
    </w:p>
    <w:p>
      <w:pPr>
        <w:pStyle w:val="ListParagraph"/>
        <w:numPr>
          <w:ilvl w:val="0"/>
          <w:numId w:val="4"/>
        </w:numPr>
        <w:spacing w:line="240" w:lineRule="auto" w:before="0" w:after="60"/>
        <w:jc w:val="both"/>
        <w:widowControl/>
      </w:pPr>
      <w:r>
        <w:rPr>
          <w:rFonts w:ascii="Times New Roman" w:hAnsi="Times New Roman" w:eastAsia="Noto Serif CJK TC" w:cs="Times New Roman"/>
          <w:b/>
          <w:bCs/>
          <w:sz w:val="24"/>
          <w:szCs w:val="24"/>
          <w:color w:val="000000"/>
        </w:rPr>
        <w:t xml:space="preserve">4 nm 合法變體連結匹配環境與局部互連：</w:t>
      </w: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 以電氣等效、通過完整 DRC／LVS 的 primitive 變體，量化接點、pin 出口、dummy 與裕度對差動 RC 與安定時間的影響。</w:t>
      </w:r>
    </w:p>
    <w:p>
      <w:pPr>
        <w:pStyle w:val="ListParagraph"/>
        <w:numPr>
          <w:ilvl w:val="0"/>
          <w:numId w:val="4"/>
        </w:numPr>
        <w:spacing w:line="240" w:lineRule="auto" w:before="0" w:after="60"/>
        <w:jc w:val="both"/>
        <w:widowControl/>
      </w:pPr>
      <w:r>
        <w:rPr>
          <w:rFonts w:ascii="Times New Roman" w:hAnsi="Times New Roman" w:eastAsia="Noto Serif CJK TC" w:cs="Times New Roman"/>
          <w:b/>
          <w:bCs/>
          <w:sz w:val="24"/>
          <w:szCs w:val="24"/>
          <w:color w:val="000000"/>
        </w:rPr>
        <w:t xml:space="preserve">SAR ADC 的 SE 必要元件集合與誤差判定：</w:t>
      </w: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 首次系統性檢驗 ESD 型選擇性萃取轉用類比轉換器的條件，並研究由寄生敏感度輔助選取保留 cell。</w:t>
      </w:r>
    </w:p>
    <w:p>
      <w:pPr>
        <w:pStyle w:val="ListParagraph"/>
        <w:numPr>
          <w:ilvl w:val="0"/>
          <w:numId w:val="4"/>
        </w:numPr>
        <w:spacing w:line="240" w:lineRule="auto" w:before="0" w:after="60"/>
        <w:jc w:val="both"/>
        <w:widowControl/>
      </w:pPr>
      <w:r>
        <w:rPr>
          <w:rFonts w:ascii="Times New Roman" w:hAnsi="Times New Roman" w:eastAsia="Noto Serif CJK TC" w:cs="Times New Roman"/>
          <w:b/>
          <w:bCs/>
          <w:sz w:val="24"/>
          <w:szCs w:val="24"/>
          <w:color w:val="000000"/>
        </w:rPr>
        <w:t xml:space="preserve">效能導向的多代理閉迴路：</w:t>
      </w: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 以完整萃取標籤校正 AI 輔助的局部與巨集協同搜尋，目標由線長轉為 SNDR、規格達成率與驗證成本。</w:t>
      </w:r>
    </w:p>
    <w:p>
      <w:pPr>
        <w:pStyle w:val="ListParagraph"/>
        <w:numPr>
          <w:ilvl w:val="0"/>
          <w:numId w:val="4"/>
        </w:numPr>
        <w:spacing w:line="240" w:lineRule="auto" w:before="0" w:after="60"/>
        <w:jc w:val="both"/>
        <w:widowControl/>
      </w:pPr>
      <w:r>
        <w:rPr>
          <w:rFonts w:ascii="Times New Roman" w:hAnsi="Times New Roman" w:eastAsia="Noto Serif CJK TC" w:cs="Times New Roman"/>
          <w:b/>
          <w:bCs/>
          <w:sz w:val="24"/>
          <w:szCs w:val="24"/>
          <w:color w:val="000000"/>
        </w:rPr>
        <w:t xml:space="preserve">可追溯的本地平台：</w:t>
      </w: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 延續「AI 判斷、Code 把關」原則，每次修改的理由、成本變化與工程師 FIX 皆寫入記憶庫；保留負結果，不只報告成功案例。</w:t>
      </w:r>
    </w:p>
    <w:p>
      <w:pPr>
        <w:spacing w:line="240" w:lineRule="auto" w:before="0" w:after="60"/>
        <w:jc w:val="both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新增方法的適用性與增益由對照及消融判斷，不將既有文獻方法本身宣稱為本案原創。</w:t>
      </w:r>
    </w:p>
    <w:p>
      <w:pPr>
        <w:pStyle w:val="Heading2"/>
        <w:spacing w:line="240" w:lineRule="auto" w:before="120" w:after="60"/>
        <w:keepNext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（二）研究方法、進行步驟及執行進度</w:t>
      </w:r>
    </w:p>
    <w:p>
      <w:pPr>
        <w:pStyle w:val="Heading3"/>
        <w:spacing w:line="240" w:lineRule="auto" w:before="120" w:after="60"/>
        <w:keepNext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1. 整體研究架構</w:t>
      </w:r>
    </w:p>
    <w:p>
      <w:pPr>
        <w:spacing w:line="240" w:lineRule="auto" w:before="0" w:after="60"/>
        <w:jc w:val="both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流程先建立 4 nm 合法基本單元變體，再以三層評估分工：</w:t>
      </w:r>
      <w:r>
        <w:rPr>
          <w:rFonts w:ascii="Times New Roman" w:hAnsi="Times New Roman" w:eastAsia="Noto Serif CJK TC" w:cs="Times New Roman"/>
          <w:b/>
          <w:bCs/>
          <w:sz w:val="24"/>
          <w:szCs w:val="24"/>
          <w:color w:val="000000"/>
        </w:rPr>
        <w:t xml:space="preserve">快速層</w:t>
      </w: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以 variant_id、pin 與局部環境特徵排序候選；</w:t>
      </w:r>
      <w:r>
        <w:rPr>
          <w:rFonts w:ascii="Times New Roman" w:hAnsi="Times New Roman" w:eastAsia="Noto Serif CJK TC" w:cs="Times New Roman"/>
          <w:b/>
          <w:bCs/>
          <w:sz w:val="24"/>
          <w:szCs w:val="24"/>
          <w:color w:val="000000"/>
        </w:rPr>
        <w:t xml:space="preserve">SE 層</w:t>
      </w: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保留完整寄生 RC 並核對誤差，僅用於合格情境篩選；</w:t>
      </w:r>
      <w:r>
        <w:rPr>
          <w:rFonts w:ascii="Times New Roman" w:hAnsi="Times New Roman" w:eastAsia="Noto Serif CJK TC" w:cs="Times New Roman"/>
          <w:b/>
          <w:bCs/>
          <w:sz w:val="24"/>
          <w:szCs w:val="24"/>
          <w:color w:val="000000"/>
        </w:rPr>
        <w:t xml:space="preserve">完整層</w:t>
      </w: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採未修改之 DRC／LVS、PEX 與電路模擬。只有完整層結果列為 ADC 最終合格證據，並回饋下一輪 ECO（圖 1）。此架構延續實驗室「擺置→寄生回饋→ECO 重擺置」研究構想 [27]。</w:t>
      </w:r>
    </w:p>
    <w:p>
      <w:pPr>
        <w:spacing w:line="240" w:lineRule="auto" w:before="0" w:after="60"/>
        <w:jc w:val="both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平台以五個代理分工執行此流程（圖 2、表 5）。只有通過效能裁判的候選才進入繞線與簽核；未通過者帶著「主導成本項」診斷交由 ECO 代理局部修正。</w:t>
      </w:r>
    </w:p>
    <w:p>
      <w:pPr>
        <w:spacing w:line="240" w:lineRule="auto" w:before="0" w:after="60"/>
        <w:jc w:val="center"/>
        <w:widowControl/>
        <w:keepNext/>
      </w:pPr>
      <w:r>
        <w:drawing>
          <wp:inline distT="0" distB="0" distL="0" distR="0">
            <wp:extent cx="4762500" cy="2114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rFonts w:ascii="Times New Roman" w:hAnsi="Times New Roman" w:eastAsia="Noto Serif CJK TC" w:cs="Times New Roman"/>
          <w:sz w:val="24"/>
          <w:szCs w:val="24"/>
          <w:color w:val="000000"/>
        </w:rPr>
      </w:r>
    </w:p>
    <w:p>
      <w:pPr>
        <w:spacing w:line="240" w:lineRule="auto" w:before="0" w:after="60"/>
        <w:jc w:val="center"/>
        <w:widowControl/>
      </w:pPr>
      <w:r>
        <w:rPr>
          <w:rFonts w:ascii="Times New Roman" w:hAnsi="Times New Roman" w:eastAsia="Noto Serif CJK TC" w:cs="Times New Roman"/>
          <w:b/>
          <w:bCs/>
          <w:color w:val="000000"/>
          <w:sz w:val="24"/>
          <w:szCs w:val="24"/>
        </w:rPr>
        <w:t xml:space="preserve">圖 1　4 nm 局部變體、合格 SE 篩選與完整寄生驗收的研究流程</w:t>
      </w:r>
    </w:p>
    <w:p>
      <w:pPr>
        <w:spacing w:line="240" w:lineRule="auto" w:before="0" w:after="60"/>
        <w:jc w:val="center"/>
        <w:widowControl/>
        <w:keepNext/>
      </w:pPr>
      <w:r>
        <w:drawing>
          <wp:inline distT="0" distB="0" distL="0" distR="0">
            <wp:extent cx="4762500" cy="2038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rFonts w:ascii="Times New Roman" w:hAnsi="Times New Roman" w:eastAsia="Noto Serif CJK TC" w:cs="Times New Roman"/>
          <w:sz w:val="24"/>
          <w:szCs w:val="24"/>
          <w:color w:val="000000"/>
        </w:rPr>
      </w:r>
    </w:p>
    <w:p>
      <w:pPr>
        <w:spacing w:line="240" w:lineRule="auto" w:before="0" w:after="60"/>
        <w:jc w:val="center"/>
        <w:widowControl/>
      </w:pPr>
      <w:r>
        <w:rPr>
          <w:rFonts w:ascii="Times New Roman" w:hAnsi="Times New Roman" w:eastAsia="Noto Serif CJK TC" w:cs="Times New Roman"/>
          <w:b/>
          <w:bCs/>
          <w:color w:val="000000"/>
          <w:sz w:val="24"/>
          <w:szCs w:val="24"/>
        </w:rPr>
        <w:t xml:space="preserve">圖 2　五代理閉迴路架構（數值皆由確定性工具產生）</w:t>
      </w:r>
    </w:p>
    <w:p>
      <w:pPr>
        <w:spacing w:line="240" w:lineRule="auto" w:before="120" w:after="60"/>
        <w:keepNext/>
        <w:widowControl/>
      </w:pPr>
      <w:r>
        <w:rPr>
          <w:rFonts w:ascii="Times New Roman" w:hAnsi="Times New Roman" w:eastAsia="Noto Serif CJK TC" w:cs="Times New Roman"/>
          <w:b/>
          <w:bCs/>
          <w:color w:val="000000"/>
          <w:sz w:val="24"/>
          <w:szCs w:val="24"/>
        </w:rPr>
        <w:t xml:space="preserve">表 5　代理分工、工具與判定依據</w:t>
      </w:r>
    </w:p>
    <w:tbl>
      <w:tblPr>
        <w:tblW w:type="dxa" w:w="9638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CellMar>
          <w:top w:w="45" w:type="dxa"/>
          <w:bottom w:w="45" w:type="dxa"/>
          <w:left w:w="65" w:type="dxa"/>
          <w:right w:w="65" w:type="dxa"/>
        </w:tblCellMar>
      </w:tblPr>
      <w:tblGrid>
        <w:gridCol w:w="1644"/>
        <w:gridCol w:w="2211"/>
        <w:gridCol w:w="2154"/>
        <w:gridCol w:w="1531"/>
        <w:gridCol w:w="2098"/>
      </w:tblGrid>
      <w:tr>
        <w:trPr>
          <w:cantSplit/>
          <w:tblHeader/>
        </w:trPr>
        <w:tc>
          <w:tcPr>
            <w:tcW w:type="dxa" w:w="1644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代理</w:t>
            </w:r>
          </w:p>
        </w:tc>
        <w:tc>
          <w:tcPr>
            <w:tcW w:type="dxa" w:w="2211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主要工作</w:t>
            </w:r>
          </w:p>
        </w:tc>
        <w:tc>
          <w:tcPr>
            <w:tcW w:type="dxa" w:w="2154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確定性工具</w:t>
            </w:r>
          </w:p>
        </w:tc>
        <w:tc>
          <w:tcPr>
            <w:tcW w:type="dxa" w:w="1531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LLM 角色</w:t>
            </w:r>
          </w:p>
        </w:tc>
        <w:tc>
          <w:tcPr>
            <w:tcW w:type="dxa" w:w="2098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判定依據</w:t>
            </w:r>
          </w:p>
        </w:tc>
      </w:tr>
      <w:tr>
        <w:trPr>
          <w:cantSplit/>
        </w:trPr>
        <w:tc>
          <w:tcPr>
            <w:tcW w:type="dxa" w:w="164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Placement</w:t>
            </w:r>
          </w:p>
        </w:tc>
        <w:tc>
          <w:tcPr>
            <w:tcW w:type="dxa" w:w="221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選擇合法局部變體並生成巨集候選</w:t>
            </w:r>
          </w:p>
        </w:tc>
        <w:tc>
          <w:tcPr>
            <w:tcW w:type="dxa" w:w="215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Analog-C2FPlace</w:t>
            </w:r>
          </w:p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SA 基準</w:t>
            </w:r>
          </w:p>
        </w:tc>
        <w:tc>
          <w:tcPr>
            <w:tcW w:type="dxa" w:w="153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由 TKU2 建議產生約束</w:t>
            </w:r>
          </w:p>
        </w:tc>
        <w:tc>
          <w:tcPr>
            <w:tcW w:type="dxa" w:w="209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variant_id、座標與硬性約束</w:t>
            </w:r>
          </w:p>
        </w:tc>
      </w:tr>
      <w:tr>
        <w:trPr>
          <w:cantSplit/>
        </w:trPr>
        <w:tc>
          <w:tcPr>
            <w:tcW w:type="dxa" w:w="1644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Parasitic／SE</w:t>
            </w:r>
          </w:p>
        </w:tc>
        <w:tc>
          <w:tcPr>
            <w:tcW w:type="dxa" w:w="2211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RC 預測、選擇性萃取與誤差檢查</w:t>
            </w:r>
          </w:p>
        </w:tc>
        <w:tc>
          <w:tcPr>
            <w:tcW w:type="dxa" w:w="2154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幾何 RC 模型、樹模型／GNN</w:t>
            </w:r>
          </w:p>
        </w:tc>
        <w:tc>
          <w:tcPr>
            <w:tcW w:type="dxa" w:w="1531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標示敏感 net</w:t>
            </w:r>
          </w:p>
        </w:tc>
        <w:tc>
          <w:tcPr>
            <w:tcW w:type="dxa" w:w="2098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局部變體、必要元件與完整 RC</w:t>
            </w:r>
          </w:p>
        </w:tc>
      </w:tr>
      <w:tr>
        <w:trPr>
          <w:cantSplit/>
        </w:trPr>
        <w:tc>
          <w:tcPr>
            <w:tcW w:type="dxa" w:w="164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PEX／Noise</w:t>
            </w:r>
          </w:p>
        </w:tc>
        <w:tc>
          <w:tcPr>
            <w:tcW w:type="dxa" w:w="221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執行工具並解析驗證結果</w:t>
            </w:r>
          </w:p>
        </w:tc>
        <w:tc>
          <w:tcPr>
            <w:tcW w:type="dxa" w:w="215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Calibre 或相容 DRC／LVS／PEX</w:t>
            </w:r>
          </w:p>
        </w:tc>
        <w:tc>
          <w:tcPr>
            <w:tcW w:type="dxa" w:w="153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無</w:t>
            </w:r>
          </w:p>
        </w:tc>
        <w:tc>
          <w:tcPr>
            <w:tcW w:type="dxa" w:w="209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工具退出狀態、規則報告、萃取網表</w:t>
            </w:r>
          </w:p>
        </w:tc>
      </w:tr>
      <w:tr>
        <w:trPr>
          <w:cantSplit/>
        </w:trPr>
        <w:tc>
          <w:tcPr>
            <w:tcW w:type="dxa" w:w="1644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Performance Judge</w:t>
            </w:r>
          </w:p>
        </w:tc>
        <w:tc>
          <w:tcPr>
            <w:tcW w:type="dxa" w:w="2211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統計效能與規格達成狀態</w:t>
            </w:r>
          </w:p>
        </w:tc>
        <w:tc>
          <w:tcPr>
            <w:tcW w:type="dxa" w:w="2154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SPICE、FFT 與 INL／DNL 腳本</w:t>
            </w:r>
          </w:p>
        </w:tc>
        <w:tc>
          <w:tcPr>
            <w:tcW w:type="dxa" w:w="1531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解釋失敗</w:t>
            </w:r>
          </w:p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主因</w:t>
            </w:r>
          </w:p>
        </w:tc>
        <w:tc>
          <w:tcPr>
            <w:tcW w:type="dxa" w:w="2098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實際模擬數值、門檻與信賴區間</w:t>
            </w:r>
          </w:p>
        </w:tc>
      </w:tr>
      <w:tr>
        <w:trPr>
          <w:cantSplit/>
        </w:trPr>
        <w:tc>
          <w:tcPr>
            <w:tcW w:type="dxa" w:w="164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ECO</w:t>
            </w:r>
          </w:p>
        </w:tc>
        <w:tc>
          <w:tcPr>
            <w:tcW w:type="dxa" w:w="221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提出可回復修改與更新版本</w:t>
            </w:r>
          </w:p>
        </w:tc>
        <w:tc>
          <w:tcPr>
            <w:tcW w:type="dxa" w:w="215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合法化與規則檢查</w:t>
            </w:r>
          </w:p>
        </w:tc>
        <w:tc>
          <w:tcPr>
            <w:tcW w:type="dxa" w:w="153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提出修正動作並寫入記憶庫</w:t>
            </w:r>
          </w:p>
        </w:tc>
        <w:tc>
          <w:tcPr>
            <w:tcW w:type="dxa" w:w="209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失敗原因、敏感網路與變更紀錄</w:t>
            </w:r>
          </w:p>
        </w:tc>
      </w:tr>
    </w:tbl>
    <w:p>
      <w:pPr>
        <w:spacing w:line="240" w:lineRule="auto" w:before="0" w:after="60"/>
        <w:widowControl/>
      </w:pPr>
    </w:p>
    <w:p>
      <w:pPr>
        <w:pStyle w:val="Heading3"/>
        <w:spacing w:line="240" w:lineRule="auto" w:before="120" w:after="60"/>
        <w:keepNext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2. 工作項目一：4 nm 介面與佈局約束（M1–M6）</w:t>
      </w:r>
    </w:p>
    <w:p>
      <w:pPr>
        <w:spacing w:line="240" w:lineRule="auto" w:before="0" w:after="60"/>
        <w:jc w:val="both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解析 FinFET 階層式 SPICE 網表，保留模型、元件型別、端點與原始階層路徑；以 PDK 對照表解讀鰭數、finger 與倍乘參數並與 LVS 定義核對，不以平面 MOS 寬度替代。以拓樸辨識及設計師標註確認 CDAC、取樣、比較器與控制，巨集拆分前後比對 inter-block nets。AI 建議轉為 JSON 時附 target_id、單位、容許值、來源與核准狀態；未知元件、非法旋轉與鰭數衝突由程式拒絕，未核准建議不得改寫版圖。</w:t>
      </w:r>
    </w:p>
    <w:p>
      <w:pPr>
        <w:spacing w:line="240" w:lineRule="auto" w:before="120" w:after="60"/>
        <w:keepNext/>
        <w:widowControl/>
      </w:pPr>
      <w:r>
        <w:rPr>
          <w:rFonts w:ascii="Times New Roman" w:hAnsi="Times New Roman" w:eastAsia="Noto Serif CJK TC" w:cs="Times New Roman"/>
          <w:b/>
          <w:bCs/>
          <w:color w:val="000000"/>
          <w:sz w:val="24"/>
          <w:szCs w:val="24"/>
        </w:rPr>
        <w:t xml:space="preserve">表 6　佈局約束項目與檢查方式</w:t>
      </w:r>
    </w:p>
    <w:tbl>
      <w:tblPr>
        <w:tblW w:type="dxa" w:w="9638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CellMar>
          <w:top w:w="45" w:type="dxa"/>
          <w:bottom w:w="45" w:type="dxa"/>
          <w:left w:w="65" w:type="dxa"/>
          <w:right w:w="65" w:type="dxa"/>
        </w:tblCellMar>
      </w:tblPr>
      <w:tblGrid>
        <w:gridCol w:w="1994"/>
        <w:gridCol w:w="3822"/>
        <w:gridCol w:w="3822"/>
      </w:tblGrid>
      <w:tr>
        <w:trPr>
          <w:cantSplit/>
          <w:tblHeader/>
        </w:trPr>
        <w:tc>
          <w:tcPr>
            <w:tcW w:type="dxa" w:w="1994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約束項目</w:t>
            </w:r>
          </w:p>
        </w:tc>
        <w:tc>
          <w:tcPr>
            <w:tcW w:type="dxa" w:w="3822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層級與執行方式</w:t>
            </w:r>
          </w:p>
        </w:tc>
        <w:tc>
          <w:tcPr>
            <w:tcW w:type="dxa" w:w="3822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檢查方式</w:t>
            </w:r>
          </w:p>
        </w:tc>
      </w:tr>
      <w:tr>
        <w:trPr>
          <w:cantSplit/>
        </w:trPr>
        <w:tc>
          <w:tcPr>
            <w:tcW w:type="dxa" w:w="1994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鰭數與模型參數</w:t>
            </w:r>
          </w:p>
        </w:tc>
        <w:tc>
          <w:tcPr>
            <w:tcW w:type="dxa" w:w="382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保持移植後電路之整數鰭數與拓樸（硬限制）</w:t>
            </w:r>
          </w:p>
        </w:tc>
        <w:tc>
          <w:tcPr>
            <w:tcW w:type="dxa" w:w="382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PDK 參數映射及 LVS 屬性比對</w:t>
            </w:r>
          </w:p>
        </w:tc>
      </w:tr>
      <w:tr>
        <w:trPr>
          <w:cantSplit/>
        </w:trPr>
        <w:tc>
          <w:tcPr>
            <w:tcW w:type="dxa" w:w="1994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非重疊及邊界</w:t>
            </w:r>
          </w:p>
        </w:tc>
        <w:tc>
          <w:tcPr>
            <w:tcW w:type="dxa" w:w="3822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巨集硬限制；halo 與合法朝向</w:t>
            </w:r>
          </w:p>
        </w:tc>
        <w:tc>
          <w:tcPr>
            <w:tcW w:type="dxa" w:w="3822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PDK 網格、方向與邊界檢查</w:t>
            </w:r>
          </w:p>
        </w:tc>
      </w:tr>
      <w:tr>
        <w:trPr>
          <w:cantSplit/>
        </w:trPr>
        <w:tc>
          <w:tcPr>
            <w:tcW w:type="dxa" w:w="1994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匹配環境與 LDE</w:t>
            </w:r>
          </w:p>
        </w:tc>
        <w:tc>
          <w:tcPr>
            <w:tcW w:type="dxa" w:w="382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保留 dummy、鄰接及邊界條件</w:t>
            </w:r>
          </w:p>
        </w:tc>
        <w:tc>
          <w:tcPr>
            <w:tcW w:type="dxa" w:w="382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PDK 規則；有模型時萃取模擬</w:t>
            </w:r>
          </w:p>
        </w:tc>
      </w:tr>
      <w:tr>
        <w:trPr>
          <w:cantSplit/>
        </w:trPr>
        <w:tc>
          <w:tcPr>
            <w:tcW w:type="dxa" w:w="1994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差動對稱</w:t>
            </w:r>
          </w:p>
        </w:tc>
        <w:tc>
          <w:tcPr>
            <w:tcW w:type="dxa" w:w="3822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成對移動、共用對稱軸</w:t>
            </w:r>
          </w:p>
        </w:tc>
        <w:tc>
          <w:tcPr>
            <w:tcW w:type="dxa" w:w="3822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座標及鏡像 pin 對照</w:t>
            </w:r>
          </w:p>
        </w:tc>
      </w:tr>
      <w:tr>
        <w:trPr>
          <w:cantSplit/>
        </w:trPr>
        <w:tc>
          <w:tcPr>
            <w:tcW w:type="dxa" w:w="1994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CDAC 內部匹配</w:t>
            </w:r>
          </w:p>
        </w:tc>
        <w:tc>
          <w:tcPr>
            <w:tcW w:type="dxa" w:w="382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MOM 等電容單元與 dummy 一致</w:t>
            </w:r>
          </w:p>
        </w:tc>
        <w:tc>
          <w:tcPr>
            <w:tcW w:type="dxa" w:w="382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方向、層疊、拓樸及內部 LVS</w:t>
            </w:r>
          </w:p>
        </w:tc>
      </w:tr>
      <w:tr>
        <w:trPr>
          <w:cantSplit/>
        </w:trPr>
        <w:tc>
          <w:tcPr>
            <w:tcW w:type="dxa" w:w="1994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類比隔離</w:t>
            </w:r>
          </w:p>
        </w:tc>
        <w:tc>
          <w:tcPr>
            <w:tcW w:type="dxa" w:w="3822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數位 keep-out 及分離電源域</w:t>
            </w:r>
          </w:p>
        </w:tc>
        <w:tc>
          <w:tcPr>
            <w:tcW w:type="dxa" w:w="3822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距離與連接檢查，再作耦合驗證</w:t>
            </w:r>
          </w:p>
        </w:tc>
      </w:tr>
      <w:tr>
        <w:trPr>
          <w:cantSplit/>
        </w:trPr>
        <w:tc>
          <w:tcPr>
            <w:tcW w:type="dxa" w:w="1994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敏感連線</w:t>
            </w:r>
          </w:p>
        </w:tc>
        <w:tc>
          <w:tcPr>
            <w:tcW w:type="dxa" w:w="382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CDAC 至比較器及 VREF 優先路由</w:t>
            </w:r>
          </w:p>
        </w:tc>
        <w:tc>
          <w:tcPr>
            <w:tcW w:type="dxa" w:w="382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差動 R／C 及耦合不匹配</w:t>
            </w:r>
          </w:p>
        </w:tc>
      </w:tr>
      <w:tr>
        <w:trPr>
          <w:cantSplit/>
        </w:trPr>
        <w:tc>
          <w:tcPr>
            <w:tcW w:type="dxa" w:w="1994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數位控制時序</w:t>
            </w:r>
          </w:p>
        </w:tc>
        <w:tc>
          <w:tcPr>
            <w:tcW w:type="dxa" w:w="3822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固定規格與轉換相位</w:t>
            </w:r>
          </w:p>
        </w:tc>
        <w:tc>
          <w:tcPr>
            <w:tcW w:type="dxa" w:w="3822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邏輯延遲與類比安定視窗</w:t>
            </w:r>
          </w:p>
        </w:tc>
      </w:tr>
    </w:tbl>
    <w:p>
      <w:pPr>
        <w:spacing w:line="240" w:lineRule="auto" w:before="0" w:after="60"/>
        <w:widowControl/>
      </w:pPr>
    </w:p>
    <w:p>
      <w:pPr>
        <w:spacing w:line="240" w:lineRule="auto" w:before="0" w:after="60"/>
        <w:jc w:val="both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鰭數、合法朝向、匹配群組與電源域採硬限制；寄生、參考擾動與面積採成本或規格限制。鏡像僅在 PDK 允許且環境等效時使用，FinFET 幾何對稱不自動視為電性匹配。</w:t>
      </w:r>
    </w:p>
    <w:p>
      <w:pPr>
        <w:pStyle w:val="Heading3"/>
        <w:spacing w:line="240" w:lineRule="auto" w:before="120" w:after="60"/>
        <w:keepNext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3. 工作項目二：元件匹配、局部互連與佈局技巧規則庫（M2–M15）</w:t>
      </w:r>
    </w:p>
    <w:p>
      <w:pPr>
        <w:spacing w:line="240" w:lineRule="auto" w:before="0" w:after="60"/>
        <w:jc w:val="both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以 4 nm PDK 允許的 PCell、元件與電容建立 primitive 變體。將製程固定的 gate／source／drain 與 MEOL 結構，和設計者可調的接點、pin、局部金屬及過孔分開；固定結構只萃取建模。候選須維持相同拓樸、元件模型、總鰭數、finger／multiplicity、電容值與偏壓，逐一通過完整 DRC 與 LVS。</w:t>
      </w:r>
    </w:p>
    <w:p>
      <w:pPr>
        <w:spacing w:line="240" w:lineRule="auto" w:before="120" w:after="60"/>
        <w:keepNext/>
        <w:widowControl/>
      </w:pPr>
      <w:r>
        <w:rPr>
          <w:rFonts w:ascii="Times New Roman" w:hAnsi="Times New Roman" w:eastAsia="Noto Serif CJK TC" w:cs="Times New Roman"/>
          <w:b/>
          <w:bCs/>
          <w:color w:val="000000"/>
          <w:sz w:val="24"/>
          <w:szCs w:val="24"/>
        </w:rPr>
        <w:t xml:space="preserve">表 7　基本單元族、研究技巧與電路量測</w:t>
      </w:r>
    </w:p>
    <w:tbl>
      <w:tblPr>
        <w:tblW w:type="dxa" w:w="9638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CellMar>
          <w:top w:w="45" w:type="dxa"/>
          <w:bottom w:w="45" w:type="dxa"/>
          <w:left w:w="65" w:type="dxa"/>
          <w:right w:w="65" w:type="dxa"/>
        </w:tblCellMar>
      </w:tblPr>
      <w:tblGrid>
        <w:gridCol w:w="2268"/>
        <w:gridCol w:w="4110"/>
        <w:gridCol w:w="3260"/>
      </w:tblGrid>
      <w:tr>
        <w:trPr>
          <w:cantSplit/>
          <w:tblHeader/>
        </w:trPr>
        <w:tc>
          <w:tcPr>
            <w:tcW w:type="dxa" w:w="2268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單元族</w:t>
            </w:r>
          </w:p>
        </w:tc>
        <w:tc>
          <w:tcPr>
            <w:tcW w:type="dxa" w:w="4110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研究技巧與允許變因</w:t>
            </w:r>
          </w:p>
        </w:tc>
        <w:tc>
          <w:tcPr>
            <w:tcW w:type="dxa" w:w="3260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電路量測</w:t>
            </w:r>
          </w:p>
        </w:tc>
      </w:tr>
      <w:tr>
        <w:trPr>
          <w:cantSplit/>
        </w:trPr>
        <w:tc>
          <w:tcPr>
            <w:tcW w:type="dxa" w:w="2268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比較器輸入</w:t>
            </w:r>
          </w:p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與再生對</w:t>
            </w:r>
          </w:p>
        </w:tc>
        <w:tc>
          <w:tcPr>
            <w:tcW w:type="dxa" w:w="41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對稱／交錯排列、共同質心適用性、dummy、鄰接及 pin 出口</w:t>
            </w:r>
          </w:p>
        </w:tc>
        <w:tc>
          <w:tcPr>
            <w:tcW w:type="dxa" w:w="32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輸入等效偏移、判定時間、kickback、差動 RC</w:t>
            </w:r>
          </w:p>
        </w:tc>
      </w:tr>
      <w:tr>
        <w:trPr>
          <w:cantSplit/>
        </w:trPr>
        <w:tc>
          <w:tcPr>
            <w:tcW w:type="dxa" w:w="2268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取樣開關</w:t>
            </w:r>
          </w:p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與差動介面</w:t>
            </w:r>
          </w:p>
        </w:tc>
        <w:tc>
          <w:tcPr>
            <w:tcW w:type="dxa" w:w="4110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固定鰭數的合法排列、接點與過孔、等長同層路徑、控制線隔離</w:t>
            </w:r>
          </w:p>
        </w:tc>
        <w:tc>
          <w:tcPr>
            <w:tcW w:type="dxa" w:w="3260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導通路徑 R、取樣安定、輸入負載與時脈注入</w:t>
            </w:r>
          </w:p>
        </w:tc>
      </w:tr>
      <w:tr>
        <w:trPr>
          <w:cantSplit/>
        </w:trPr>
        <w:tc>
          <w:tcPr>
            <w:tcW w:type="dxa" w:w="2268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MOM 電容與 CDAC 端點</w:t>
            </w:r>
          </w:p>
        </w:tc>
        <w:tc>
          <w:tcPr>
            <w:tcW w:type="dxa" w:w="41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單元方向、分群與 dummy、共用幹線、對稱 pin 及過孔</w:t>
            </w:r>
          </w:p>
        </w:tc>
        <w:tc>
          <w:tcPr>
            <w:tcW w:type="dxa" w:w="32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頂板負載與耦合、差動 C、位元切換安定</w:t>
            </w:r>
          </w:p>
        </w:tc>
      </w:tr>
    </w:tbl>
    <w:p>
      <w:pPr>
        <w:spacing w:line="240" w:lineRule="auto" w:before="0" w:after="60"/>
        <w:widowControl/>
      </w:pPr>
    </w:p>
    <w:p>
      <w:pPr>
        <w:spacing w:line="240" w:lineRule="auto" w:before="120" w:after="60"/>
        <w:keepNext/>
        <w:widowControl/>
      </w:pPr>
      <w:r>
        <w:rPr>
          <w:rFonts w:ascii="Times New Roman" w:hAnsi="Times New Roman" w:eastAsia="Noto Serif CJK TC" w:cs="Times New Roman"/>
          <w:b/>
          <w:bCs/>
          <w:color w:val="000000"/>
          <w:sz w:val="24"/>
          <w:szCs w:val="24"/>
        </w:rPr>
        <w:t xml:space="preserve">表 8　局部互連佈局變因與比較指標</w:t>
      </w:r>
    </w:p>
    <w:tbl>
      <w:tblPr>
        <w:tblW w:type="dxa" w:w="9638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CellMar>
          <w:top w:w="45" w:type="dxa"/>
          <w:bottom w:w="45" w:type="dxa"/>
          <w:left w:w="65" w:type="dxa"/>
          <w:right w:w="65" w:type="dxa"/>
        </w:tblCellMar>
      </w:tblPr>
      <w:tblGrid>
        <w:gridCol w:w="2268"/>
        <w:gridCol w:w="4110"/>
        <w:gridCol w:w="3260"/>
      </w:tblGrid>
      <w:tr>
        <w:trPr>
          <w:cantSplit/>
          <w:tblHeader/>
        </w:trPr>
        <w:tc>
          <w:tcPr>
            <w:tcW w:type="dxa" w:w="2268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佈局變因</w:t>
            </w:r>
          </w:p>
        </w:tc>
        <w:tc>
          <w:tcPr>
            <w:tcW w:type="dxa" w:w="4110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4 nm 實作與限制</w:t>
            </w:r>
          </w:p>
        </w:tc>
        <w:tc>
          <w:tcPr>
            <w:tcW w:type="dxa" w:w="3260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比較指標</w:t>
            </w:r>
          </w:p>
        </w:tc>
      </w:tr>
      <w:tr>
        <w:trPr>
          <w:cantSplit/>
        </w:trPr>
        <w:tc>
          <w:tcPr>
            <w:tcW w:type="dxa" w:w="2268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pin 出口與互連轉向</w:t>
            </w:r>
          </w:p>
        </w:tc>
        <w:tc>
          <w:tcPr>
            <w:tcW w:type="dxa" w:w="41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比較合法直線及正交／跨層出口；最小段長與方向依 PDK</w:t>
            </w:r>
          </w:p>
        </w:tc>
        <w:tc>
          <w:tcPr>
            <w:tcW w:type="dxa" w:w="32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連線 R、端點 C、耦合及 pin 可達率</w:t>
            </w:r>
          </w:p>
        </w:tc>
      </w:tr>
      <w:tr>
        <w:trPr>
          <w:cantSplit/>
        </w:trPr>
        <w:tc>
          <w:tcPr>
            <w:tcW w:type="dxa" w:w="2268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接點／過孔配置</w:t>
            </w:r>
          </w:p>
        </w:tc>
        <w:tc>
          <w:tcPr>
            <w:tcW w:type="dxa" w:w="4110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最小合法配置對照允許之冗餘配置；差動兩側同層同數</w:t>
            </w:r>
          </w:p>
        </w:tc>
        <w:tc>
          <w:tcPr>
            <w:tcW w:type="dxa" w:w="3260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接點／via R、ΔR、負載 C 及面積</w:t>
            </w:r>
          </w:p>
        </w:tc>
      </w:tr>
      <w:tr>
        <w:trPr>
          <w:cantSplit/>
        </w:trPr>
        <w:tc>
          <w:tcPr>
            <w:tcW w:type="dxa" w:w="2268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enclosure</w:t>
            </w:r>
          </w:p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與端點間距</w:t>
            </w:r>
          </w:p>
        </w:tc>
        <w:tc>
          <w:tcPr>
            <w:tcW w:type="dxa" w:w="41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量測接點包覆、線端、tip-to-tip 及最小面積等裕度</w:t>
            </w:r>
          </w:p>
        </w:tc>
        <w:tc>
          <w:tcPr>
            <w:tcW w:type="dxa" w:w="32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最小裕度、DRC 失敗類型與 RC 變化</w:t>
            </w:r>
          </w:p>
        </w:tc>
      </w:tr>
      <w:tr>
        <w:trPr>
          <w:cantSplit/>
        </w:trPr>
        <w:tc>
          <w:tcPr>
            <w:tcW w:type="dxa" w:w="2268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敏感線層別與隔離</w:t>
            </w:r>
          </w:p>
        </w:tc>
        <w:tc>
          <w:tcPr>
            <w:tcW w:type="dxa" w:w="4110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固定合法層選項；比較距離、shield 及交叉方式</w:t>
            </w:r>
          </w:p>
        </w:tc>
        <w:tc>
          <w:tcPr>
            <w:tcW w:type="dxa" w:w="3260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i/>
                <w:iCs/>
                <w:sz w:val="24"/>
                <w:szCs w:val="24"/>
                <w:color w:val="000000"/>
              </w:rPr>
              <w:t xml:space="preserve">C</w:t>
            </w: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vertAlign w:val="subscript"/>
                <w:color w:val="000000"/>
              </w:rPr>
              <w:t xml:space="preserve">couple</w:t>
            </w: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、總 C、參考恢復與時脈注入</w:t>
            </w:r>
          </w:p>
        </w:tc>
      </w:tr>
    </w:tbl>
    <w:p>
      <w:pPr>
        <w:spacing w:line="240" w:lineRule="auto" w:before="0" w:after="60"/>
        <w:widowControl/>
      </w:pPr>
    </w:p>
    <w:p>
      <w:pPr>
        <w:spacing w:line="240" w:lineRule="auto" w:before="0" w:after="60"/>
        <w:jc w:val="both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幾何裕度以相同單位的實際包覆或間距減去規則要求計算（式 1）；複合規則以工具判定為準，不以單一裕度替代 DRC。若 PDK 提供 overlay、線寬或蝕刻變異模型，以其允許範圍做萃取敏感度實驗；若無，僅比較名目裕度與 RC 角落，不宣稱已模擬 EUV 曝光窗口或量產良率結果。</w:t>
      </w:r>
    </w:p>
    <w:p>
      <w:pPr>
        <w:spacing w:line="240" w:lineRule="auto" w:before="0" w:after="60"/>
        <w:jc w:val="center"/>
        <w:widowControl/>
      </w:pPr>
      <w:r>
        <w:rPr>
          <w:rFonts w:ascii="Times New Roman" w:hAnsi="Times New Roman" w:eastAsia="Noto Serif CJK TC" w:cs="Times New Roman"/>
          <w:i/>
          <w:iCs/>
          <w:sz w:val="24"/>
          <w:szCs w:val="24"/>
          <w:color w:val="000000"/>
        </w:rPr>
        <w:t xml:space="preserve">m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vertAlign w:val="subscript"/>
          <w:color w:val="000000"/>
        </w:rPr>
        <w:t xml:space="preserve">rule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color w:val="000000"/>
        </w:rPr>
        <w:t xml:space="preserve"> = </w:t>
      </w:r>
      <w:r>
        <w:rPr>
          <w:rFonts w:ascii="Times New Roman" w:hAnsi="Times New Roman" w:eastAsia="Noto Serif CJK TC" w:cs="Times New Roman"/>
          <w:i/>
          <w:iCs/>
          <w:sz w:val="24"/>
          <w:szCs w:val="24"/>
          <w:color w:val="000000"/>
        </w:rPr>
        <w:t xml:space="preserve">d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vertAlign w:val="subscript"/>
          <w:color w:val="000000"/>
        </w:rPr>
        <w:t xml:space="preserve">actual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color w:val="000000"/>
        </w:rPr>
        <w:t xml:space="preserve"> − </w:t>
      </w:r>
      <w:r>
        <w:rPr>
          <w:rFonts w:ascii="Times New Roman" w:hAnsi="Times New Roman" w:eastAsia="Noto Serif CJK TC" w:cs="Times New Roman"/>
          <w:i/>
          <w:iCs/>
          <w:sz w:val="24"/>
          <w:szCs w:val="24"/>
          <w:color w:val="000000"/>
        </w:rPr>
        <w:t xml:space="preserve">d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vertAlign w:val="subscript"/>
          <w:color w:val="000000"/>
        </w:rPr>
        <w:t xml:space="preserve">required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color w:val="000000"/>
        </w:rPr>
        <w:t xml:space="preserve"> ,    </w:t>
      </w:r>
      <w:r>
        <w:rPr>
          <w:rFonts w:ascii="Times New Roman" w:hAnsi="Times New Roman" w:eastAsia="Noto Serif CJK TC" w:cs="Times New Roman"/>
          <w:i/>
          <w:iCs/>
          <w:sz w:val="24"/>
          <w:szCs w:val="24"/>
          <w:color w:val="000000"/>
        </w:rPr>
        <w:t xml:space="preserve">m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vertAlign w:val="subscript"/>
          <w:color w:val="000000"/>
        </w:rPr>
        <w:t xml:space="preserve">min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color w:val="000000"/>
        </w:rPr>
        <w:t xml:space="preserve"> = min(</w:t>
      </w:r>
      <w:r>
        <w:rPr>
          <w:rFonts w:ascii="Times New Roman" w:hAnsi="Times New Roman" w:eastAsia="Noto Serif CJK TC" w:cs="Times New Roman"/>
          <w:i/>
          <w:iCs/>
          <w:sz w:val="24"/>
          <w:szCs w:val="24"/>
          <w:color w:val="000000"/>
        </w:rPr>
        <w:t xml:space="preserve">m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vertAlign w:val="subscript"/>
          <w:color w:val="000000"/>
        </w:rPr>
        <w:t xml:space="preserve">rule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color w:val="000000"/>
        </w:rPr>
        <w:t xml:space="preserve">)</w:t>
      </w: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　　（1）</w:t>
      </w:r>
    </w:p>
    <w:p>
      <w:pPr>
        <w:spacing w:line="240" w:lineRule="auto" w:before="0" w:after="60"/>
        <w:jc w:val="both"/>
        <w:widowControl/>
      </w:pPr>
      <w:r>
        <w:rPr>
          <w:rFonts w:ascii="Times New Roman" w:hAnsi="Times New Roman" w:eastAsia="Noto Serif CJK TC" w:cs="Times New Roman"/>
          <w:b/>
          <w:bCs/>
          <w:sz w:val="24"/>
          <w:szCs w:val="24"/>
          <w:color w:val="000000"/>
        </w:rPr>
        <w:t xml:space="preserve">佈局技巧規則庫。</w:t>
      </w: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 將實驗結論與文獻、PDK 文件及工程師 FIX 整理為規則庫（表 9），每條規則記錄適用條件、做法、對應成本項、驗證方式與來源，寫入 LightRAG 與 SQL 並轉為 SFT 題型。規則庫分為「公開抽象規則」與「機密 PDK 參數」兩層，只釋出前者。第二年擴充為 CDAC、比較器輸入對、取樣開關、VREF 幹線與時脈屏蔽的參數化模板，ECO 代理可直接切換已驗證的模板變體。</w:t>
      </w:r>
    </w:p>
    <w:p>
      <w:pPr>
        <w:spacing w:line="240" w:lineRule="auto" w:before="120" w:after="60"/>
        <w:keepNext/>
        <w:widowControl/>
      </w:pPr>
      <w:r>
        <w:rPr>
          <w:rFonts w:ascii="Times New Roman" w:hAnsi="Times New Roman" w:eastAsia="Noto Serif CJK TC" w:cs="Times New Roman"/>
          <w:b/>
          <w:bCs/>
          <w:color w:val="000000"/>
          <w:sz w:val="24"/>
          <w:szCs w:val="24"/>
        </w:rPr>
        <w:t xml:space="preserve">表 9　4 奈米佈局技巧規則庫分類</w:t>
      </w:r>
    </w:p>
    <w:tbl>
      <w:tblPr>
        <w:tblW w:type="dxa" w:w="9638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CellMar>
          <w:top w:w="45" w:type="dxa"/>
          <w:bottom w:w="45" w:type="dxa"/>
          <w:left w:w="65" w:type="dxa"/>
          <w:right w:w="65" w:type="dxa"/>
        </w:tblCellMar>
      </w:tblPr>
      <w:tblGrid>
        <w:gridCol w:w="1582"/>
        <w:gridCol w:w="4891"/>
        <w:gridCol w:w="3165"/>
      </w:tblGrid>
      <w:tr>
        <w:trPr>
          <w:cantSplit/>
          <w:tblHeader/>
        </w:trPr>
        <w:tc>
          <w:tcPr>
            <w:tcW w:type="dxa" w:w="1582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類別</w:t>
            </w:r>
          </w:p>
        </w:tc>
        <w:tc>
          <w:tcPr>
            <w:tcW w:type="dxa" w:w="4891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代表技巧</w:t>
            </w:r>
          </w:p>
        </w:tc>
        <w:tc>
          <w:tcPr>
            <w:tcW w:type="dxa" w:w="3165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驗證方式</w:t>
            </w:r>
          </w:p>
        </w:tc>
      </w:tr>
      <w:tr>
        <w:trPr>
          <w:cantSplit/>
        </w:trPr>
        <w:tc>
          <w:tcPr>
            <w:tcW w:type="dxa" w:w="1582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元件層</w:t>
            </w:r>
          </w:p>
        </w:tc>
        <w:tc>
          <w:tcPr>
            <w:tcW w:type="dxa" w:w="489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multi-finger、fin 數量化、dummy gate、擴散斷點</w:t>
            </w:r>
          </w:p>
        </w:tc>
        <w:tc>
          <w:tcPr>
            <w:tcW w:type="dxa" w:w="316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LVS 屬性、PDK 規則</w:t>
            </w:r>
          </w:p>
        </w:tc>
      </w:tr>
      <w:tr>
        <w:trPr>
          <w:cantSplit/>
        </w:trPr>
        <w:tc>
          <w:tcPr>
            <w:tcW w:type="dxa" w:w="1582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匹配</w:t>
            </w:r>
          </w:p>
        </w:tc>
        <w:tc>
          <w:tcPr>
            <w:tcW w:type="dxa" w:w="4891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沿 fin 方向共質心、ABBA 交指、對稱 LDE 環境</w:t>
            </w:r>
          </w:p>
        </w:tc>
        <w:tc>
          <w:tcPr>
            <w:tcW w:type="dxa" w:w="3165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完整 PEX、Monte Carlo</w:t>
            </w:r>
          </w:p>
        </w:tc>
      </w:tr>
      <w:tr>
        <w:trPr>
          <w:cantSplit/>
        </w:trPr>
        <w:tc>
          <w:tcPr>
            <w:tcW w:type="dxa" w:w="1582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被動元件</w:t>
            </w:r>
          </w:p>
        </w:tc>
        <w:tc>
          <w:tcPr>
            <w:tcW w:type="dxa" w:w="489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MOM 封裝與屏蔽層、單位格規則化、頂板出口</w:t>
            </w:r>
          </w:p>
        </w:tc>
        <w:tc>
          <w:tcPr>
            <w:tcW w:type="dxa" w:w="316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內部 LVS、差動 C</w:t>
            </w:r>
          </w:p>
        </w:tc>
      </w:tr>
      <w:tr>
        <w:trPr>
          <w:cantSplit/>
        </w:trPr>
        <w:tc>
          <w:tcPr>
            <w:tcW w:type="dxa" w:w="1582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互連</w:t>
            </w:r>
          </w:p>
        </w:tc>
        <w:tc>
          <w:tcPr>
            <w:tcW w:type="dxa" w:w="4891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單向金屬、雙 via／via 陣列、EM 線寬、屏蔽</w:t>
            </w:r>
          </w:p>
        </w:tc>
        <w:tc>
          <w:tcPr>
            <w:tcW w:type="dxa" w:w="3165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DRC、R／C 矩陣、EM 檢查</w:t>
            </w:r>
          </w:p>
        </w:tc>
      </w:tr>
      <w:tr>
        <w:trPr>
          <w:cantSplit/>
        </w:trPr>
        <w:tc>
          <w:tcPr>
            <w:tcW w:type="dxa" w:w="1582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隔離</w:t>
            </w:r>
          </w:p>
        </w:tc>
        <w:tc>
          <w:tcPr>
            <w:tcW w:type="dxa" w:w="489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guard ring、深 N 井、時脈 keep-out、分離電源域</w:t>
            </w:r>
          </w:p>
        </w:tc>
        <w:tc>
          <w:tcPr>
            <w:tcW w:type="dxa" w:w="316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耦合萃取、注入模擬</w:t>
            </w:r>
          </w:p>
        </w:tc>
      </w:tr>
      <w:tr>
        <w:trPr>
          <w:cantSplit/>
        </w:trPr>
        <w:tc>
          <w:tcPr>
            <w:tcW w:type="dxa" w:w="1582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可製造性</w:t>
            </w:r>
          </w:p>
        </w:tc>
        <w:tc>
          <w:tcPr>
            <w:tcW w:type="dxa" w:w="4891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密度填充只放 dummy 區、統一方向、MEOL 互連樣式</w:t>
            </w:r>
          </w:p>
        </w:tc>
        <w:tc>
          <w:tcPr>
            <w:tcW w:type="dxa" w:w="3165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DRC、幾何裕度（式 1）</w:t>
            </w:r>
          </w:p>
        </w:tc>
      </w:tr>
    </w:tbl>
    <w:p>
      <w:pPr>
        <w:spacing w:line="240" w:lineRule="auto" w:before="0" w:after="60"/>
        <w:widowControl/>
      </w:pPr>
    </w:p>
    <w:p>
      <w:pPr>
        <w:pStyle w:val="Heading3"/>
        <w:spacing w:line="240" w:lineRule="auto" w:before="120" w:after="60"/>
        <w:keepNext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4. 工作項目三：類比約束下的粗至細搜尋與 ECO（M7–M21）</w:t>
      </w:r>
    </w:p>
    <w:p>
      <w:pPr>
        <w:spacing w:line="240" w:lineRule="auto" w:before="0" w:after="60"/>
        <w:jc w:val="both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將既有 SA 移植至 4 nm 合法巨集，並參考 C2FPlace 的族群演化與關鍵巨集細調 [15]。L0 固定內部版圖，搜尋離散位置與合法朝向；L1 增加 variant_id。最佳化採「先可行、再排序」：幾何、連通、匹配群組與電源域不合格者直接淘汰；可行候選以式 2 排序，各項以預先固定的基準尺度正規化，避免將電阻、電容、電壓與面積直接相加。權重由驗證集設定並在保留測試前凍結，比較時同步報告各原始指標。</w:t>
      </w:r>
    </w:p>
    <w:p>
      <w:pPr>
        <w:spacing w:line="240" w:lineRule="auto" w:before="0" w:after="60"/>
        <w:jc w:val="center"/>
        <w:widowControl/>
      </w:pPr>
      <w:r>
        <w:rPr>
          <w:rFonts w:ascii="Times New Roman" w:hAnsi="Times New Roman" w:eastAsia="Noto Serif CJK TC" w:cs="Times New Roman"/>
          <w:i/>
          <w:iCs/>
          <w:sz w:val="24"/>
          <w:szCs w:val="24"/>
          <w:color w:val="000000"/>
        </w:rPr>
        <w:t xml:space="preserve">J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vertAlign w:val="subscript"/>
          <w:color w:val="000000"/>
        </w:rPr>
        <w:t xml:space="preserve">fast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color w:val="000000"/>
        </w:rPr>
        <w:t xml:space="preserve">(P) = </w:t>
      </w:r>
      <w:r>
        <w:rPr>
          <w:rFonts w:ascii="Times New Roman" w:hAnsi="Times New Roman" w:eastAsia="Noto Serif CJK TC" w:cs="Times New Roman"/>
          <w:i/>
          <w:iCs/>
          <w:sz w:val="24"/>
          <w:szCs w:val="24"/>
          <w:color w:val="000000"/>
        </w:rPr>
        <w:t xml:space="preserve">w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vertAlign w:val="subscript"/>
          <w:color w:val="000000"/>
        </w:rPr>
        <w:t xml:space="preserve">H</w:t>
      </w:r>
      <w:r>
        <w:rPr>
          <w:rFonts w:ascii="Times New Roman" w:hAnsi="Times New Roman" w:eastAsia="Noto Serif CJK TC" w:cs="Times New Roman"/>
          <w:i/>
          <w:iCs/>
          <w:sz w:val="24"/>
          <w:szCs w:val="24"/>
          <w:color w:val="000000"/>
        </w:rPr>
        <w:t xml:space="preserve">z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vertAlign w:val="subscript"/>
          <w:color w:val="000000"/>
        </w:rPr>
        <w:t xml:space="preserve">HPWL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color w:val="000000"/>
        </w:rPr>
        <w:t xml:space="preserve"> + </w:t>
      </w:r>
      <w:r>
        <w:rPr>
          <w:rFonts w:ascii="Times New Roman" w:hAnsi="Times New Roman" w:eastAsia="Noto Serif CJK TC" w:cs="Times New Roman"/>
          <w:i/>
          <w:iCs/>
          <w:sz w:val="24"/>
          <w:szCs w:val="24"/>
          <w:color w:val="000000"/>
        </w:rPr>
        <w:t xml:space="preserve">w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vertAlign w:val="subscript"/>
          <w:color w:val="000000"/>
        </w:rPr>
        <w:t xml:space="preserve">C</w:t>
      </w:r>
      <w:r>
        <w:rPr>
          <w:rFonts w:ascii="Times New Roman" w:hAnsi="Times New Roman" w:eastAsia="Noto Serif CJK TC" w:cs="Times New Roman"/>
          <w:i/>
          <w:iCs/>
          <w:sz w:val="24"/>
          <w:szCs w:val="24"/>
          <w:color w:val="000000"/>
        </w:rPr>
        <w:t xml:space="preserve">z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vertAlign w:val="subscript"/>
          <w:color w:val="000000"/>
        </w:rPr>
        <w:t xml:space="preserve">coupling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color w:val="000000"/>
        </w:rPr>
        <w:t xml:space="preserve"> + </w:t>
      </w:r>
      <w:r>
        <w:rPr>
          <w:rFonts w:ascii="Times New Roman" w:hAnsi="Times New Roman" w:eastAsia="Noto Serif CJK TC" w:cs="Times New Roman"/>
          <w:i/>
          <w:iCs/>
          <w:sz w:val="24"/>
          <w:szCs w:val="24"/>
          <w:color w:val="000000"/>
        </w:rPr>
        <w:t xml:space="preserve">w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vertAlign w:val="subscript"/>
          <w:color w:val="000000"/>
        </w:rPr>
        <w:t xml:space="preserve">R</w:t>
      </w:r>
      <w:r>
        <w:rPr>
          <w:rFonts w:ascii="Times New Roman" w:hAnsi="Times New Roman" w:eastAsia="Noto Serif CJK TC" w:cs="Times New Roman"/>
          <w:i/>
          <w:iCs/>
          <w:sz w:val="24"/>
          <w:szCs w:val="24"/>
          <w:color w:val="000000"/>
        </w:rPr>
        <w:t xml:space="preserve">z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vertAlign w:val="subscript"/>
          <w:color w:val="000000"/>
        </w:rPr>
        <w:t xml:space="preserve">reference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color w:val="000000"/>
        </w:rPr>
        <w:t xml:space="preserve"> + </w:t>
      </w:r>
      <w:r>
        <w:rPr>
          <w:rFonts w:ascii="Times New Roman" w:hAnsi="Times New Roman" w:eastAsia="Noto Serif CJK TC" w:cs="Times New Roman"/>
          <w:i/>
          <w:iCs/>
          <w:sz w:val="24"/>
          <w:szCs w:val="24"/>
          <w:color w:val="000000"/>
        </w:rPr>
        <w:t xml:space="preserve">w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vertAlign w:val="subscript"/>
          <w:color w:val="000000"/>
        </w:rPr>
        <w:t xml:space="preserve">M</w:t>
      </w:r>
      <w:r>
        <w:rPr>
          <w:rFonts w:ascii="Times New Roman" w:hAnsi="Times New Roman" w:eastAsia="Noto Serif CJK TC" w:cs="Times New Roman"/>
          <w:i/>
          <w:iCs/>
          <w:sz w:val="24"/>
          <w:szCs w:val="24"/>
          <w:color w:val="000000"/>
        </w:rPr>
        <w:t xml:space="preserve">z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vertAlign w:val="subscript"/>
          <w:color w:val="000000"/>
        </w:rPr>
        <w:t xml:space="preserve">mismatch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color w:val="000000"/>
        </w:rPr>
        <w:t xml:space="preserve"> + </w:t>
      </w:r>
      <w:r>
        <w:rPr>
          <w:rFonts w:ascii="Times New Roman" w:hAnsi="Times New Roman" w:eastAsia="Noto Serif CJK TC" w:cs="Times New Roman"/>
          <w:i/>
          <w:iCs/>
          <w:sz w:val="24"/>
          <w:szCs w:val="24"/>
          <w:color w:val="000000"/>
        </w:rPr>
        <w:t xml:space="preserve">w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vertAlign w:val="subscript"/>
          <w:color w:val="000000"/>
        </w:rPr>
        <w:t xml:space="preserve">L</w:t>
      </w:r>
      <w:r>
        <w:rPr>
          <w:rFonts w:ascii="Times New Roman" w:hAnsi="Times New Roman" w:eastAsia="Noto Serif CJK TC" w:cs="Times New Roman"/>
          <w:i/>
          <w:iCs/>
          <w:sz w:val="24"/>
          <w:szCs w:val="24"/>
          <w:color w:val="000000"/>
        </w:rPr>
        <w:t xml:space="preserve">z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vertAlign w:val="subscript"/>
          <w:color w:val="000000"/>
        </w:rPr>
        <w:t xml:space="preserve">LDE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color w:val="000000"/>
        </w:rPr>
        <w:t xml:space="preserve"> + </w:t>
      </w:r>
      <w:r>
        <w:rPr>
          <w:rFonts w:ascii="Times New Roman" w:hAnsi="Times New Roman" w:eastAsia="Noto Serif CJK TC" w:cs="Times New Roman"/>
          <w:i/>
          <w:iCs/>
          <w:sz w:val="24"/>
          <w:szCs w:val="24"/>
          <w:color w:val="000000"/>
        </w:rPr>
        <w:t xml:space="preserve">w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vertAlign w:val="subscript"/>
          <w:color w:val="000000"/>
        </w:rPr>
        <w:t xml:space="preserve">A</w:t>
      </w:r>
      <w:r>
        <w:rPr>
          <w:rFonts w:ascii="Times New Roman" w:hAnsi="Times New Roman" w:eastAsia="Noto Serif CJK TC" w:cs="Times New Roman"/>
          <w:i/>
          <w:iCs/>
          <w:sz w:val="24"/>
          <w:szCs w:val="24"/>
          <w:color w:val="000000"/>
        </w:rPr>
        <w:t xml:space="preserve">z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vertAlign w:val="subscript"/>
          <w:color w:val="000000"/>
        </w:rPr>
        <w:t xml:space="preserve">area</w:t>
      </w: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　　（2）</w:t>
      </w:r>
    </w:p>
    <w:p>
      <w:pPr>
        <w:spacing w:line="240" w:lineRule="auto" w:before="0" w:after="60"/>
        <w:jc w:val="both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z 為無量綱指標；P 包含位置、朝向及 L1 的 variant_id。</w:t>
      </w:r>
      <w:r>
        <w:rPr>
          <w:rFonts w:ascii="Times New Roman" w:hAnsi="Times New Roman" w:eastAsia="Noto Serif CJK TC" w:cs="Times New Roman"/>
          <w:i/>
          <w:iCs/>
          <w:sz w:val="24"/>
          <w:szCs w:val="24"/>
          <w:color w:val="000000"/>
        </w:rPr>
        <w:t xml:space="preserve">z</w:t>
      </w:r>
      <w:r>
        <w:rPr>
          <w:rFonts w:ascii="Times New Roman" w:hAnsi="Times New Roman" w:eastAsia="Noto Serif CJK TC" w:cs="Times New Roman"/>
          <w:vertAlign w:val="subscript"/>
          <w:sz w:val="24"/>
          <w:szCs w:val="24"/>
          <w:color w:val="000000"/>
        </w:rPr>
        <w:t xml:space="preserve">LDE</w:t>
      </w: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 僅在 PDK 提供 LDE 模型時啟用。表 10 列出各成本來源與處理方式，其中熱、基板與回流路徑只在有模型時量化，否則僅作風險特徵。</w:t>
      </w:r>
    </w:p>
    <w:p>
      <w:pPr>
        <w:spacing w:line="240" w:lineRule="auto" w:before="120" w:after="60"/>
        <w:keepNext/>
        <w:widowControl/>
      </w:pPr>
      <w:r>
        <w:rPr>
          <w:rFonts w:ascii="Times New Roman" w:hAnsi="Times New Roman" w:eastAsia="Noto Serif CJK TC" w:cs="Times New Roman"/>
          <w:b/>
          <w:bCs/>
          <w:color w:val="000000"/>
          <w:sz w:val="24"/>
          <w:szCs w:val="24"/>
        </w:rPr>
        <w:t xml:space="preserve">表 10　寄生感知成本項與處理方式</w:t>
      </w:r>
    </w:p>
    <w:tbl>
      <w:tblPr>
        <w:tblW w:type="dxa" w:w="9638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CellMar>
          <w:top w:w="45" w:type="dxa"/>
          <w:bottom w:w="45" w:type="dxa"/>
          <w:left w:w="65" w:type="dxa"/>
          <w:right w:w="65" w:type="dxa"/>
        </w:tblCellMar>
      </w:tblPr>
      <w:tblGrid>
        <w:gridCol w:w="1606"/>
        <w:gridCol w:w="2945"/>
        <w:gridCol w:w="2142"/>
        <w:gridCol w:w="2945"/>
      </w:tblGrid>
      <w:tr>
        <w:trPr>
          <w:cantSplit/>
          <w:tblHeader/>
        </w:trPr>
        <w:tc>
          <w:tcPr>
            <w:tcW w:type="dxa" w:w="1606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成本項</w:t>
            </w:r>
          </w:p>
        </w:tc>
        <w:tc>
          <w:tcPr>
            <w:tcW w:type="dxa" w:w="2945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SAR ADC 物理意義</w:t>
            </w:r>
          </w:p>
        </w:tc>
        <w:tc>
          <w:tcPr>
            <w:tcW w:type="dxa" w:w="2142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資料來源</w:t>
            </w:r>
          </w:p>
        </w:tc>
        <w:tc>
          <w:tcPr>
            <w:tcW w:type="dxa" w:w="2945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在搜尋中的處理</w:t>
            </w:r>
          </w:p>
        </w:tc>
      </w:tr>
      <w:tr>
        <w:trPr>
          <w:cantSplit/>
        </w:trPr>
        <w:tc>
          <w:tcPr>
            <w:tcW w:type="dxa" w:w="1606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HPWL</w:t>
            </w:r>
          </w:p>
        </w:tc>
        <w:tc>
          <w:tcPr>
            <w:tcW w:type="dxa" w:w="294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繞線線長</w:t>
            </w:r>
          </w:p>
        </w:tc>
        <w:tc>
          <w:tcPr>
            <w:tcW w:type="dxa" w:w="214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網表／擺置</w:t>
            </w:r>
          </w:p>
        </w:tc>
        <w:tc>
          <w:tcPr>
            <w:tcW w:type="dxa" w:w="294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i/>
                <w:iCs/>
                <w:sz w:val="24"/>
                <w:szCs w:val="24"/>
                <w:color w:val="000000"/>
              </w:rPr>
              <w:t xml:space="preserve">z</w:t>
            </w: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vertAlign w:val="subscript"/>
                <w:color w:val="000000"/>
              </w:rPr>
              <w:t xml:space="preserve">HPWL</w:t>
            </w: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，僅作搜尋代理值</w:t>
            </w:r>
          </w:p>
        </w:tc>
      </w:tr>
      <w:tr>
        <w:trPr>
          <w:cantSplit/>
        </w:trPr>
        <w:tc>
          <w:tcPr>
            <w:tcW w:type="dxa" w:w="1606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時脈耦合</w:t>
            </w:r>
          </w:p>
        </w:tc>
        <w:tc>
          <w:tcPr>
            <w:tcW w:type="dxa" w:w="2945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CLK 對 CDAC／比較器的耦合</w:t>
            </w:r>
          </w:p>
        </w:tc>
        <w:tc>
          <w:tcPr>
            <w:tcW w:type="dxa" w:w="2142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耦合萃取</w:t>
            </w:r>
          </w:p>
        </w:tc>
        <w:tc>
          <w:tcPr>
            <w:tcW w:type="dxa" w:w="2945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i/>
                <w:iCs/>
                <w:sz w:val="24"/>
                <w:szCs w:val="24"/>
                <w:color w:val="000000"/>
              </w:rPr>
              <w:t xml:space="preserve">z</w:t>
            </w: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vertAlign w:val="subscript"/>
                <w:color w:val="000000"/>
              </w:rPr>
              <w:t xml:space="preserve">coupling</w:t>
            </w: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；決定 keep-out 及屏蔽配置</w:t>
            </w:r>
          </w:p>
        </w:tc>
      </w:tr>
      <w:tr>
        <w:trPr>
          <w:cantSplit/>
        </w:trPr>
        <w:tc>
          <w:tcPr>
            <w:tcW w:type="dxa" w:w="1606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參考網路</w:t>
            </w:r>
          </w:p>
        </w:tc>
        <w:tc>
          <w:tcPr>
            <w:tcW w:type="dxa" w:w="294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VREF 阻抗、瞬態偏移與恢復</w:t>
            </w:r>
          </w:p>
        </w:tc>
        <w:tc>
          <w:tcPr>
            <w:tcW w:type="dxa" w:w="214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RC 萃取與參考網路模擬</w:t>
            </w:r>
          </w:p>
        </w:tc>
        <w:tc>
          <w:tcPr>
            <w:tcW w:type="dxa" w:w="294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i/>
                <w:iCs/>
                <w:sz w:val="24"/>
                <w:szCs w:val="24"/>
                <w:color w:val="000000"/>
              </w:rPr>
              <w:t xml:space="preserve">z</w:t>
            </w: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vertAlign w:val="subscript"/>
                <w:color w:val="000000"/>
              </w:rPr>
              <w:t xml:space="preserve">reference</w:t>
            </w: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；目標為 </w:t>
            </w:r>
            <w:r>
              <w:rPr>
                <w:rFonts w:ascii="Times New Roman" w:hAnsi="Times New Roman" w:eastAsia="Noto Serif CJK TC" w:cs="Times New Roman"/>
                <w:b w:val="false"/>
                <w:bCs w:val="false"/>
                <w:i/>
                <w:iCs/>
                <w:sz w:val="24"/>
                <w:szCs w:val="24"/>
                <w:color w:val="000000"/>
              </w:rPr>
              <w:t xml:space="preserve">Z</w:t>
            </w: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vertAlign w:val="subscript"/>
                <w:color w:val="000000"/>
              </w:rPr>
              <w:t xml:space="preserve">REF</w:t>
            </w: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 最小且 L／R 對稱</w:t>
            </w:r>
          </w:p>
        </w:tc>
      </w:tr>
      <w:tr>
        <w:trPr>
          <w:cantSplit/>
        </w:trPr>
        <w:tc>
          <w:tcPr>
            <w:tcW w:type="dxa" w:w="1606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差動不匹配</w:t>
            </w:r>
          </w:p>
        </w:tc>
        <w:tc>
          <w:tcPr>
            <w:tcW w:type="dxa" w:w="2945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差動 R／C 及接點／via 之差異</w:t>
            </w:r>
          </w:p>
        </w:tc>
        <w:tc>
          <w:tcPr>
            <w:tcW w:type="dxa" w:w="2142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完整 PEX</w:t>
            </w:r>
          </w:p>
        </w:tc>
        <w:tc>
          <w:tcPr>
            <w:tcW w:type="dxa" w:w="2945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i/>
                <w:iCs/>
                <w:sz w:val="24"/>
                <w:szCs w:val="24"/>
                <w:color w:val="000000"/>
              </w:rPr>
              <w:t xml:space="preserve">z</w:t>
            </w: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vertAlign w:val="subscript"/>
                <w:color w:val="000000"/>
              </w:rPr>
              <w:t xml:space="preserve">mismatch</w:t>
            </w: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（式 6 的 </w:t>
            </w:r>
            <w:r>
              <w:rPr>
                <w:rFonts w:ascii="Times New Roman" w:hAnsi="Times New Roman" w:eastAsia="Noto Serif CJK TC" w:cs="Times New Roman"/>
                <w:b w:val="false"/>
                <w:bCs w:val="false"/>
                <w:i/>
                <w:iCs/>
                <w:sz w:val="24"/>
                <w:szCs w:val="24"/>
                <w:color w:val="000000"/>
              </w:rPr>
              <w:t xml:space="preserve">ε</w:t>
            </w: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vertAlign w:val="subscript"/>
                <w:color w:val="000000"/>
              </w:rPr>
              <w:t xml:space="preserve">R</w:t>
            </w: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、</w:t>
            </w:r>
            <w:r>
              <w:rPr>
                <w:rFonts w:ascii="Times New Roman" w:hAnsi="Times New Roman" w:eastAsia="Noto Serif CJK TC" w:cs="Times New Roman"/>
                <w:b w:val="false"/>
                <w:bCs w:val="false"/>
                <w:i/>
                <w:iCs/>
                <w:sz w:val="24"/>
                <w:szCs w:val="24"/>
                <w:color w:val="000000"/>
              </w:rPr>
              <w:t xml:space="preserve">ε</w:t>
            </w: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vertAlign w:val="subscript"/>
                <w:color w:val="000000"/>
              </w:rPr>
              <w:t xml:space="preserve">C</w:t>
            </w: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）</w:t>
            </w:r>
          </w:p>
        </w:tc>
      </w:tr>
      <w:tr>
        <w:trPr>
          <w:cantSplit/>
        </w:trPr>
        <w:tc>
          <w:tcPr>
            <w:tcW w:type="dxa" w:w="1606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LDE</w:t>
            </w:r>
          </w:p>
        </w:tc>
        <w:tc>
          <w:tcPr>
            <w:tcW w:type="dxa" w:w="294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WPE、主動區長度與間距、dummy 配置</w:t>
            </w:r>
          </w:p>
        </w:tc>
        <w:tc>
          <w:tcPr>
            <w:tcW w:type="dxa" w:w="214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PDK LDE 模型</w:t>
            </w:r>
          </w:p>
        </w:tc>
        <w:tc>
          <w:tcPr>
            <w:tcW w:type="dxa" w:w="294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i/>
                <w:iCs/>
                <w:sz w:val="24"/>
                <w:szCs w:val="24"/>
                <w:color w:val="000000"/>
              </w:rPr>
              <w:t xml:space="preserve">z</w:t>
            </w: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vertAlign w:val="subscript"/>
                <w:color w:val="000000"/>
              </w:rPr>
              <w:t xml:space="preserve">LDE</w:t>
            </w: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；無模型時不計分</w:t>
            </w:r>
          </w:p>
        </w:tc>
      </w:tr>
      <w:tr>
        <w:trPr>
          <w:cantSplit/>
        </w:trPr>
        <w:tc>
          <w:tcPr>
            <w:tcW w:type="dxa" w:w="1606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IR／EM</w:t>
            </w:r>
          </w:p>
        </w:tc>
        <w:tc>
          <w:tcPr>
            <w:tcW w:type="dxa" w:w="2945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電源與參考 IR drop、電流密度</w:t>
            </w:r>
          </w:p>
        </w:tc>
        <w:tc>
          <w:tcPr>
            <w:tcW w:type="dxa" w:w="2142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EMIR</w:t>
            </w:r>
          </w:p>
        </w:tc>
        <w:tc>
          <w:tcPr>
            <w:tcW w:type="dxa" w:w="2945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規格限制</w:t>
            </w:r>
          </w:p>
        </w:tc>
      </w:tr>
      <w:tr>
        <w:trPr>
          <w:cantSplit/>
        </w:trPr>
        <w:tc>
          <w:tcPr>
            <w:tcW w:type="dxa" w:w="1606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熱／基板</w:t>
            </w:r>
          </w:p>
        </w:tc>
        <w:tc>
          <w:tcPr>
            <w:tcW w:type="dxa" w:w="294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熱梯度與數位切換造成的基板雜訊</w:t>
            </w:r>
          </w:p>
        </w:tc>
        <w:tc>
          <w:tcPr>
            <w:tcW w:type="dxa" w:w="214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功率圖、基板模型代理值</w:t>
            </w:r>
          </w:p>
        </w:tc>
        <w:tc>
          <w:tcPr>
            <w:tcW w:type="dxa" w:w="294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有模型才量化，否則為風險特徵</w:t>
            </w:r>
          </w:p>
        </w:tc>
      </w:tr>
      <w:tr>
        <w:trPr>
          <w:cantSplit/>
        </w:trPr>
        <w:tc>
          <w:tcPr>
            <w:tcW w:type="dxa" w:w="1606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回流路徑</w:t>
            </w:r>
          </w:p>
        </w:tc>
        <w:tc>
          <w:tcPr>
            <w:tcW w:type="dxa" w:w="2945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訊號與回流迴路面積</w:t>
            </w:r>
          </w:p>
        </w:tc>
        <w:tc>
          <w:tcPr>
            <w:tcW w:type="dxa" w:w="2142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電源／地拓樸</w:t>
            </w:r>
          </w:p>
        </w:tc>
        <w:tc>
          <w:tcPr>
            <w:tcW w:type="dxa" w:w="2945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依拓樸個別處理，不與其他阻抗任意相加</w:t>
            </w:r>
          </w:p>
        </w:tc>
      </w:tr>
      <w:tr>
        <w:trPr>
          <w:cantSplit/>
        </w:trPr>
        <w:tc>
          <w:tcPr>
            <w:tcW w:type="dxa" w:w="1606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幾何裕度</w:t>
            </w:r>
          </w:p>
        </w:tc>
        <w:tc>
          <w:tcPr>
            <w:tcW w:type="dxa" w:w="294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tip-to-tip、enclosure、圖形合法性</w:t>
            </w:r>
          </w:p>
        </w:tc>
        <w:tc>
          <w:tcPr>
            <w:tcW w:type="dxa" w:w="214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DRC 與式 1</w:t>
            </w:r>
          </w:p>
        </w:tc>
        <w:tc>
          <w:tcPr>
            <w:tcW w:type="dxa" w:w="294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硬門檻；額外裕度作選擇性比較</w:t>
            </w:r>
          </w:p>
        </w:tc>
      </w:tr>
    </w:tbl>
    <w:p>
      <w:pPr>
        <w:spacing w:line="240" w:lineRule="auto" w:before="0" w:after="60"/>
        <w:widowControl/>
      </w:pPr>
    </w:p>
    <w:p>
      <w:pPr>
        <w:spacing w:line="240" w:lineRule="auto" w:before="0" w:after="60"/>
        <w:jc w:val="both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完成精確驗證的候選須先通過面積、功耗、DRC、LVS 與時序門檻，再以 SNDR 為主要效能指標、SFDR 為獨立限制或 Pareto 比較項。ENOB 由標準正弦測試下的 SNDR 推得（式 3），避免兩者在獎勵中重複加權。</w:t>
      </w:r>
    </w:p>
    <w:p>
      <w:pPr>
        <w:spacing w:line="240" w:lineRule="auto" w:before="0" w:after="60"/>
        <w:jc w:val="center"/>
        <w:widowControl/>
      </w:pP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color w:val="000000"/>
        </w:rPr>
        <w:t xml:space="preserve">ENOB = 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color w:val="000000"/>
        </w:rPr>
        <w:t xml:space="preserve">(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color w:val="000000"/>
        </w:rPr>
        <w:t xml:space="preserve">SNDR − 1.76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color w:val="000000"/>
        </w:rPr>
        <w:t xml:space="preserve">)／(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color w:val="000000"/>
        </w:rPr>
        <w:t xml:space="preserve">6.02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color w:val="000000"/>
        </w:rPr>
        <w:t xml:space="preserve">)</w:t>
      </w: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　　（3）</w:t>
      </w:r>
    </w:p>
    <w:p>
      <w:pPr>
        <w:spacing w:line="240" w:lineRule="auto" w:before="0" w:after="60"/>
        <w:jc w:val="both"/>
        <w:widowControl/>
      </w:pPr>
      <w:r>
        <w:rPr>
          <w:rFonts w:ascii="Times New Roman" w:hAnsi="Times New Roman" w:eastAsia="Noto Serif CJK TC" w:cs="Times New Roman"/>
          <w:b/>
          <w:bCs/>
          <w:sz w:val="24"/>
          <w:szCs w:val="24"/>
          <w:color w:val="000000"/>
        </w:rPr>
        <w:t xml:space="preserve">ECO 策略。</w:t>
      </w: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 依敏感網路耦合、差動寄生誤差及局部擾動對效能的影響排序巨集，對 CDAC 與比較器間距、時脈路徑隔離或參考接點位置提出小幅調整，並可切換已驗證的模板變體。每次修改記錄原因、受影響網路、預測與實測改善及工具成本；未改善或失去可行性即回復上一版本。強化學習（PPO）只在核心里程碑完成後作為局部 ECO 延伸，其訓練成本計入預算；RL 是否優於 SA 以相同評估預算公平比較。</w:t>
      </w:r>
    </w:p>
    <w:p>
      <w:pPr>
        <w:pStyle w:val="Heading3"/>
        <w:spacing w:line="240" w:lineRule="auto" w:before="120" w:after="60"/>
        <w:keepNext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5. 工作項目四：寄生預測與不確定性回饋（M7–M20）</w:t>
      </w:r>
    </w:p>
    <w:p>
      <w:pPr>
        <w:spacing w:line="240" w:lineRule="auto" w:before="0" w:after="60"/>
        <w:jc w:val="both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建立 placement-only、粗略路由及完整 PEX 資料；SE 結果另標為篩選資料，不當成完整 ADC 真值。輸入特徵包含 variant_id、接點／via 配置、pin 出口、幾何裕度、dummy 與鄰接特徵，以及層別、平行段、線寬、間距與屏蔽；只知巨集距離時提高不確定性。</w:t>
      </w:r>
    </w:p>
    <w:p>
      <w:pPr>
        <w:spacing w:line="240" w:lineRule="auto" w:before="120" w:after="60"/>
        <w:keepNext/>
        <w:widowControl/>
      </w:pPr>
      <w:r>
        <w:rPr>
          <w:rFonts w:ascii="Times New Roman" w:hAnsi="Times New Roman" w:eastAsia="Noto Serif CJK TC" w:cs="Times New Roman"/>
          <w:b/>
          <w:bCs/>
          <w:color w:val="000000"/>
          <w:sz w:val="24"/>
          <w:szCs w:val="24"/>
        </w:rPr>
        <w:t xml:space="preserve">表 11　寄生與效能資料集之特徵與標籤</w:t>
      </w:r>
    </w:p>
    <w:tbl>
      <w:tblPr>
        <w:tblW w:type="dxa" w:w="9638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CellMar>
          <w:top w:w="45" w:type="dxa"/>
          <w:bottom w:w="45" w:type="dxa"/>
          <w:left w:w="65" w:type="dxa"/>
          <w:right w:w="65" w:type="dxa"/>
        </w:tblCellMar>
      </w:tblPr>
      <w:tblGrid>
        <w:gridCol w:w="2295"/>
        <w:gridCol w:w="3672"/>
        <w:gridCol w:w="3671"/>
      </w:tblGrid>
      <w:tr>
        <w:trPr>
          <w:cantSplit/>
          <w:tblHeader/>
        </w:trPr>
        <w:tc>
          <w:tcPr>
            <w:tcW w:type="dxa" w:w="2295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特徵或標籤</w:t>
            </w:r>
          </w:p>
        </w:tc>
        <w:tc>
          <w:tcPr>
            <w:tcW w:type="dxa" w:w="3672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來源</w:t>
            </w:r>
          </w:p>
        </w:tc>
        <w:tc>
          <w:tcPr>
            <w:tcW w:type="dxa" w:w="3671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2295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差動輸入 R 與 C</w:t>
            </w:r>
          </w:p>
        </w:tc>
        <w:tc>
          <w:tcPr>
            <w:tcW w:type="dxa" w:w="36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完整 PEX，含巨集內外部寄生</w:t>
            </w:r>
          </w:p>
        </w:tc>
        <w:tc>
          <w:tcPr>
            <w:tcW w:type="dxa" w:w="367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估計差動不匹配與輸入負載</w:t>
            </w:r>
          </w:p>
        </w:tc>
      </w:tr>
      <w:tr>
        <w:trPr>
          <w:cantSplit/>
        </w:trPr>
        <w:tc>
          <w:tcPr>
            <w:tcW w:type="dxa" w:w="2295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CLK 至類比</w:t>
            </w:r>
          </w:p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節點耦合</w:t>
            </w:r>
          </w:p>
        </w:tc>
        <w:tc>
          <w:tcPr>
            <w:tcW w:type="dxa" w:w="3672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耦合萃取與指定切換情境</w:t>
            </w:r>
          </w:p>
        </w:tc>
        <w:tc>
          <w:tcPr>
            <w:tcW w:type="dxa" w:w="3671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分析時脈擾動與效能退化</w:t>
            </w:r>
          </w:p>
        </w:tc>
      </w:tr>
      <w:tr>
        <w:trPr>
          <w:cantSplit/>
        </w:trPr>
        <w:tc>
          <w:tcPr>
            <w:tcW w:type="dxa" w:w="2295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VREF 路徑 R 與瞬態偏移</w:t>
            </w:r>
          </w:p>
        </w:tc>
        <w:tc>
          <w:tcPr>
            <w:tcW w:type="dxa" w:w="36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RC 萃取及參考網路模擬</w:t>
            </w:r>
          </w:p>
        </w:tc>
        <w:tc>
          <w:tcPr>
            <w:tcW w:type="dxa" w:w="367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評估 CDAC 切換與參考恢復</w:t>
            </w:r>
          </w:p>
        </w:tc>
      </w:tr>
      <w:tr>
        <w:trPr>
          <w:cantSplit/>
        </w:trPr>
        <w:tc>
          <w:tcPr>
            <w:tcW w:type="dxa" w:w="2295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安定時間與比較器偏移</w:t>
            </w:r>
          </w:p>
        </w:tc>
        <w:tc>
          <w:tcPr>
            <w:tcW w:type="dxa" w:w="3672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固定測試平台電路模擬</w:t>
            </w:r>
          </w:p>
        </w:tc>
        <w:tc>
          <w:tcPr>
            <w:tcW w:type="dxa" w:w="3671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連接寄生與轉換誤差</w:t>
            </w:r>
          </w:p>
        </w:tc>
      </w:tr>
      <w:tr>
        <w:trPr>
          <w:cantSplit/>
        </w:trPr>
        <w:tc>
          <w:tcPr>
            <w:tcW w:type="dxa" w:w="2295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SNDR 及 SFDR</w:t>
            </w:r>
          </w:p>
        </w:tc>
        <w:tc>
          <w:tcPr>
            <w:tcW w:type="dxa" w:w="36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萃取後 ADC 輸出，FFT 設定一致</w:t>
            </w:r>
          </w:p>
        </w:tc>
        <w:tc>
          <w:tcPr>
            <w:tcW w:type="dxa" w:w="367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訓練效能預測與最終驗證</w:t>
            </w:r>
          </w:p>
        </w:tc>
      </w:tr>
    </w:tbl>
    <w:p>
      <w:pPr>
        <w:spacing w:line="240" w:lineRule="auto" w:before="0" w:after="60"/>
        <w:widowControl/>
      </w:pPr>
    </w:p>
    <w:p>
      <w:pPr>
        <w:spacing w:line="240" w:lineRule="auto" w:before="0" w:after="60"/>
        <w:jc w:val="both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初始以簡化 RC 及樹模型作基準，資料足夠再評估圖模型（如 ParaGraph [19]）。寄生與效能模型分開，區分「幾何→寄生」與「寄生→效能」的誤差。敏感電容誤差以式 4 計算，</w:t>
      </w:r>
      <w:r>
        <w:rPr>
          <w:rFonts w:ascii="Times New Roman" w:hAnsi="Times New Roman" w:eastAsia="Noto Serif CJK TC" w:cs="Times New Roman"/>
          <w:i/>
          <w:iCs/>
          <w:sz w:val="24"/>
          <w:szCs w:val="24"/>
          <w:color w:val="000000"/>
        </w:rPr>
        <w:t xml:space="preserve">C</w:t>
      </w:r>
      <w:r>
        <w:rPr>
          <w:rFonts w:ascii="Times New Roman" w:hAnsi="Times New Roman" w:eastAsia="Noto Serif CJK TC" w:cs="Times New Roman"/>
          <w:vertAlign w:val="subscript"/>
          <w:sz w:val="24"/>
          <w:szCs w:val="24"/>
          <w:color w:val="000000"/>
        </w:rPr>
        <w:t xml:space="preserve">floor</w:t>
      </w: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 於保留測試前依 PDK 尺度固定；以模型集成或交叉驗證殘差估計不確定性並量測預測區間涵蓋率。</w:t>
      </w:r>
    </w:p>
    <w:p>
      <w:pPr>
        <w:spacing w:line="240" w:lineRule="auto" w:before="0" w:after="60"/>
        <w:jc w:val="center"/>
        <w:widowControl/>
      </w:pP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color w:val="000000"/>
        </w:rPr>
        <w:t xml:space="preserve">NMAE = mean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color w:val="000000"/>
        </w:rPr>
        <w:t xml:space="preserve">( |</w:t>
      </w:r>
      <w:r>
        <w:rPr>
          <w:rFonts w:ascii="Times New Roman" w:hAnsi="Times New Roman" w:eastAsia="Noto Serif CJK TC" w:cs="Times New Roman"/>
          <w:i/>
          <w:iCs/>
          <w:sz w:val="24"/>
          <w:szCs w:val="24"/>
          <w:color w:val="000000"/>
        </w:rPr>
        <w:t xml:space="preserve">C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vertAlign w:val="subscript"/>
          <w:color w:val="000000"/>
        </w:rPr>
        <w:t xml:space="preserve">pred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color w:val="000000"/>
        </w:rPr>
        <w:t xml:space="preserve"> − </w:t>
      </w:r>
      <w:r>
        <w:rPr>
          <w:rFonts w:ascii="Times New Roman" w:hAnsi="Times New Roman" w:eastAsia="Noto Serif CJK TC" w:cs="Times New Roman"/>
          <w:i/>
          <w:iCs/>
          <w:sz w:val="24"/>
          <w:szCs w:val="24"/>
          <w:color w:val="000000"/>
        </w:rPr>
        <w:t xml:space="preserve">C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vertAlign w:val="subscript"/>
          <w:color w:val="000000"/>
        </w:rPr>
        <w:t xml:space="preserve">full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color w:val="000000"/>
        </w:rPr>
        <w:t xml:space="preserve">| / max(|</w:t>
      </w:r>
      <w:r>
        <w:rPr>
          <w:rFonts w:ascii="Times New Roman" w:hAnsi="Times New Roman" w:eastAsia="Noto Serif CJK TC" w:cs="Times New Roman"/>
          <w:i/>
          <w:iCs/>
          <w:sz w:val="24"/>
          <w:szCs w:val="24"/>
          <w:color w:val="000000"/>
        </w:rPr>
        <w:t xml:space="preserve">C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vertAlign w:val="subscript"/>
          <w:color w:val="000000"/>
        </w:rPr>
        <w:t xml:space="preserve">full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color w:val="000000"/>
        </w:rPr>
        <w:t xml:space="preserve">|, </w:t>
      </w:r>
      <w:r>
        <w:rPr>
          <w:rFonts w:ascii="Times New Roman" w:hAnsi="Times New Roman" w:eastAsia="Noto Serif CJK TC" w:cs="Times New Roman"/>
          <w:i/>
          <w:iCs/>
          <w:sz w:val="24"/>
          <w:szCs w:val="24"/>
          <w:color w:val="000000"/>
        </w:rPr>
        <w:t xml:space="preserve">C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vertAlign w:val="subscript"/>
          <w:color w:val="000000"/>
        </w:rPr>
        <w:t xml:space="preserve">floor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color w:val="000000"/>
        </w:rPr>
        <w:t xml:space="preserve">) )</w:t>
      </w: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　　（4）</w:t>
      </w:r>
    </w:p>
    <w:p>
      <w:pPr>
        <w:spacing w:line="240" w:lineRule="auto" w:before="0" w:after="60"/>
        <w:jc w:val="both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每輪優先驗證預測較佳且不確定性高的候選，並保留少量隨機候選以降低取樣偏差。無法完成繞線或模擬的候選記為失敗資料，不在訓練與效率統計中刪除。資料依電路變體分組切分，同一電路的近似位置或同一萃取網表不得同時出現在訓練與測試集。</w:t>
      </w:r>
    </w:p>
    <w:p>
      <w:pPr>
        <w:pStyle w:val="Heading3"/>
        <w:spacing w:line="240" w:lineRule="auto" w:before="120" w:after="60"/>
        <w:keepNext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6. 工作項目五：繞線、完整驗證與轉換時序（M10–M24）</w:t>
      </w:r>
    </w:p>
    <w:p>
      <w:pPr>
        <w:spacing w:line="240" w:lineRule="auto" w:before="0" w:after="60"/>
        <w:jc w:val="both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依 PDK 各層允許方向、pitch、過孔與 pin 可達性建立固定路由策略：差動輸入保持相近層別與過孔，VREF 兼顧負載、恢復與對稱，時脈避開敏感區；屏蔽會增加對地電容，需萃取與模擬比較。研究版圖以指定 PDK 執行 DRC 與 LVS，記錄規則版本、完整報告與 waiver 依據；幾何對稱或 AI 審查不能替代 LVS。PEX 保留敏感端點的耦合與分佈 RC；巨集內外寄生以一致端點與階層規則合併，避免重複計入。</w:t>
      </w:r>
    </w:p>
    <w:p>
      <w:pPr>
        <w:spacing w:line="240" w:lineRule="auto" w:before="0" w:after="60"/>
        <w:jc w:val="both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逐位轉換需確認 CDAC 安定、比較器判定、邏輯控制與保留時間均落在可用相位內（式 5）；非同步控制依實際相位相依關係建立時序條件，不只檢查數位 slack。</w:t>
      </w:r>
    </w:p>
    <w:p>
      <w:pPr>
        <w:spacing w:line="240" w:lineRule="auto" w:before="0" w:after="60"/>
        <w:jc w:val="center"/>
        <w:widowControl/>
      </w:pPr>
      <w:r>
        <w:rPr>
          <w:rFonts w:ascii="Times New Roman" w:hAnsi="Times New Roman" w:eastAsia="Noto Serif CJK TC" w:cs="Times New Roman"/>
          <w:i/>
          <w:iCs/>
          <w:sz w:val="24"/>
          <w:szCs w:val="24"/>
          <w:color w:val="000000"/>
        </w:rPr>
        <w:t xml:space="preserve">T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vertAlign w:val="subscript"/>
          <w:color w:val="000000"/>
        </w:rPr>
        <w:t xml:space="preserve">DAC,settle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color w:val="000000"/>
        </w:rPr>
        <w:t xml:space="preserve"> + </w:t>
      </w:r>
      <w:r>
        <w:rPr>
          <w:rFonts w:ascii="Times New Roman" w:hAnsi="Times New Roman" w:eastAsia="Noto Serif CJK TC" w:cs="Times New Roman"/>
          <w:i/>
          <w:iCs/>
          <w:sz w:val="24"/>
          <w:szCs w:val="24"/>
          <w:color w:val="000000"/>
        </w:rPr>
        <w:t xml:space="preserve">T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vertAlign w:val="subscript"/>
          <w:color w:val="000000"/>
        </w:rPr>
        <w:t xml:space="preserve">comparator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color w:val="000000"/>
        </w:rPr>
        <w:t xml:space="preserve"> + </w:t>
      </w:r>
      <w:r>
        <w:rPr>
          <w:rFonts w:ascii="Times New Roman" w:hAnsi="Times New Roman" w:eastAsia="Noto Serif CJK TC" w:cs="Times New Roman"/>
          <w:i/>
          <w:iCs/>
          <w:sz w:val="24"/>
          <w:szCs w:val="24"/>
          <w:color w:val="000000"/>
        </w:rPr>
        <w:t xml:space="preserve">T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vertAlign w:val="subscript"/>
          <w:color w:val="000000"/>
        </w:rPr>
        <w:t xml:space="preserve">logic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color w:val="000000"/>
        </w:rPr>
        <w:t xml:space="preserve"> + </w:t>
      </w:r>
      <w:r>
        <w:rPr>
          <w:rFonts w:ascii="Times New Roman" w:hAnsi="Times New Roman" w:eastAsia="Noto Serif CJK TC" w:cs="Times New Roman"/>
          <w:i/>
          <w:iCs/>
          <w:sz w:val="24"/>
          <w:szCs w:val="24"/>
          <w:color w:val="000000"/>
        </w:rPr>
        <w:t xml:space="preserve">T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vertAlign w:val="subscript"/>
          <w:color w:val="000000"/>
        </w:rPr>
        <w:t xml:space="preserve">guard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color w:val="000000"/>
        </w:rPr>
        <w:t xml:space="preserve"> ≤ </w:t>
      </w:r>
      <w:r>
        <w:rPr>
          <w:rFonts w:ascii="Times New Roman" w:hAnsi="Times New Roman" w:eastAsia="Noto Serif CJK TC" w:cs="Times New Roman"/>
          <w:i/>
          <w:iCs/>
          <w:sz w:val="24"/>
          <w:szCs w:val="24"/>
          <w:color w:val="000000"/>
        </w:rPr>
        <w:t xml:space="preserve">T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vertAlign w:val="subscript"/>
          <w:color w:val="000000"/>
        </w:rPr>
        <w:t xml:space="preserve">bit,available</w:t>
      </w: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　　（5）</w:t>
      </w:r>
    </w:p>
    <w:p>
      <w:pPr>
        <w:spacing w:line="240" w:lineRule="auto" w:before="0" w:after="60"/>
        <w:jc w:val="both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動態模擬使用固定記錄長度、穩態丟棄區段與頻譜規則，包含低頻與接近 Nyquist 至少三個輸入頻率，優先採相干取樣，同步量測 SNDR、SFDR、ENOB、功耗與參考擾動並保留輸出碼與腳本。PVT 與 RC corner 至少涵蓋名目及主要慢／快、電壓與溫度邊界；關鍵匹配子電路 Monte Carlo 目標 100 次，完整 ADC 先 30 次試跑再依運算成本提升至 100 次；基準與方法共用種子，規格率附信賴區間。INL／DNL 採固定 ramp 或 code-density 程序量測，不由 SNDR 推定。</w:t>
      </w:r>
    </w:p>
    <w:p>
      <w:pPr>
        <w:pStyle w:val="Heading3"/>
        <w:spacing w:line="240" w:lineRule="auto" w:before="120" w:after="60"/>
        <w:keepNext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7. 工作項目六：4 nm LVS 選擇性萃取（M4–M18）</w:t>
      </w:r>
    </w:p>
    <w:p>
      <w:pPr>
        <w:spacing w:line="240" w:lineRule="auto" w:before="0" w:after="60"/>
        <w:jc w:val="both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依 Lee 等人的 SE 概念 [9]，從完整 4 nm GDS 與網表建立必要元件清單：選取單元保留全部元件；未選區保留全部非 FET 元件及完整分佈／耦合 RC，再執行正常 PEX。LVS rule deck 用於選擇元件，不取代 PEX。</w:t>
      </w:r>
    </w:p>
    <w:p>
      <w:pPr>
        <w:spacing w:line="240" w:lineRule="auto" w:before="120" w:after="60"/>
        <w:keepNext/>
        <w:widowControl/>
      </w:pPr>
      <w:r>
        <w:rPr>
          <w:rFonts w:ascii="Times New Roman" w:hAnsi="Times New Roman" w:eastAsia="Noto Serif CJK TC" w:cs="Times New Roman"/>
          <w:b/>
          <w:bCs/>
          <w:color w:val="000000"/>
          <w:sz w:val="24"/>
          <w:szCs w:val="24"/>
        </w:rPr>
        <w:t xml:space="preserve">表 12　SE 實作步驟與檢查點</w:t>
      </w:r>
    </w:p>
    <w:tbl>
      <w:tblPr>
        <w:tblW w:type="dxa" w:w="9638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CellMar>
          <w:top w:w="45" w:type="dxa"/>
          <w:bottom w:w="45" w:type="dxa"/>
          <w:left w:w="65" w:type="dxa"/>
          <w:right w:w="65" w:type="dxa"/>
        </w:tblCellMar>
      </w:tblPr>
      <w:tblGrid>
        <w:gridCol w:w="2126"/>
        <w:gridCol w:w="3969"/>
        <w:gridCol w:w="3543"/>
      </w:tblGrid>
      <w:tr>
        <w:trPr>
          <w:cantSplit/>
          <w:tblHeader/>
        </w:trPr>
        <w:tc>
          <w:tcPr>
            <w:tcW w:type="dxa" w:w="2126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步驟</w:t>
            </w:r>
          </w:p>
        </w:tc>
        <w:tc>
          <w:tcPr>
            <w:tcW w:type="dxa" w:w="3969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研究實作</w:t>
            </w:r>
          </w:p>
        </w:tc>
        <w:tc>
          <w:tcPr>
            <w:tcW w:type="dxa" w:w="3543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檢查點</w:t>
            </w:r>
          </w:p>
        </w:tc>
      </w:tr>
      <w:tr>
        <w:trPr>
          <w:cantSplit/>
        </w:trPr>
        <w:tc>
          <w:tcPr>
            <w:tcW w:type="dxa" w:w="2126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依量測目的選取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比較器判定、取樣／CDAC 安定、VREF 恢復分別建立清單</w:t>
            </w:r>
          </w:p>
        </w:tc>
        <w:tc>
          <w:tcPr>
            <w:tcW w:type="dxa" w:w="35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保留偏壓、回授、切換及負載相關器件</w:t>
            </w:r>
          </w:p>
        </w:tc>
      </w:tr>
      <w:tr>
        <w:trPr>
          <w:cantSplit/>
        </w:trPr>
        <w:tc>
          <w:tcPr>
            <w:tcW w:type="dxa" w:w="2126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功能與負載閉合</w:t>
            </w:r>
          </w:p>
        </w:tc>
        <w:tc>
          <w:tcPr>
            <w:tcW w:type="dxa" w:w="3969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由網表追蹤至供應、控制與耦合端；逐層擴充選區</w:t>
            </w:r>
          </w:p>
        </w:tc>
        <w:tc>
          <w:tcPr>
            <w:tcW w:type="dxa" w:w="3543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被刪器件對 DC、動態負載及注入的影響</w:t>
            </w:r>
          </w:p>
        </w:tc>
      </w:tr>
      <w:tr>
        <w:trPr>
          <w:cantSplit/>
        </w:trPr>
        <w:tc>
          <w:tcPr>
            <w:tcW w:type="dxa" w:w="2126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獨立 SE 設定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原簽核 deck 不變；可修改時另建 wrapper／研究 runset</w:t>
            </w:r>
          </w:p>
        </w:tc>
        <w:tc>
          <w:tcPr>
            <w:tcW w:type="dxa" w:w="35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保存 hash、選取 instance 及被移除 FET 清單</w:t>
            </w:r>
          </w:p>
        </w:tc>
      </w:tr>
      <w:tr>
        <w:trPr>
          <w:cantSplit/>
        </w:trPr>
        <w:tc>
          <w:tcPr>
            <w:tcW w:type="dxa" w:w="2126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完整寄生</w:t>
            </w:r>
          </w:p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與被動元件</w:t>
            </w:r>
          </w:p>
        </w:tc>
        <w:tc>
          <w:tcPr>
            <w:tcW w:type="dxa" w:w="3969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保存所有區域配線 RC、電源／地、耦合與必要 decap</w:t>
            </w:r>
          </w:p>
        </w:tc>
        <w:tc>
          <w:tcPr>
            <w:tcW w:type="dxa" w:w="3543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網路、耦合對、元件及端點對照</w:t>
            </w:r>
          </w:p>
        </w:tc>
      </w:tr>
      <w:tr>
        <w:trPr>
          <w:cantSplit/>
        </w:trPr>
        <w:tc>
          <w:tcPr>
            <w:tcW w:type="dxa" w:w="2126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正常 PEX 與模擬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輸出可模擬網表；使用與 full 一致的刺激與條件</w:t>
            </w:r>
          </w:p>
        </w:tc>
        <w:tc>
          <w:tcPr>
            <w:tcW w:type="dxa" w:w="35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時間、記憶體、波形與誤判記錄</w:t>
            </w:r>
          </w:p>
        </w:tc>
      </w:tr>
    </w:tbl>
    <w:p>
      <w:pPr>
        <w:spacing w:line="240" w:lineRule="auto" w:before="0" w:after="60"/>
        <w:widowControl/>
      </w:pPr>
    </w:p>
    <w:p>
      <w:pPr>
        <w:spacing w:line="240" w:lineRule="auto" w:before="0" w:after="60"/>
        <w:jc w:val="both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SAR ADC 的取樣開關、比較器、CDAC 切換、參考緩衝與類比偏壓原則上全部保留；以 FET 建模的 MOS 電容或 decap 不可因名稱或區域刪除。完整配線 RC 不包含被刪 FET 的端點電容與非線性負載，因此必須保留影響負載的器件或使用經 full 校正的邊界模型。若授權 deck 不可修改，改用工具支援的 instance filtering 或由完整 PEX 網表作可追溯選取，另標為替代實作。</w:t>
      </w:r>
      <w:r>
        <w:rPr>
          <w:rFonts w:ascii="Times New Roman" w:hAnsi="Times New Roman" w:eastAsia="Noto Serif CJK TC" w:cs="Times New Roman"/>
          <w:b/>
          <w:bCs/>
          <w:sz w:val="24"/>
          <w:szCs w:val="24"/>
          <w:color w:val="000000"/>
        </w:rPr>
        <w:t xml:space="preserve">本計畫的延伸研究</w:t>
      </w: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是由 Parasitic 代理依敏感網路寄生圖與成本貢獻建議保留清單，並以完整 SPF 抽查校正；此分支與原 SE 結果分開報告。</w:t>
      </w:r>
    </w:p>
    <w:p>
      <w:pPr>
        <w:spacing w:line="240" w:lineRule="auto" w:before="120" w:after="60"/>
        <w:keepNext/>
        <w:widowControl/>
      </w:pPr>
      <w:r>
        <w:rPr>
          <w:rFonts w:ascii="Times New Roman" w:hAnsi="Times New Roman" w:eastAsia="Noto Serif CJK TC" w:cs="Times New Roman"/>
          <w:b/>
          <w:bCs/>
          <w:color w:val="000000"/>
          <w:sz w:val="24"/>
          <w:szCs w:val="24"/>
        </w:rPr>
        <w:t xml:space="preserve">表 13　萃取模式與研究判定</w:t>
      </w:r>
    </w:p>
    <w:tbl>
      <w:tblPr>
        <w:tblW w:type="dxa" w:w="9638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CellMar>
          <w:top w:w="45" w:type="dxa"/>
          <w:bottom w:w="45" w:type="dxa"/>
          <w:left w:w="65" w:type="dxa"/>
          <w:right w:w="65" w:type="dxa"/>
        </w:tblCellMar>
      </w:tblPr>
      <w:tblGrid>
        <w:gridCol w:w="1843"/>
        <w:gridCol w:w="4252"/>
        <w:gridCol w:w="3543"/>
      </w:tblGrid>
      <w:tr>
        <w:trPr>
          <w:cantSplit/>
          <w:tblHeader/>
        </w:trPr>
        <w:tc>
          <w:tcPr>
            <w:tcW w:type="dxa" w:w="1843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模式</w:t>
            </w:r>
          </w:p>
        </w:tc>
        <w:tc>
          <w:tcPr>
            <w:tcW w:type="dxa" w:w="4252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保留內容與用途</w:t>
            </w:r>
          </w:p>
        </w:tc>
        <w:tc>
          <w:tcPr>
            <w:tcW w:type="dxa" w:w="3543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研究判定</w:t>
            </w:r>
          </w:p>
        </w:tc>
      </w:tr>
      <w:tr>
        <w:trPr>
          <w:cantSplit/>
        </w:trPr>
        <w:tc>
          <w:tcPr>
            <w:tcW w:type="dxa" w:w="1843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S0 完整萃取</w:t>
            </w:r>
          </w:p>
        </w:tc>
        <w:tc>
          <w:tcPr>
            <w:tcW w:type="dxa" w:w="42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全部元件與完整 RC；不啟用 RC reduction</w:t>
            </w:r>
          </w:p>
        </w:tc>
        <w:tc>
          <w:tcPr>
            <w:tcW w:type="dxa" w:w="35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精度、電路效能與最終驗收參考</w:t>
            </w:r>
          </w:p>
        </w:tc>
      </w:tr>
      <w:tr>
        <w:trPr>
          <w:cantSplit/>
        </w:trPr>
        <w:tc>
          <w:tcPr>
            <w:tcW w:type="dxa" w:w="1843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S1 skip-cell</w:t>
            </w:r>
          </w:p>
        </w:tc>
        <w:tc>
          <w:tcPr>
            <w:tcW w:type="dxa" w:w="4252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使用工具實際選項；記錄被省略內容</w:t>
            </w:r>
          </w:p>
        </w:tc>
        <w:tc>
          <w:tcPr>
            <w:tcW w:type="dxa" w:w="3543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只比較速度與誤差，不作驗收</w:t>
            </w:r>
          </w:p>
        </w:tc>
      </w:tr>
      <w:tr>
        <w:trPr>
          <w:cantSplit/>
        </w:trPr>
        <w:tc>
          <w:tcPr>
            <w:tcW w:type="dxa" w:w="1843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S2 選擇性萃取</w:t>
            </w:r>
          </w:p>
        </w:tc>
        <w:tc>
          <w:tcPr>
            <w:tcW w:type="dxa" w:w="42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必要 FET、全部非 FET、全區域寄生 RC</w:t>
            </w:r>
          </w:p>
        </w:tc>
        <w:tc>
          <w:tcPr>
            <w:tcW w:type="dxa" w:w="35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檢驗文獻方法於 ADC 子電路的適用性</w:t>
            </w:r>
          </w:p>
        </w:tc>
      </w:tr>
      <w:tr>
        <w:trPr>
          <w:cantSplit/>
        </w:trPr>
        <w:tc>
          <w:tcPr>
            <w:tcW w:type="dxa" w:w="1843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S3 邊界模型</w:t>
            </w:r>
          </w:p>
        </w:tc>
        <w:tc>
          <w:tcPr>
            <w:tcW w:type="dxa" w:w="4252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S2 加經校正的非選區負載／激擾模型</w:t>
            </w:r>
          </w:p>
        </w:tc>
        <w:tc>
          <w:tcPr>
            <w:tcW w:type="dxa" w:w="3543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獨立研究分支，不與 S2 結果合併分析</w:t>
            </w:r>
          </w:p>
        </w:tc>
      </w:tr>
    </w:tbl>
    <w:p>
      <w:pPr>
        <w:spacing w:line="240" w:lineRule="auto" w:before="0" w:after="60"/>
        <w:widowControl/>
      </w:pPr>
    </w:p>
    <w:p>
      <w:pPr>
        <w:spacing w:line="240" w:lineRule="auto" w:before="120" w:after="60"/>
        <w:keepNext/>
        <w:widowControl/>
      </w:pPr>
      <w:r>
        <w:rPr>
          <w:rFonts w:ascii="Times New Roman" w:hAnsi="Times New Roman" w:eastAsia="Noto Serif CJK TC" w:cs="Times New Roman"/>
          <w:b/>
          <w:bCs/>
          <w:color w:val="000000"/>
          <w:sz w:val="24"/>
          <w:szCs w:val="24"/>
        </w:rPr>
        <w:t xml:space="preserve">表 14　SE 預設篩選門檻（本計畫訂定，非文獻既有結果）</w:t>
      </w:r>
    </w:p>
    <w:tbl>
      <w:tblPr>
        <w:tblW w:type="dxa" w:w="9638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CellMar>
          <w:top w:w="45" w:type="dxa"/>
          <w:bottom w:w="45" w:type="dxa"/>
          <w:left w:w="65" w:type="dxa"/>
          <w:right w:w="65" w:type="dxa"/>
        </w:tblCellMar>
      </w:tblPr>
      <w:tblGrid>
        <w:gridCol w:w="3685"/>
        <w:gridCol w:w="2976"/>
        <w:gridCol w:w="2977"/>
      </w:tblGrid>
      <w:tr>
        <w:trPr>
          <w:cantSplit/>
          <w:tblHeader/>
        </w:trPr>
        <w:tc>
          <w:tcPr>
            <w:tcW w:type="dxa" w:w="3685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指標</w:t>
            </w:r>
          </w:p>
        </w:tc>
        <w:tc>
          <w:tcPr>
            <w:tcW w:type="dxa" w:w="2976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子電路層級</w:t>
            </w:r>
          </w:p>
        </w:tc>
        <w:tc>
          <w:tcPr>
            <w:tcW w:type="dxa" w:w="2977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ADC 層級篩選</w:t>
            </w:r>
          </w:p>
        </w:tc>
      </w:tr>
      <w:tr>
        <w:trPr>
          <w:cantSplit/>
        </w:trPr>
        <w:tc>
          <w:tcPr>
            <w:tcW w:type="dxa" w:w="368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判定／安定時間相對差異</w:t>
            </w:r>
          </w:p>
        </w:tc>
        <w:tc>
          <w:tcPr>
            <w:tcW w:type="dxa" w:w="297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≤ 5%</w:t>
            </w:r>
          </w:p>
        </w:tc>
        <w:tc>
          <w:tcPr>
            <w:tcW w:type="dxa" w:w="297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85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位元決策時刻 CDAC 頂板等效電壓差</w:t>
            </w:r>
          </w:p>
        </w:tc>
        <w:tc>
          <w:tcPr>
            <w:tcW w:type="dxa" w:w="2976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≤ 0.1 LSB</w:t>
            </w:r>
          </w:p>
        </w:tc>
        <w:tc>
          <w:tcPr>
            <w:tcW w:type="dxa" w:w="2977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8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|ΔSNDR|／|ΔSFDR|</w:t>
            </w:r>
          </w:p>
        </w:tc>
        <w:tc>
          <w:tcPr>
            <w:tcW w:type="dxa" w:w="297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—</w:t>
            </w:r>
          </w:p>
        </w:tc>
        <w:tc>
          <w:tcPr>
            <w:tcW w:type="dxa" w:w="297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≤ 0.25 dB／≤ 0.5 dB</w:t>
            </w:r>
          </w:p>
        </w:tc>
      </w:tr>
      <w:tr>
        <w:trPr>
          <w:cantSplit/>
        </w:trPr>
        <w:tc>
          <w:tcPr>
            <w:tcW w:type="dxa" w:w="3685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INL、DNL 曲線最大差異</w:t>
            </w:r>
          </w:p>
        </w:tc>
        <w:tc>
          <w:tcPr>
            <w:tcW w:type="dxa" w:w="2976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—</w:t>
            </w:r>
          </w:p>
        </w:tc>
        <w:tc>
          <w:tcPr>
            <w:tcW w:type="dxa" w:w="2977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各 ≤ 0.2 LSB</w:t>
            </w:r>
          </w:p>
        </w:tc>
      </w:tr>
      <w:tr>
        <w:trPr>
          <w:cantSplit/>
        </w:trPr>
        <w:tc>
          <w:tcPr>
            <w:tcW w:type="dxa" w:w="368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適用子電路模擬中位加速 </w:t>
            </w:r>
            <w:r>
              <w:rPr>
                <w:rFonts w:ascii="Times New Roman" w:hAnsi="Times New Roman" w:eastAsia="Noto Serif CJK TC" w:cs="Times New Roman"/>
                <w:i/>
                <w:iCs/>
                <w:sz w:val="24"/>
                <w:szCs w:val="24"/>
                <w:color w:val="000000"/>
              </w:rPr>
              <w:t xml:space="preserve">S</w:t>
            </w:r>
            <w:r>
              <w:rPr>
                <w:rFonts w:ascii="Times New Roman" w:hAnsi="Times New Roman" w:eastAsia="Noto Serif CJK TC" w:cs="Times New Roman"/>
                <w:sz w:val="24"/>
                <w:szCs w:val="24"/>
                <w:vertAlign w:val="subscript"/>
                <w:color w:val="000000"/>
              </w:rPr>
              <w:t xml:space="preserve">sim</w:t>
            </w: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（式 7）</w:t>
            </w:r>
          </w:p>
        </w:tc>
        <w:tc>
          <w:tcPr>
            <w:tcW w:type="dxa" w:w="297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≥ 2 倍</w:t>
            </w:r>
          </w:p>
        </w:tc>
        <w:tc>
          <w:tcPr>
            <w:tcW w:type="dxa" w:w="297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≥ 2 倍</w:t>
            </w:r>
          </w:p>
        </w:tc>
      </w:tr>
    </w:tbl>
    <w:p>
      <w:pPr>
        <w:spacing w:line="240" w:lineRule="auto" w:before="0" w:after="60"/>
        <w:widowControl/>
      </w:pPr>
    </w:p>
    <w:p>
      <w:pPr>
        <w:spacing w:line="240" w:lineRule="auto" w:before="0" w:after="60"/>
        <w:jc w:val="both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門檻於校正集試跑後、保留測試前由主持人確認並凍結；LSB 以凍結之 </w:t>
      </w:r>
      <w:r>
        <w:rPr>
          <w:rFonts w:ascii="Times New Roman" w:hAnsi="Times New Roman" w:eastAsia="Noto Serif CJK TC" w:cs="Times New Roman"/>
          <w:i/>
          <w:iCs/>
          <w:sz w:val="24"/>
          <w:szCs w:val="24"/>
          <w:color w:val="000000"/>
        </w:rPr>
        <w:t xml:space="preserve">V</w:t>
      </w:r>
      <w:r>
        <w:rPr>
          <w:rFonts w:ascii="Times New Roman" w:hAnsi="Times New Roman" w:eastAsia="Noto Serif CJK TC" w:cs="Times New Roman"/>
          <w:vertAlign w:val="subscript"/>
          <w:sz w:val="24"/>
          <w:szCs w:val="24"/>
          <w:color w:val="000000"/>
        </w:rPr>
        <w:t xml:space="preserve">FS</w:t>
      </w: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／2</w:t>
      </w:r>
      <w:r>
        <w:rPr>
          <w:rFonts w:ascii="Times New Roman" w:hAnsi="Times New Roman" w:eastAsia="Noto Serif CJK TC" w:cs="Times New Roman"/>
          <w:vertAlign w:val="superscript"/>
          <w:sz w:val="24"/>
          <w:szCs w:val="24"/>
          <w:color w:val="000000"/>
        </w:rPr>
        <w:t xml:space="preserve">N</w:t>
      </w: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 計算。測試涵蓋低頻／近 Nyquist、滿刻度與小訊號、主要 CDAC 切換與代表 PVT，並統計 SE 判合格而 full 不合格的 false pass；零誤判也須報告二項 95% 信賴區間。分開記錄 LVS、PEX、網表處理、模擬與人工時間，另算端到端加速與峰值記憶體。超標、拓樸或 PDK 版本變更、未校正 PVT 或必要器件不明時一律回退 S0；所有最終 ADC 仍以 S0 驗收。</w:t>
      </w:r>
    </w:p>
    <w:p>
      <w:pPr>
        <w:pStyle w:val="Heading3"/>
        <w:spacing w:line="240" w:lineRule="auto" w:before="120" w:after="60"/>
        <w:keepNext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8. 實驗設計與量化驗收</w:t>
      </w:r>
    </w:p>
    <w:p>
      <w:pPr>
        <w:spacing w:line="240" w:lineRule="auto" w:before="0" w:after="60"/>
        <w:jc w:val="both"/>
        <w:widowControl/>
      </w:pPr>
      <w:r>
        <w:rPr>
          <w:rFonts w:ascii="Times New Roman" w:hAnsi="Times New Roman" w:eastAsia="Noto Serif CJK TC" w:cs="Times New Roman"/>
          <w:b/>
          <w:bCs/>
          <w:sz w:val="24"/>
          <w:szCs w:val="24"/>
          <w:color w:val="000000"/>
        </w:rPr>
        <w:t xml:space="preserve">E1 局部佈局技巧因子實驗（M4–M12）。</w:t>
      </w: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 以比較器配對器件、取樣差動介面及 MOM／CDAC 端點三類單元，每類以至多四個二水準因子形成 16 組候選，目標共 48 個合法變體；不合法組合記錄後改以可行子矩陣分析。每個變體採完整 DRC／LVS／PEX，不以 SE 結果評斷局部技巧。</w:t>
      </w:r>
    </w:p>
    <w:p>
      <w:pPr>
        <w:spacing w:line="240" w:lineRule="auto" w:before="120" w:after="60"/>
        <w:keepNext/>
        <w:widowControl/>
      </w:pPr>
      <w:r>
        <w:rPr>
          <w:rFonts w:ascii="Times New Roman" w:hAnsi="Times New Roman" w:eastAsia="Noto Serif CJK TC" w:cs="Times New Roman"/>
          <w:b/>
          <w:bCs/>
          <w:color w:val="000000"/>
          <w:sz w:val="24"/>
          <w:szCs w:val="24"/>
        </w:rPr>
        <w:t xml:space="preserve">表 15　E1 因子與水準</w:t>
      </w:r>
    </w:p>
    <w:tbl>
      <w:tblPr>
        <w:tblW w:type="dxa" w:w="9638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CellMar>
          <w:top w:w="45" w:type="dxa"/>
          <w:bottom w:w="45" w:type="dxa"/>
          <w:left w:w="65" w:type="dxa"/>
          <w:right w:w="65" w:type="dxa"/>
        </w:tblCellMar>
      </w:tblPr>
      <w:tblGrid>
        <w:gridCol w:w="1843"/>
        <w:gridCol w:w="3969"/>
        <w:gridCol w:w="3826"/>
      </w:tblGrid>
      <w:tr>
        <w:trPr>
          <w:cantSplit/>
          <w:tblHeader/>
        </w:trPr>
        <w:tc>
          <w:tcPr>
            <w:tcW w:type="dxa" w:w="1843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因子</w:t>
            </w:r>
          </w:p>
        </w:tc>
        <w:tc>
          <w:tcPr>
            <w:tcW w:type="dxa" w:w="3969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候選水準</w:t>
            </w:r>
          </w:p>
        </w:tc>
        <w:tc>
          <w:tcPr>
            <w:tcW w:type="dxa" w:w="3826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控制與分析</w:t>
            </w:r>
          </w:p>
        </w:tc>
      </w:tr>
      <w:tr>
        <w:trPr>
          <w:cantSplit/>
        </w:trPr>
        <w:tc>
          <w:tcPr>
            <w:tcW w:type="dxa" w:w="1843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A 匹配與環境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基準配置／合法交錯或共同質心與環境對稱</w:t>
            </w:r>
          </w:p>
        </w:tc>
        <w:tc>
          <w:tcPr>
            <w:tcW w:type="dxa" w:w="38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固定總鰭數、模型與匹配對；MOM 另用單元排列</w:t>
            </w:r>
          </w:p>
        </w:tc>
      </w:tr>
      <w:tr>
        <w:trPr>
          <w:cantSplit/>
        </w:trPr>
        <w:tc>
          <w:tcPr>
            <w:tcW w:type="dxa" w:w="1843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B 接點／via</w:t>
            </w:r>
          </w:p>
        </w:tc>
        <w:tc>
          <w:tcPr>
            <w:tcW w:type="dxa" w:w="3969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最小合法／允許之配對冗餘</w:t>
            </w:r>
          </w:p>
        </w:tc>
        <w:tc>
          <w:tcPr>
            <w:tcW w:type="dxa" w:w="3826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固定電路規格；比較 R 下降與 C、面積代價</w:t>
            </w:r>
          </w:p>
        </w:tc>
      </w:tr>
      <w:tr>
        <w:trPr>
          <w:cantSplit/>
        </w:trPr>
        <w:tc>
          <w:tcPr>
            <w:tcW w:type="dxa" w:w="1843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C pin 與</w:t>
            </w:r>
          </w:p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局部出口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基準出口／對稱且可達的合法出口</w:t>
            </w:r>
          </w:p>
        </w:tc>
        <w:tc>
          <w:tcPr>
            <w:tcW w:type="dxa" w:w="38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記錄層序、轉向、線長及外部 pin 位置</w:t>
            </w:r>
          </w:p>
        </w:tc>
      </w:tr>
      <w:tr>
        <w:trPr>
          <w:cantSplit/>
        </w:trPr>
        <w:tc>
          <w:tcPr>
            <w:tcW w:type="dxa" w:w="1843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D 裕度或隔離</w:t>
            </w:r>
          </w:p>
        </w:tc>
        <w:tc>
          <w:tcPr>
            <w:tcW w:type="dxa" w:w="3969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最小合法／增加包覆、線端或隔離裕度</w:t>
            </w:r>
          </w:p>
        </w:tc>
        <w:tc>
          <w:tcPr>
            <w:tcW w:type="dxa" w:w="3826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各單元選一個可控參數，其餘條件保持一致</w:t>
            </w:r>
          </w:p>
        </w:tc>
      </w:tr>
    </w:tbl>
    <w:p>
      <w:pPr>
        <w:spacing w:line="240" w:lineRule="auto" w:before="0" w:after="60"/>
        <w:widowControl/>
      </w:pPr>
    </w:p>
    <w:p>
      <w:pPr>
        <w:spacing w:line="240" w:lineRule="auto" w:before="0" w:after="60"/>
        <w:jc w:val="both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以全因子或可行子矩陣估計主效應與二因子交互作用，不把多項同時改動歸因於單一技巧。差動不匹配以式 6 由完整 PEX 計算，近零值改報絕對差。</w:t>
      </w:r>
    </w:p>
    <w:p>
      <w:pPr>
        <w:spacing w:line="240" w:lineRule="auto" w:before="0" w:after="60"/>
        <w:jc w:val="center"/>
        <w:widowControl/>
      </w:pPr>
      <w:r>
        <w:rPr>
          <w:rFonts w:ascii="Times New Roman" w:hAnsi="Times New Roman" w:eastAsia="Noto Serif CJK TC" w:cs="Times New Roman"/>
          <w:i/>
          <w:iCs/>
          <w:sz w:val="24"/>
          <w:szCs w:val="24"/>
          <w:color w:val="000000"/>
        </w:rPr>
        <w:t xml:space="preserve">ε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vertAlign w:val="subscript"/>
          <w:color w:val="000000"/>
        </w:rPr>
        <w:t xml:space="preserve">R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color w:val="000000"/>
        </w:rPr>
        <w:t xml:space="preserve"> = 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color w:val="000000"/>
        </w:rPr>
        <w:t xml:space="preserve">(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color w:val="000000"/>
        </w:rPr>
        <w:t xml:space="preserve">|</w:t>
      </w:r>
      <w:r>
        <w:rPr>
          <w:rFonts w:ascii="Times New Roman" w:hAnsi="Times New Roman" w:eastAsia="Noto Serif CJK TC" w:cs="Times New Roman"/>
          <w:i/>
          <w:iCs/>
          <w:sz w:val="24"/>
          <w:szCs w:val="24"/>
          <w:color w:val="000000"/>
        </w:rPr>
        <w:t xml:space="preserve">R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vertAlign w:val="subscript"/>
          <w:color w:val="000000"/>
        </w:rPr>
        <w:t xml:space="preserve">p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color w:val="000000"/>
        </w:rPr>
        <w:t xml:space="preserve"> − </w:t>
      </w:r>
      <w:r>
        <w:rPr>
          <w:rFonts w:ascii="Times New Roman" w:hAnsi="Times New Roman" w:eastAsia="Noto Serif CJK TC" w:cs="Times New Roman"/>
          <w:i/>
          <w:iCs/>
          <w:sz w:val="24"/>
          <w:szCs w:val="24"/>
          <w:color w:val="000000"/>
        </w:rPr>
        <w:t xml:space="preserve">R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vertAlign w:val="subscript"/>
          <w:color w:val="000000"/>
        </w:rPr>
        <w:t xml:space="preserve">n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color w:val="000000"/>
        </w:rPr>
        <w:t xml:space="preserve">|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color w:val="000000"/>
        </w:rPr>
        <w:t xml:space="preserve">)／(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color w:val="000000"/>
        </w:rPr>
        <w:t xml:space="preserve">(</w:t>
      </w:r>
      <w:r>
        <w:rPr>
          <w:rFonts w:ascii="Times New Roman" w:hAnsi="Times New Roman" w:eastAsia="Noto Serif CJK TC" w:cs="Times New Roman"/>
          <w:i/>
          <w:iCs/>
          <w:sz w:val="24"/>
          <w:szCs w:val="24"/>
          <w:color w:val="000000"/>
        </w:rPr>
        <w:t xml:space="preserve">R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vertAlign w:val="subscript"/>
          <w:color w:val="000000"/>
        </w:rPr>
        <w:t xml:space="preserve">p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color w:val="000000"/>
        </w:rPr>
        <w:t xml:space="preserve"> + </w:t>
      </w:r>
      <w:r>
        <w:rPr>
          <w:rFonts w:ascii="Times New Roman" w:hAnsi="Times New Roman" w:eastAsia="Noto Serif CJK TC" w:cs="Times New Roman"/>
          <w:i/>
          <w:iCs/>
          <w:sz w:val="24"/>
          <w:szCs w:val="24"/>
          <w:color w:val="000000"/>
        </w:rPr>
        <w:t xml:space="preserve">R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vertAlign w:val="subscript"/>
          <w:color w:val="000000"/>
        </w:rPr>
        <w:t xml:space="preserve">n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color w:val="000000"/>
        </w:rPr>
        <w:t xml:space="preserve">)/2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color w:val="000000"/>
        </w:rPr>
        <w:t xml:space="preserve">)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color w:val="000000"/>
        </w:rPr>
        <w:t xml:space="preserve"> ,    </w:t>
      </w:r>
      <w:r>
        <w:rPr>
          <w:rFonts w:ascii="Times New Roman" w:hAnsi="Times New Roman" w:eastAsia="Noto Serif CJK TC" w:cs="Times New Roman"/>
          <w:i/>
          <w:iCs/>
          <w:sz w:val="24"/>
          <w:szCs w:val="24"/>
          <w:color w:val="000000"/>
        </w:rPr>
        <w:t xml:space="preserve">ε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vertAlign w:val="subscript"/>
          <w:color w:val="000000"/>
        </w:rPr>
        <w:t xml:space="preserve">C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color w:val="000000"/>
        </w:rPr>
        <w:t xml:space="preserve"> = 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color w:val="000000"/>
        </w:rPr>
        <w:t xml:space="preserve">(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color w:val="000000"/>
        </w:rPr>
        <w:t xml:space="preserve">|</w:t>
      </w:r>
      <w:r>
        <w:rPr>
          <w:rFonts w:ascii="Times New Roman" w:hAnsi="Times New Roman" w:eastAsia="Noto Serif CJK TC" w:cs="Times New Roman"/>
          <w:i/>
          <w:iCs/>
          <w:sz w:val="24"/>
          <w:szCs w:val="24"/>
          <w:color w:val="000000"/>
        </w:rPr>
        <w:t xml:space="preserve">C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vertAlign w:val="subscript"/>
          <w:color w:val="000000"/>
        </w:rPr>
        <w:t xml:space="preserve">p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color w:val="000000"/>
        </w:rPr>
        <w:t xml:space="preserve"> − </w:t>
      </w:r>
      <w:r>
        <w:rPr>
          <w:rFonts w:ascii="Times New Roman" w:hAnsi="Times New Roman" w:eastAsia="Noto Serif CJK TC" w:cs="Times New Roman"/>
          <w:i/>
          <w:iCs/>
          <w:sz w:val="24"/>
          <w:szCs w:val="24"/>
          <w:color w:val="000000"/>
        </w:rPr>
        <w:t xml:space="preserve">C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vertAlign w:val="subscript"/>
          <w:color w:val="000000"/>
        </w:rPr>
        <w:t xml:space="preserve">n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color w:val="000000"/>
        </w:rPr>
        <w:t xml:space="preserve">|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color w:val="000000"/>
        </w:rPr>
        <w:t xml:space="preserve">)／(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color w:val="000000"/>
        </w:rPr>
        <w:t xml:space="preserve">(</w:t>
      </w:r>
      <w:r>
        <w:rPr>
          <w:rFonts w:ascii="Times New Roman" w:hAnsi="Times New Roman" w:eastAsia="Noto Serif CJK TC" w:cs="Times New Roman"/>
          <w:i/>
          <w:iCs/>
          <w:sz w:val="24"/>
          <w:szCs w:val="24"/>
          <w:color w:val="000000"/>
        </w:rPr>
        <w:t xml:space="preserve">C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vertAlign w:val="subscript"/>
          <w:color w:val="000000"/>
        </w:rPr>
        <w:t xml:space="preserve">p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color w:val="000000"/>
        </w:rPr>
        <w:t xml:space="preserve"> + </w:t>
      </w:r>
      <w:r>
        <w:rPr>
          <w:rFonts w:ascii="Times New Roman" w:hAnsi="Times New Roman" w:eastAsia="Noto Serif CJK TC" w:cs="Times New Roman"/>
          <w:i/>
          <w:iCs/>
          <w:sz w:val="24"/>
          <w:szCs w:val="24"/>
          <w:color w:val="000000"/>
        </w:rPr>
        <w:t xml:space="preserve">C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vertAlign w:val="subscript"/>
          <w:color w:val="000000"/>
        </w:rPr>
        <w:t xml:space="preserve">n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color w:val="000000"/>
        </w:rPr>
        <w:t xml:space="preserve">)/2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color w:val="000000"/>
        </w:rPr>
        <w:t xml:space="preserve">)</w:t>
      </w: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　　（6）</w:t>
      </w:r>
    </w:p>
    <w:p>
      <w:pPr>
        <w:spacing w:line="240" w:lineRule="auto" w:before="0" w:after="60"/>
        <w:jc w:val="both"/>
        <w:widowControl/>
      </w:pPr>
      <w:r>
        <w:rPr>
          <w:rFonts w:ascii="Times New Roman" w:hAnsi="Times New Roman" w:eastAsia="Noto Serif CJK TC" w:cs="Times New Roman"/>
          <w:b/>
          <w:bCs/>
          <w:sz w:val="24"/>
          <w:szCs w:val="24"/>
          <w:color w:val="000000"/>
        </w:rPr>
        <w:t xml:space="preserve">E2 SE 方法對照（M7–M18）。</w:t>
      </w: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 從 E1 及整合版圖選取至少 12 個、涵蓋三類子電路的校正與保留案例，比較 S0–S3 及三種選區範圍；同源變體只屬一個資料分組，另保留未見的負載、切換或 pin 配置，以表 14 門檻判定。</w:t>
      </w:r>
    </w:p>
    <w:p>
      <w:pPr>
        <w:spacing w:line="240" w:lineRule="auto" w:before="0" w:after="60"/>
        <w:jc w:val="center"/>
        <w:widowControl/>
      </w:pPr>
      <w:r>
        <w:rPr>
          <w:rFonts w:ascii="Times New Roman" w:hAnsi="Times New Roman" w:eastAsia="Noto Serif CJK TC" w:cs="Times New Roman"/>
          <w:i/>
          <w:iCs/>
          <w:sz w:val="24"/>
          <w:szCs w:val="24"/>
          <w:color w:val="000000"/>
        </w:rPr>
        <w:t xml:space="preserve">S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vertAlign w:val="subscript"/>
          <w:color w:val="000000"/>
        </w:rPr>
        <w:t xml:space="preserve">sim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color w:val="000000"/>
        </w:rPr>
        <w:t xml:space="preserve"> = 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color w:val="000000"/>
        </w:rPr>
        <w:t xml:space="preserve">(</w:t>
      </w:r>
      <w:r>
        <w:rPr>
          <w:rFonts w:ascii="Times New Roman" w:hAnsi="Times New Roman" w:eastAsia="Noto Serif CJK TC" w:cs="Times New Roman"/>
          <w:i/>
          <w:iCs/>
          <w:sz w:val="24"/>
          <w:szCs w:val="24"/>
          <w:color w:val="000000"/>
        </w:rPr>
        <w:t xml:space="preserve">T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vertAlign w:val="subscript"/>
          <w:color w:val="000000"/>
        </w:rPr>
        <w:t xml:space="preserve">full simulation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color w:val="000000"/>
        </w:rPr>
        <w:t xml:space="preserve">)／(</w:t>
      </w:r>
      <w:r>
        <w:rPr>
          <w:rFonts w:ascii="Times New Roman" w:hAnsi="Times New Roman" w:eastAsia="Noto Serif CJK TC" w:cs="Times New Roman"/>
          <w:i/>
          <w:iCs/>
          <w:sz w:val="24"/>
          <w:szCs w:val="24"/>
          <w:color w:val="000000"/>
        </w:rPr>
        <w:t xml:space="preserve">T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vertAlign w:val="subscript"/>
          <w:color w:val="000000"/>
        </w:rPr>
        <w:t xml:space="preserve">SE simulation</w:t>
      </w:r>
      <w:r>
        <w:rPr>
          <w:rFonts w:ascii="Times New Roman" w:hAnsi="Times New Roman" w:eastAsia="Noto Serif CJK TC" w:cs="Times New Roman"/>
          <w:i w:val="false"/>
          <w:iCs w:val="false"/>
          <w:sz w:val="24"/>
          <w:szCs w:val="24"/>
          <w:color w:val="000000"/>
        </w:rPr>
        <w:t xml:space="preserve">)</w:t>
      </w: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　　（7）</w:t>
      </w:r>
    </w:p>
    <w:p>
      <w:pPr>
        <w:spacing w:line="240" w:lineRule="auto" w:before="0" w:after="60"/>
        <w:jc w:val="both"/>
        <w:widowControl/>
      </w:pPr>
      <w:r>
        <w:rPr>
          <w:rFonts w:ascii="Times New Roman" w:hAnsi="Times New Roman" w:eastAsia="Noto Serif CJK TC" w:cs="Times New Roman"/>
          <w:b/>
          <w:bCs/>
          <w:sz w:val="24"/>
          <w:szCs w:val="24"/>
          <w:color w:val="000000"/>
        </w:rPr>
        <w:t xml:space="preserve">E3 完整 ADC 閉迴路比較（M13–M24）。</w:t>
      </w: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 以固定 4 nm SAR ADC 規格比較表 16 各組；先用同一 primitive 作 L0 比較，再以 P2 作 L1 比較，保持拓樸、元件尺寸、面積／功耗上限與測試設定。SE 開／關另作配對實驗，最終效能一律由 full 決定。自動化方法至少 10 組配對種子，分別在相同 full 驗證次數與相同端到端時間下比較，並消融局部變體、幾何裕度、時脈與 VREF 特徵、不確定性及 SE 選樣。</w:t>
      </w:r>
    </w:p>
    <w:p>
      <w:pPr>
        <w:spacing w:line="240" w:lineRule="auto" w:before="120" w:after="60"/>
        <w:keepNext/>
        <w:widowControl/>
      </w:pPr>
      <w:r>
        <w:rPr>
          <w:rFonts w:ascii="Times New Roman" w:hAnsi="Times New Roman" w:eastAsia="Noto Serif CJK TC" w:cs="Times New Roman"/>
          <w:b/>
          <w:bCs/>
          <w:color w:val="000000"/>
          <w:sz w:val="24"/>
          <w:szCs w:val="24"/>
        </w:rPr>
        <w:t xml:space="preserve">表 16　E3 比較組</w:t>
      </w:r>
    </w:p>
    <w:tbl>
      <w:tblPr>
        <w:tblW w:type="dxa" w:w="9638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CellMar>
          <w:top w:w="45" w:type="dxa"/>
          <w:bottom w:w="45" w:type="dxa"/>
          <w:left w:w="65" w:type="dxa"/>
          <w:right w:w="65" w:type="dxa"/>
        </w:tblCellMar>
      </w:tblPr>
      <w:tblGrid>
        <w:gridCol w:w="1984"/>
        <w:gridCol w:w="4252"/>
        <w:gridCol w:w="3402"/>
      </w:tblGrid>
      <w:tr>
        <w:trPr>
          <w:cantSplit/>
          <w:tblHeader/>
        </w:trPr>
        <w:tc>
          <w:tcPr>
            <w:tcW w:type="dxa" w:w="1984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比較組</w:t>
            </w:r>
          </w:p>
        </w:tc>
        <w:tc>
          <w:tcPr>
            <w:tcW w:type="dxa" w:w="4252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方法差異</w:t>
            </w:r>
          </w:p>
        </w:tc>
        <w:tc>
          <w:tcPr>
            <w:tcW w:type="dxa" w:w="3402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比較目的</w:t>
            </w:r>
          </w:p>
        </w:tc>
      </w:tr>
      <w:tr>
        <w:trPr>
          <w:cantSplit/>
        </w:trPr>
        <w:tc>
          <w:tcPr>
            <w:tcW w:type="dxa" w:w="1984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B0 工程師基準</w:t>
            </w:r>
          </w:p>
        </w:tc>
        <w:tc>
          <w:tcPr>
            <w:tcW w:type="dxa" w:w="42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固定人工佈局；相同繞線與模擬設定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建立品質與人工工時參考</w:t>
            </w:r>
          </w:p>
        </w:tc>
      </w:tr>
      <w:tr>
        <w:trPr>
          <w:cantSplit/>
        </w:trPr>
        <w:tc>
          <w:tcPr>
            <w:tcW w:type="dxa" w:w="1984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B1 約束 SA</w:t>
            </w:r>
          </w:p>
        </w:tc>
        <w:tc>
          <w:tcPr>
            <w:tcW w:type="dxa" w:w="4252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HPWL 與壅塞；相同硬性類比限制</w:t>
            </w:r>
          </w:p>
        </w:tc>
        <w:tc>
          <w:tcPr>
            <w:tcW w:type="dxa" w:w="3402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隔離寄生回饋的增益</w:t>
            </w:r>
          </w:p>
        </w:tc>
      </w:tr>
      <w:tr>
        <w:trPr>
          <w:cantSplit/>
        </w:trPr>
        <w:tc>
          <w:tcPr>
            <w:tcW w:type="dxa" w:w="1984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B2 粗至細搜尋</w:t>
            </w:r>
          </w:p>
        </w:tc>
        <w:tc>
          <w:tcPr>
            <w:tcW w:type="dxa" w:w="42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族群探索；無實際效能回饋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評估搜尋機制本身</w:t>
            </w:r>
          </w:p>
        </w:tc>
      </w:tr>
      <w:tr>
        <w:trPr>
          <w:cantSplit/>
        </w:trPr>
        <w:tc>
          <w:tcPr>
            <w:tcW w:type="dxa" w:w="1984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P1 寄生回饋</w:t>
            </w:r>
          </w:p>
        </w:tc>
        <w:tc>
          <w:tcPr>
            <w:tcW w:type="dxa" w:w="4252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快速寄生模型與定期 PEX 校正</w:t>
            </w:r>
          </w:p>
        </w:tc>
        <w:tc>
          <w:tcPr>
            <w:tcW w:type="dxa" w:w="3402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評估寄生感知效益</w:t>
            </w:r>
          </w:p>
        </w:tc>
      </w:tr>
      <w:tr>
        <w:trPr>
          <w:cantSplit/>
        </w:trPr>
        <w:tc>
          <w:tcPr>
            <w:tcW w:type="dxa" w:w="1984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P2 完整方法</w:t>
            </w:r>
          </w:p>
        </w:tc>
        <w:tc>
          <w:tcPr>
            <w:tcW w:type="dxa" w:w="42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P1 加效能預測、不確定性選樣與五代理 ECO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評估閉迴路與樣本效率</w:t>
            </w:r>
          </w:p>
        </w:tc>
      </w:tr>
    </w:tbl>
    <w:p>
      <w:pPr>
        <w:spacing w:line="240" w:lineRule="auto" w:before="0" w:after="60"/>
        <w:widowControl/>
      </w:pPr>
    </w:p>
    <w:p>
      <w:pPr>
        <w:spacing w:line="240" w:lineRule="auto" w:before="120" w:after="60"/>
        <w:keepNext/>
        <w:widowControl/>
      </w:pPr>
      <w:r>
        <w:rPr>
          <w:rFonts w:ascii="Times New Roman" w:hAnsi="Times New Roman" w:eastAsia="Noto Serif CJK TC" w:cs="Times New Roman"/>
          <w:b/>
          <w:bCs/>
          <w:color w:val="000000"/>
          <w:sz w:val="24"/>
          <w:szCs w:val="24"/>
        </w:rPr>
        <w:t xml:space="preserve">表 17　量化驗收指標（研究目標值）</w:t>
      </w:r>
    </w:p>
    <w:tbl>
      <w:tblPr>
        <w:tblW w:type="dxa" w:w="9638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CellMar>
          <w:top w:w="45" w:type="dxa"/>
          <w:bottom w:w="45" w:type="dxa"/>
          <w:left w:w="65" w:type="dxa"/>
          <w:right w:w="65" w:type="dxa"/>
        </w:tblCellMar>
      </w:tblPr>
      <w:tblGrid>
        <w:gridCol w:w="1984"/>
        <w:gridCol w:w="3402"/>
        <w:gridCol w:w="4252"/>
      </w:tblGrid>
      <w:tr>
        <w:trPr>
          <w:cantSplit/>
          <w:tblHeader/>
        </w:trPr>
        <w:tc>
          <w:tcPr>
            <w:tcW w:type="dxa" w:w="1984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驗收項目</w:t>
            </w:r>
          </w:p>
        </w:tc>
        <w:tc>
          <w:tcPr>
            <w:tcW w:type="dxa" w:w="3402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規劃目標</w:t>
            </w:r>
          </w:p>
        </w:tc>
        <w:tc>
          <w:tcPr>
            <w:tcW w:type="dxa" w:w="4252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計算與證據</w:t>
            </w:r>
          </w:p>
        </w:tc>
      </w:tr>
      <w:tr>
        <w:trPr>
          <w:cantSplit/>
        </w:trPr>
        <w:tc>
          <w:tcPr>
            <w:tcW w:type="dxa" w:w="1984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4 nm 合法與一致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變體電氣等效並通過完整 DRC／LVS</w:t>
            </w:r>
          </w:p>
        </w:tc>
        <w:tc>
          <w:tcPr>
            <w:tcW w:type="dxa" w:w="42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元件／pin 對照、指定 deck 與報告</w:t>
            </w:r>
          </w:p>
        </w:tc>
      </w:tr>
      <w:tr>
        <w:trPr>
          <w:cantSplit/>
        </w:trPr>
        <w:tc>
          <w:tcPr>
            <w:tcW w:type="dxa" w:w="1984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局部佈局技巧</w:t>
            </w:r>
          </w:p>
        </w:tc>
        <w:tc>
          <w:tcPr>
            <w:tcW w:type="dxa" w:w="3402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關鍵 </w:t>
            </w:r>
            <w:r>
              <w:rPr>
                <w:rFonts w:ascii="Times New Roman" w:hAnsi="Times New Roman" w:eastAsia="Noto Serif CJK TC" w:cs="Times New Roman"/>
                <w:b w:val="false"/>
                <w:bCs w:val="false"/>
                <w:i/>
                <w:iCs/>
                <w:sz w:val="24"/>
                <w:szCs w:val="24"/>
                <w:color w:val="000000"/>
              </w:rPr>
              <w:t xml:space="preserve">ε</w:t>
            </w: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vertAlign w:val="subscript"/>
                <w:color w:val="000000"/>
              </w:rPr>
              <w:t xml:space="preserve">R</w:t>
            </w: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 或 </w:t>
            </w:r>
            <w:r>
              <w:rPr>
                <w:rFonts w:ascii="Times New Roman" w:hAnsi="Times New Roman" w:eastAsia="Noto Serif CJK TC" w:cs="Times New Roman"/>
                <w:b w:val="false"/>
                <w:bCs w:val="false"/>
                <w:i/>
                <w:iCs/>
                <w:sz w:val="24"/>
                <w:szCs w:val="24"/>
                <w:color w:val="000000"/>
              </w:rPr>
              <w:t xml:space="preserve">ε</w:t>
            </w: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vertAlign w:val="subscript"/>
                <w:color w:val="000000"/>
              </w:rPr>
              <w:t xml:space="preserve">C</w:t>
            </w: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 中位降低 ≥ 20%</w:t>
            </w:r>
          </w:p>
        </w:tc>
        <w:tc>
          <w:tcPr>
            <w:tcW w:type="dxa" w:w="4252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E1 配對；安定時間不退化，面積功耗在限制內</w:t>
            </w:r>
          </w:p>
        </w:tc>
      </w:tr>
      <w:tr>
        <w:trPr>
          <w:cantSplit/>
        </w:trPr>
        <w:tc>
          <w:tcPr>
            <w:tcW w:type="dxa" w:w="1984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寄生預測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敏感 C 之 NMAE ≤ 10%</w:t>
            </w:r>
          </w:p>
        </w:tc>
        <w:tc>
          <w:tcPr>
            <w:tcW w:type="dxa" w:w="42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full 保留標籤；近零另報絕對誤差</w:t>
            </w:r>
          </w:p>
        </w:tc>
      </w:tr>
      <w:tr>
        <w:trPr>
          <w:cantSplit/>
        </w:trPr>
        <w:tc>
          <w:tcPr>
            <w:tcW w:type="dxa" w:w="1984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效能預測</w:t>
            </w:r>
          </w:p>
        </w:tc>
        <w:tc>
          <w:tcPr>
            <w:tcW w:type="dxa" w:w="3402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SNDR MAE ≤ 1 dB</w:t>
            </w:r>
          </w:p>
        </w:tc>
        <w:tc>
          <w:tcPr>
            <w:tcW w:type="dxa" w:w="4252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保留案例的實際 PEX 模擬</w:t>
            </w:r>
          </w:p>
        </w:tc>
      </w:tr>
      <w:tr>
        <w:trPr>
          <w:cantSplit/>
        </w:trPr>
        <w:tc>
          <w:tcPr>
            <w:tcW w:type="dxa" w:w="1984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SE 適用性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通過表 14 門檻；中位加速 ≥ 2 倍</w:t>
            </w:r>
          </w:p>
        </w:tc>
        <w:tc>
          <w:tcPr>
            <w:tcW w:type="dxa" w:w="42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E2 保留案例、false pass 信賴區間</w:t>
            </w:r>
          </w:p>
        </w:tc>
      </w:tr>
      <w:tr>
        <w:trPr>
          <w:cantSplit/>
        </w:trPr>
        <w:tc>
          <w:tcPr>
            <w:tcW w:type="dxa" w:w="1984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閉迴路品質</w:t>
            </w:r>
          </w:p>
        </w:tc>
        <w:tc>
          <w:tcPr>
            <w:tcW w:type="dxa" w:w="3402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SNDR 中位改善 ≥ 1 dB 或規格率提高</w:t>
            </w:r>
          </w:p>
        </w:tc>
        <w:tc>
          <w:tcPr>
            <w:tcW w:type="dxa" w:w="4252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相同面積功耗上限之配對比較</w:t>
            </w:r>
          </w:p>
        </w:tc>
      </w:tr>
      <w:tr>
        <w:trPr>
          <w:cantSplit/>
        </w:trPr>
        <w:tc>
          <w:tcPr>
            <w:tcW w:type="dxa" w:w="1984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驗證成本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合格候選所需完整驗證次數降低 ≥ 20%</w:t>
            </w:r>
          </w:p>
        </w:tc>
        <w:tc>
          <w:tcPr>
            <w:tcW w:type="dxa" w:w="42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含模型訓練、失敗及工具時間</w:t>
            </w:r>
          </w:p>
        </w:tc>
      </w:tr>
    </w:tbl>
    <w:p>
      <w:pPr>
        <w:spacing w:line="240" w:lineRule="auto" w:before="0" w:after="60"/>
        <w:widowControl/>
      </w:pPr>
    </w:p>
    <w:p>
      <w:pPr>
        <w:spacing w:line="240" w:lineRule="auto" w:before="0" w:after="60"/>
        <w:jc w:val="both"/>
        <w:widowControl/>
      </w:pPr>
      <w:r>
        <w:rPr>
          <w:rFonts w:ascii="Times New Roman" w:hAnsi="Times New Roman" w:eastAsia="Noto Serif CJK TC" w:cs="Times New Roman"/>
          <w:color w:val="000000"/>
          <w:sz w:val="24"/>
          <w:szCs w:val="24"/>
        </w:rPr>
        <w:t xml:space="preserve">註：資料目標為 200 個 full RC 標籤與 60 個 full ADC 效能標籤（另計最後的配對比較，不混算 SE 標籤）。採電路變體分組、配對差異與 95% 信賴區間；品質無增益或 SE 不適用亦列為正式結果。</w:t>
      </w:r>
    </w:p>
    <w:p>
      <w:pPr>
        <w:pStyle w:val="Heading3"/>
        <w:spacing w:line="240" w:lineRule="auto" w:before="120" w:after="60"/>
        <w:keepNext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9. 預計可能遭遇之困難及解決途徑</w:t>
      </w:r>
    </w:p>
    <w:p>
      <w:pPr>
        <w:spacing w:line="240" w:lineRule="auto" w:before="120" w:after="60"/>
        <w:keepNext/>
        <w:widowControl/>
      </w:pPr>
      <w:r>
        <w:rPr>
          <w:rFonts w:ascii="Times New Roman" w:hAnsi="Times New Roman" w:eastAsia="Noto Serif CJK TC" w:cs="Times New Roman"/>
          <w:b/>
          <w:bCs/>
          <w:color w:val="000000"/>
          <w:sz w:val="24"/>
          <w:szCs w:val="24"/>
        </w:rPr>
        <w:t xml:space="preserve">表 18　預計困難與解決途徑</w:t>
      </w:r>
    </w:p>
    <w:tbl>
      <w:tblPr>
        <w:tblW w:type="dxa" w:w="9638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CellMar>
          <w:top w:w="45" w:type="dxa"/>
          <w:bottom w:w="45" w:type="dxa"/>
          <w:left w:w="65" w:type="dxa"/>
          <w:right w:w="65" w:type="dxa"/>
        </w:tblCellMar>
      </w:tblPr>
      <w:tblGrid>
        <w:gridCol w:w="2805"/>
        <w:gridCol w:w="6833"/>
      </w:tblGrid>
      <w:tr>
        <w:trPr>
          <w:cantSplit/>
          <w:tblHeader/>
        </w:trPr>
        <w:tc>
          <w:tcPr>
            <w:tcW w:type="dxa" w:w="2805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困難</w:t>
            </w:r>
          </w:p>
        </w:tc>
        <w:tc>
          <w:tcPr>
            <w:tcW w:type="dxa" w:w="6833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解決途徑與階段判定</w:t>
            </w:r>
          </w:p>
        </w:tc>
      </w:tr>
      <w:tr>
        <w:trPr>
          <w:cantSplit/>
        </w:trPr>
        <w:tc>
          <w:tcPr>
            <w:tcW w:type="dxa" w:w="2805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4 nm PDK 或工具未取得</w:t>
            </w:r>
          </w:p>
        </w:tc>
        <w:tc>
          <w:tcPr>
            <w:tcW w:type="dxa" w:w="683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M2 確認授權、模型、電容與 runset；備援節點（ASAP7、6／7 nm）只驗證方法，不能以其結果替代 4 nm 驗證，並明列缺口</w:t>
            </w:r>
          </w:p>
        </w:tc>
      </w:tr>
      <w:tr>
        <w:trPr>
          <w:cantSplit/>
        </w:trPr>
        <w:tc>
          <w:tcPr>
            <w:tcW w:type="dxa" w:w="2805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規則、LDE 模型與 runset 屬機密</w:t>
            </w:r>
          </w:p>
        </w:tc>
        <w:tc>
          <w:tcPr>
            <w:tcW w:type="dxa" w:w="6833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全流程本地部署；規則庫分為公開抽象規則與機密 PDK 參數兩層，只釋出前者</w:t>
            </w:r>
          </w:p>
        </w:tc>
      </w:tr>
      <w:tr>
        <w:trPr>
          <w:cantSplit/>
        </w:trPr>
        <w:tc>
          <w:tcPr>
            <w:tcW w:type="dxa" w:w="2805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SE 需調整 LVS rule deck</w:t>
            </w:r>
          </w:p>
        </w:tc>
        <w:tc>
          <w:tcPr>
            <w:tcW w:type="dxa" w:w="683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原簽核 deck 不變；以外掛 wrapper、instance filtering 或完整 PEX 網表選取實作，先於 ASAP7 驗證流程</w:t>
            </w:r>
          </w:p>
        </w:tc>
      </w:tr>
      <w:tr>
        <w:trPr>
          <w:cantSplit/>
        </w:trPr>
        <w:tc>
          <w:tcPr>
            <w:tcW w:type="dxa" w:w="2805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SE 必要器件過多或超標</w:t>
            </w:r>
          </w:p>
        </w:tc>
        <w:tc>
          <w:tcPr>
            <w:tcW w:type="dxa" w:w="6833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M3 量測單次成本；SE 未過門檻即回退 S0、降低候選量並報實際統計精度</w:t>
            </w:r>
          </w:p>
        </w:tc>
      </w:tr>
      <w:tr>
        <w:trPr>
          <w:cantSplit/>
        </w:trPr>
        <w:tc>
          <w:tcPr>
            <w:tcW w:type="dxa" w:w="2805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預測模型誤排序</w:t>
            </w:r>
          </w:p>
        </w:tc>
        <w:tc>
          <w:tcPr>
            <w:tcW w:type="dxa" w:w="683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保留隨機驗證與不確定性選樣；高誤差區回退為真實萃取</w:t>
            </w:r>
          </w:p>
        </w:tc>
      </w:tr>
      <w:tr>
        <w:trPr>
          <w:cantSplit/>
        </w:trPr>
        <w:tc>
          <w:tcPr>
            <w:tcW w:type="dxa" w:w="2805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繞線或工具整合成本過高</w:t>
            </w:r>
          </w:p>
        </w:tc>
        <w:tc>
          <w:tcPr>
            <w:tcW w:type="dxa" w:w="6833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先完成子電路與固定路由策略；同一策略用於全部比較組，人工修正計入工時</w:t>
            </w:r>
          </w:p>
        </w:tc>
      </w:tr>
      <w:tr>
        <w:trPr>
          <w:cantSplit/>
        </w:trPr>
        <w:tc>
          <w:tcPr>
            <w:tcW w:type="dxa" w:w="2805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約束過度限制搜尋</w:t>
            </w:r>
          </w:p>
        </w:tc>
        <w:tc>
          <w:tcPr>
            <w:tcW w:type="dxa" w:w="683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以衝突診斷定位；由設計師確認可放寬的軟限制，硬性製程與連通規則不放寬</w:t>
            </w:r>
          </w:p>
        </w:tc>
      </w:tr>
      <w:tr>
        <w:trPr>
          <w:cantSplit/>
        </w:trPr>
        <w:tc>
          <w:tcPr>
            <w:tcW w:type="dxa" w:w="2805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LLM 幻覺產生錯誤約束</w:t>
            </w:r>
          </w:p>
        </w:tc>
        <w:tc>
          <w:tcPr>
            <w:tcW w:type="dxa" w:w="6833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數值一律來自 SQL／PEX／模擬；LLM 輸出經 Code 校驗與三層 fallback，約束需工程師核可</w:t>
            </w:r>
          </w:p>
        </w:tc>
      </w:tr>
      <w:tr>
        <w:trPr>
          <w:cantSplit/>
        </w:trPr>
        <w:tc>
          <w:tcPr>
            <w:tcW w:type="dxa" w:w="2805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製程變異或</w:t>
            </w:r>
          </w:p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LDE 模型缺乏</w:t>
            </w:r>
          </w:p>
        </w:tc>
        <w:tc>
          <w:tcPr>
            <w:tcW w:type="dxa" w:w="683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只報幾何裕度、環境與已支援角落；不宣稱 EUV 窗口、量產良率、熱或基板簽核</w:t>
            </w:r>
          </w:p>
        </w:tc>
      </w:tr>
    </w:tbl>
    <w:p>
      <w:pPr>
        <w:spacing w:line="240" w:lineRule="auto" w:before="0" w:after="60"/>
        <w:widowControl/>
      </w:pPr>
    </w:p>
    <w:p>
      <w:pPr>
        <w:pStyle w:val="Heading3"/>
        <w:spacing w:line="240" w:lineRule="auto" w:before="120" w:after="60"/>
        <w:keepNext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10. 重要儀器與軟體之配合使用</w:t>
      </w:r>
    </w:p>
    <w:p>
      <w:pPr>
        <w:pStyle w:val="ListParagraph"/>
        <w:numPr>
          <w:ilvl w:val="0"/>
          <w:numId w:val="3"/>
        </w:numPr>
        <w:spacing w:line="240" w:lineRule="auto" w:before="0" w:after="60"/>
        <w:jc w:val="both"/>
        <w:widowControl/>
      </w:pPr>
      <w:r>
        <w:rPr>
          <w:rFonts w:ascii="Times New Roman" w:hAnsi="Times New Roman" w:eastAsia="Noto Serif CJK TC" w:cs="Times New Roman"/>
          <w:b/>
          <w:bCs/>
          <w:sz w:val="24"/>
          <w:szCs w:val="24"/>
          <w:color w:val="000000"/>
        </w:rPr>
        <w:t xml:space="preserve">運算：</w:t>
      </w: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 優先重用實驗室本地 GPU 工作站與 CPU 模擬資源，用於模型推論、數值模型訓練與批次 EDA；實際記憶體、GPU 與並行模擬數於 M1 盤點，必要時依 M3 成本估算申請設備（表 CM10）。</w:t>
      </w:r>
    </w:p>
    <w:p>
      <w:pPr>
        <w:pStyle w:val="ListParagraph"/>
        <w:numPr>
          <w:ilvl w:val="0"/>
          <w:numId w:val="3"/>
        </w:numPr>
        <w:spacing w:line="240" w:lineRule="auto" w:before="0" w:after="60"/>
        <w:jc w:val="both"/>
        <w:widowControl/>
      </w:pPr>
      <w:r>
        <w:rPr>
          <w:rFonts w:ascii="Times New Roman" w:hAnsi="Times New Roman" w:eastAsia="Noto Serif CJK TC" w:cs="Times New Roman"/>
          <w:b/>
          <w:bCs/>
          <w:sz w:val="24"/>
          <w:szCs w:val="24"/>
          <w:color w:val="000000"/>
        </w:rPr>
        <w:t xml:space="preserve">EDA：</w:t>
      </w: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 4 nm 使用授權 PCell 或合法 primitive、MOM 電容、完整 DRC／LVS／PEX（如 Calibre）與 SPICE（如 Spectre）；須確認授權與批次限制，SE 另確認 deck 修改或 filtering 權限。</w:t>
      </w:r>
    </w:p>
    <w:p>
      <w:pPr>
        <w:pStyle w:val="ListParagraph"/>
        <w:numPr>
          <w:ilvl w:val="0"/>
          <w:numId w:val="3"/>
        </w:numPr>
        <w:spacing w:line="240" w:lineRule="auto" w:before="0" w:after="60"/>
        <w:jc w:val="both"/>
        <w:widowControl/>
      </w:pPr>
      <w:r>
        <w:rPr>
          <w:rFonts w:ascii="Times New Roman" w:hAnsi="Times New Roman" w:eastAsia="Noto Serif CJK TC" w:cs="Times New Roman"/>
          <w:b/>
          <w:bCs/>
          <w:sz w:val="24"/>
          <w:szCs w:val="24"/>
          <w:color w:val="000000"/>
        </w:rPr>
        <w:t xml:space="preserve">既有工具：</w:t>
      </w: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 RALF／Magic／SKY130 僅供 130 nm 工具測試；KLayout 0.29.8 與 ASAP7 作介面預演，不作 4 nm SAR ADC 證據。</w:t>
      </w:r>
    </w:p>
    <w:p>
      <w:pPr>
        <w:pStyle w:val="ListParagraph"/>
        <w:numPr>
          <w:ilvl w:val="0"/>
          <w:numId w:val="3"/>
        </w:numPr>
        <w:spacing w:line="240" w:lineRule="auto" w:before="0" w:after="60"/>
        <w:jc w:val="both"/>
        <w:widowControl/>
      </w:pPr>
      <w:r>
        <w:rPr>
          <w:rFonts w:ascii="Times New Roman" w:hAnsi="Times New Roman" w:eastAsia="Noto Serif CJK TC" w:cs="Times New Roman"/>
          <w:b/>
          <w:bCs/>
          <w:sz w:val="24"/>
          <w:szCs w:val="24"/>
          <w:color w:val="000000"/>
        </w:rPr>
        <w:t xml:space="preserve">資料：</w:t>
      </w: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 資料庫與檔案系統保存網表、GDS、約束、工具日誌、萃取網表與版本關係，支援結果重跑。</w:t>
      </w:r>
    </w:p>
    <w:p>
      <w:pPr>
        <w:pStyle w:val="Heading3"/>
        <w:spacing w:line="240" w:lineRule="auto" w:before="120" w:after="60"/>
        <w:keepNext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11. 赴國外或大陸地區研究之必要性</w:t>
      </w:r>
    </w:p>
    <w:p>
      <w:pPr>
        <w:spacing w:line="240" w:lineRule="auto" w:before="0" w:after="60"/>
        <w:jc w:val="both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本計畫核心工作可於本地運算與既有研究環境執行，無須赴國外或大陸地區進行研究。若編列國際會議差旅，另依會議錄取情形填寫 CM12。</w:t>
      </w:r>
    </w:p>
    <w:p>
      <w:pPr>
        <w:pStyle w:val="Heading3"/>
        <w:spacing w:line="240" w:lineRule="auto" w:before="120" w:after="60"/>
        <w:keepNext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12. 執行進度與里程碑</w:t>
      </w:r>
    </w:p>
    <w:p>
      <w:pPr>
        <w:spacing w:line="240" w:lineRule="auto" w:before="0" w:after="60"/>
        <w:jc w:val="both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以核定開始月為 M1。第一年完成 4 nm 資源、合法局部變體、full 基準與 SE 適用性；第二年完成粗至細搜尋、五代理閉迴路、完整 ADC 比較與交付。深色格為該工作的主要執行期。</w:t>
      </w:r>
    </w:p>
    <w:p>
      <w:pPr>
        <w:spacing w:line="240" w:lineRule="auto" w:before="120" w:after="60"/>
        <w:keepNext/>
        <w:widowControl/>
      </w:pPr>
      <w:r>
        <w:rPr>
          <w:rFonts w:ascii="Times New Roman" w:hAnsi="Times New Roman" w:eastAsia="Noto Serif CJK TC" w:cs="Times New Roman"/>
          <w:b/>
          <w:bCs/>
          <w:color w:val="000000"/>
          <w:sz w:val="24"/>
          <w:szCs w:val="24"/>
        </w:rPr>
        <w:t xml:space="preserve">表 19　兩年期執行進度甘特圖</w:t>
      </w:r>
    </w:p>
    <w:tbl>
      <w:tblPr>
        <w:tblW w:type="dxa" w:w="9638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CellMar>
          <w:top w:w="45" w:type="dxa"/>
          <w:bottom w:w="45" w:type="dxa"/>
          <w:left w:w="65" w:type="dxa"/>
          <w:right w:w="65" w:type="dxa"/>
        </w:tblCellMar>
      </w:tblPr>
      <w:tblGrid>
        <w:gridCol w:w="2700"/>
        <w:gridCol w:w="867"/>
        <w:gridCol w:w="867"/>
        <w:gridCol w:w="867"/>
        <w:gridCol w:w="867"/>
        <w:gridCol w:w="867"/>
        <w:gridCol w:w="867"/>
        <w:gridCol w:w="867"/>
        <w:gridCol w:w="869"/>
      </w:tblGrid>
      <w:tr>
        <w:trPr>
          <w:tblHeader/>
          <w:cantSplit/>
        </w:trPr>
        <w:tc>
          <w:tcPr>
            <w:tcW w:type="dxa" w:w="2700"/>
            <w:vMerge w:val="restart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工作項目</w:t>
            </w:r>
          </w:p>
        </w:tc>
        <w:tc>
          <w:tcPr>
            <w:tcW w:type="dxa" w:w="3468"/>
            <w:gridSpan w:val="4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第一年（116/08–117/07）</w:t>
            </w:r>
          </w:p>
        </w:tc>
        <w:tc>
          <w:tcPr>
            <w:tcW w:type="dxa" w:w="3468"/>
            <w:gridSpan w:val="4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第二年（117/08–118/07）</w:t>
            </w:r>
          </w:p>
        </w:tc>
      </w:tr>
      <w:tr>
        <w:trPr>
          <w:tblHeader/>
          <w:cantSplit/>
        </w:trPr>
        <w:tc>
          <w:tcPr>
            <w:vMerge w:val="continue"/>
            <w:vAlign w:val="center"/>
          </w:tcPr>
          <w:p>
            <w:pPr>
              <w:spacing w:line="240" w:lineRule="auto" w:before="0" w:after="60"/>
              <w:widowControl/>
            </w:pPr>
          </w:p>
        </w:tc>
        <w:tc>
          <w:tcPr>
            <w:tcW w:type="dxa" w:w="867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M1–3</w:t>
            </w:r>
          </w:p>
        </w:tc>
        <w:tc>
          <w:tcPr>
            <w:tcW w:type="dxa" w:w="867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M4–6</w:t>
            </w:r>
          </w:p>
        </w:tc>
        <w:tc>
          <w:tcPr>
            <w:tcW w:type="dxa" w:w="867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M7–9</w:t>
            </w:r>
          </w:p>
        </w:tc>
        <w:tc>
          <w:tcPr>
            <w:tcW w:type="dxa" w:w="867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M10–12</w:t>
            </w:r>
          </w:p>
        </w:tc>
        <w:tc>
          <w:tcPr>
            <w:tcW w:type="dxa" w:w="867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M13–15</w:t>
            </w:r>
          </w:p>
        </w:tc>
        <w:tc>
          <w:tcPr>
            <w:tcW w:type="dxa" w:w="867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M16–18</w:t>
            </w:r>
          </w:p>
        </w:tc>
        <w:tc>
          <w:tcPr>
            <w:tcW w:type="dxa" w:w="867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M19–21</w:t>
            </w:r>
          </w:p>
        </w:tc>
        <w:tc>
          <w:tcPr>
            <w:tcW w:type="dxa" w:w="869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M22–24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4 nm 授權與 PDK 介面</w:t>
            </w:r>
          </w:p>
        </w:tc>
        <w:tc>
          <w:tcPr>
            <w:tcW w:type="dxa" w:w="867"/>
            <w:shd w:fill="8EAAD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凍結</w:t>
            </w:r>
          </w:p>
        </w:tc>
        <w:tc>
          <w:tcPr>
            <w:tcW w:type="dxa" w:w="867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維護</w:t>
            </w:r>
          </w:p>
        </w:tc>
        <w:tc>
          <w:tcPr>
            <w:tcW w:type="dxa" w:w="867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維護</w:t>
            </w:r>
          </w:p>
        </w:tc>
        <w:tc>
          <w:tcPr>
            <w:tcW w:type="dxa" w:w="867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維護</w:t>
            </w:r>
          </w:p>
        </w:tc>
        <w:tc>
          <w:tcPr>
            <w:tcW w:type="dxa" w:w="867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維護</w:t>
            </w:r>
          </w:p>
        </w:tc>
        <w:tc>
          <w:tcPr>
            <w:tcW w:type="dxa" w:w="867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維護</w:t>
            </w:r>
          </w:p>
        </w:tc>
        <w:tc>
          <w:tcPr>
            <w:tcW w:type="dxa" w:w="867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維護</w:t>
            </w:r>
          </w:p>
        </w:tc>
        <w:tc>
          <w:tcPr>
            <w:tcW w:type="dxa" w:w="869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定稿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primitive 變體（E1）</w:t>
            </w:r>
          </w:p>
        </w:tc>
        <w:tc>
          <w:tcPr>
            <w:tcW w:type="dxa" w:w="867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初始</w:t>
            </w:r>
          </w:p>
        </w:tc>
        <w:tc>
          <w:tcPr>
            <w:tcW w:type="dxa" w:w="867"/>
            <w:shd w:fill="8EAAD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E1</w:t>
            </w:r>
          </w:p>
        </w:tc>
        <w:tc>
          <w:tcPr>
            <w:tcW w:type="dxa" w:w="867"/>
            <w:shd w:fill="8EAAD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E1</w:t>
            </w:r>
          </w:p>
        </w:tc>
        <w:tc>
          <w:tcPr>
            <w:tcW w:type="dxa" w:w="867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保留測</w:t>
            </w:r>
          </w:p>
        </w:tc>
        <w:tc>
          <w:tcPr>
            <w:tcW w:type="dxa" w:w="867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模板</w:t>
            </w:r>
          </w:p>
        </w:tc>
        <w:tc>
          <w:tcPr>
            <w:tcW w:type="dxa" w:w="867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模板</w:t>
            </w:r>
          </w:p>
        </w:tc>
        <w:tc>
          <w:tcPr>
            <w:tcW w:type="dxa" w:w="8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</w:p>
        </w:tc>
        <w:tc>
          <w:tcPr>
            <w:tcW w:type="dxa" w:w="869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封版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佈局技巧規則庫與模板</w:t>
            </w:r>
          </w:p>
        </w:tc>
        <w:tc>
          <w:tcPr>
            <w:tcW w:type="dxa" w:w="867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蒐集</w:t>
            </w:r>
          </w:p>
        </w:tc>
        <w:tc>
          <w:tcPr>
            <w:tcW w:type="dxa" w:w="867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規則 v1</w:t>
            </w:r>
          </w:p>
        </w:tc>
        <w:tc>
          <w:tcPr>
            <w:tcW w:type="dxa" w:w="867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規則 v1</w:t>
            </w:r>
          </w:p>
        </w:tc>
        <w:tc>
          <w:tcPr>
            <w:tcW w:type="dxa" w:w="867"/>
            <w:shd w:fill="8EAAD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封版</w:t>
            </w:r>
          </w:p>
        </w:tc>
        <w:tc>
          <w:tcPr>
            <w:tcW w:type="dxa" w:w="867"/>
            <w:shd w:fill="8EAAD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模板</w:t>
            </w:r>
          </w:p>
        </w:tc>
        <w:tc>
          <w:tcPr>
            <w:tcW w:type="dxa" w:w="867"/>
            <w:shd w:fill="8EAAD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模板</w:t>
            </w:r>
          </w:p>
        </w:tc>
        <w:tc>
          <w:tcPr>
            <w:tcW w:type="dxa" w:w="867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更新</w:t>
            </w:r>
          </w:p>
        </w:tc>
        <w:tc>
          <w:tcPr>
            <w:tcW w:type="dxa" w:w="869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公開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full 與 SE 萃取（E2）</w:t>
            </w:r>
          </w:p>
        </w:tc>
        <w:tc>
          <w:tcPr>
            <w:tcW w:type="dxa" w:w="867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full</w:t>
            </w:r>
          </w:p>
        </w:tc>
        <w:tc>
          <w:tcPr>
            <w:tcW w:type="dxa" w:w="867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SE 介面</w:t>
            </w:r>
          </w:p>
        </w:tc>
        <w:tc>
          <w:tcPr>
            <w:tcW w:type="dxa" w:w="867"/>
            <w:shd w:fill="8EAAD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校正</w:t>
            </w:r>
          </w:p>
        </w:tc>
        <w:tc>
          <w:tcPr>
            <w:tcW w:type="dxa" w:w="867"/>
            <w:shd w:fill="8EAAD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校正</w:t>
            </w:r>
          </w:p>
        </w:tc>
        <w:tc>
          <w:tcPr>
            <w:tcW w:type="dxa" w:w="867"/>
            <w:shd w:fill="8EAAD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門檻</w:t>
            </w:r>
          </w:p>
        </w:tc>
        <w:tc>
          <w:tcPr>
            <w:tcW w:type="dxa" w:w="867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保留測</w:t>
            </w:r>
          </w:p>
        </w:tc>
        <w:tc>
          <w:tcPr>
            <w:tcW w:type="dxa" w:w="867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重現</w:t>
            </w:r>
          </w:p>
        </w:tc>
        <w:tc>
          <w:tcPr>
            <w:tcW w:type="dxa" w:w="86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</w:p>
        </w:tc>
      </w:tr>
      <w:tr>
        <w:trPr>
          <w:cantSplit/>
        </w:trP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寄生與效能資料集</w:t>
            </w:r>
          </w:p>
        </w:tc>
        <w:tc>
          <w:tcPr>
            <w:tcW w:type="dxa" w:w="8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</w:p>
        </w:tc>
        <w:tc>
          <w:tcPr>
            <w:tcW w:type="dxa" w:w="867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取樣</w:t>
            </w:r>
          </w:p>
        </w:tc>
        <w:tc>
          <w:tcPr>
            <w:tcW w:type="dxa" w:w="867"/>
            <w:shd w:fill="8EAAD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蒐集</w:t>
            </w:r>
          </w:p>
        </w:tc>
        <w:tc>
          <w:tcPr>
            <w:tcW w:type="dxa" w:w="867"/>
            <w:shd w:fill="8EAAD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蒐集</w:t>
            </w:r>
          </w:p>
        </w:tc>
        <w:tc>
          <w:tcPr>
            <w:tcW w:type="dxa" w:w="867"/>
            <w:shd w:fill="8EAAD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蒐集</w:t>
            </w:r>
          </w:p>
        </w:tc>
        <w:tc>
          <w:tcPr>
            <w:tcW w:type="dxa" w:w="867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保留測</w:t>
            </w:r>
          </w:p>
        </w:tc>
        <w:tc>
          <w:tcPr>
            <w:tcW w:type="dxa" w:w="867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整理</w:t>
            </w:r>
          </w:p>
        </w:tc>
        <w:tc>
          <w:tcPr>
            <w:tcW w:type="dxa" w:w="86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</w:p>
        </w:tc>
      </w:tr>
      <w:tr>
        <w:trPr>
          <w:cantSplit/>
        </w:trP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粗至細搜尋與五代理 ECO</w:t>
            </w:r>
          </w:p>
        </w:tc>
        <w:tc>
          <w:tcPr>
            <w:tcW w:type="dxa" w:w="8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</w:p>
        </w:tc>
        <w:tc>
          <w:tcPr>
            <w:tcW w:type="dxa" w:w="8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</w:p>
        </w:tc>
        <w:tc>
          <w:tcPr>
            <w:tcW w:type="dxa" w:w="867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SA 基準</w:t>
            </w:r>
          </w:p>
        </w:tc>
        <w:tc>
          <w:tcPr>
            <w:tcW w:type="dxa" w:w="867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原型</w:t>
            </w:r>
          </w:p>
        </w:tc>
        <w:tc>
          <w:tcPr>
            <w:tcW w:type="dxa" w:w="867"/>
            <w:shd w:fill="8EAAD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閉迴路</w:t>
            </w:r>
          </w:p>
        </w:tc>
        <w:tc>
          <w:tcPr>
            <w:tcW w:type="dxa" w:w="867"/>
            <w:shd w:fill="8EAAD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閉迴路</w:t>
            </w:r>
          </w:p>
        </w:tc>
        <w:tc>
          <w:tcPr>
            <w:tcW w:type="dxa" w:w="867"/>
            <w:shd w:fill="8EAAD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E3</w:t>
            </w:r>
          </w:p>
        </w:tc>
        <w:tc>
          <w:tcPr>
            <w:tcW w:type="dxa" w:w="869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消融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繞線、PVT 與統計驗證</w:t>
            </w:r>
          </w:p>
        </w:tc>
        <w:tc>
          <w:tcPr>
            <w:tcW w:type="dxa" w:w="8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</w:p>
        </w:tc>
        <w:tc>
          <w:tcPr>
            <w:tcW w:type="dxa" w:w="867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定義</w:t>
            </w:r>
          </w:p>
        </w:tc>
        <w:tc>
          <w:tcPr>
            <w:tcW w:type="dxa" w:w="8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</w:p>
        </w:tc>
        <w:tc>
          <w:tcPr>
            <w:tcW w:type="dxa" w:w="867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試跑</w:t>
            </w:r>
          </w:p>
        </w:tc>
        <w:tc>
          <w:tcPr>
            <w:tcW w:type="dxa" w:w="867"/>
            <w:shd w:fill="8EAAD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執行</w:t>
            </w:r>
          </w:p>
        </w:tc>
        <w:tc>
          <w:tcPr>
            <w:tcW w:type="dxa" w:w="867"/>
            <w:shd w:fill="8EAAD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執行</w:t>
            </w:r>
          </w:p>
        </w:tc>
        <w:tc>
          <w:tcPr>
            <w:tcW w:type="dxa" w:w="867"/>
            <w:shd w:fill="8EAAD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執行</w:t>
            </w:r>
          </w:p>
        </w:tc>
        <w:tc>
          <w:tcPr>
            <w:tcW w:type="dxa" w:w="869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確認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4 nm 巨集與完整 ADC</w:t>
            </w:r>
          </w:p>
        </w:tc>
        <w:tc>
          <w:tcPr>
            <w:tcW w:type="dxa" w:w="867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移植</w:t>
            </w:r>
          </w:p>
        </w:tc>
        <w:tc>
          <w:tcPr>
            <w:tcW w:type="dxa" w:w="867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子電路</w:t>
            </w:r>
          </w:p>
        </w:tc>
        <w:tc>
          <w:tcPr>
            <w:tcW w:type="dxa" w:w="8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</w:p>
        </w:tc>
        <w:tc>
          <w:tcPr>
            <w:tcW w:type="dxa" w:w="867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整合</w:t>
            </w:r>
          </w:p>
        </w:tc>
        <w:tc>
          <w:tcPr>
            <w:tcW w:type="dxa" w:w="867"/>
            <w:shd w:fill="8EAAD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整合</w:t>
            </w:r>
          </w:p>
        </w:tc>
        <w:tc>
          <w:tcPr>
            <w:tcW w:type="dxa" w:w="867"/>
            <w:shd w:fill="8EAAD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E3</w:t>
            </w:r>
          </w:p>
        </w:tc>
        <w:tc>
          <w:tcPr>
            <w:tcW w:type="dxa" w:w="867"/>
            <w:shd w:fill="8EAAD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E3</w:t>
            </w:r>
          </w:p>
        </w:tc>
        <w:tc>
          <w:tcPr>
            <w:tcW w:type="dxa" w:w="869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最終 full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論文與技術文件</w:t>
            </w:r>
          </w:p>
        </w:tc>
        <w:tc>
          <w:tcPr>
            <w:tcW w:type="dxa" w:w="8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</w:p>
        </w:tc>
        <w:tc>
          <w:tcPr>
            <w:tcW w:type="dxa" w:w="867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規格</w:t>
            </w:r>
          </w:p>
        </w:tc>
        <w:tc>
          <w:tcPr>
            <w:tcW w:type="dxa" w:w="8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</w:p>
        </w:tc>
        <w:tc>
          <w:tcPr>
            <w:tcW w:type="dxa" w:w="867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報告</w:t>
            </w:r>
          </w:p>
        </w:tc>
        <w:tc>
          <w:tcPr>
            <w:tcW w:type="dxa" w:w="8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</w:p>
        </w:tc>
        <w:tc>
          <w:tcPr>
            <w:tcW w:type="dxa" w:w="867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投稿</w:t>
            </w:r>
          </w:p>
        </w:tc>
        <w:tc>
          <w:tcPr>
            <w:tcW w:type="dxa" w:w="867"/>
            <w:shd w:fill="B4C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初稿</w:t>
            </w:r>
          </w:p>
        </w:tc>
        <w:tc>
          <w:tcPr>
            <w:tcW w:type="dxa" w:w="869"/>
            <w:shd w:fill="8EAAD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交付</w:t>
            </w:r>
          </w:p>
        </w:tc>
      </w:tr>
    </w:tbl>
    <w:p>
      <w:pPr>
        <w:spacing w:line="240" w:lineRule="auto" w:before="0" w:after="60"/>
        <w:widowControl/>
      </w:pPr>
    </w:p>
    <w:p>
      <w:pPr>
        <w:spacing w:line="240" w:lineRule="auto" w:before="120" w:after="60"/>
        <w:keepNext/>
        <w:widowControl/>
      </w:pPr>
      <w:r>
        <w:rPr>
          <w:rFonts w:ascii="Times New Roman" w:hAnsi="Times New Roman" w:eastAsia="Noto Serif CJK TC" w:cs="Times New Roman"/>
          <w:b/>
          <w:bCs/>
          <w:color w:val="000000"/>
          <w:sz w:val="24"/>
          <w:szCs w:val="24"/>
        </w:rPr>
        <w:t xml:space="preserve">表 20　階段里程碑</w:t>
      </w:r>
    </w:p>
    <w:tbl>
      <w:tblPr>
        <w:tblW w:type="dxa" w:w="9638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CellMar>
          <w:top w:w="45" w:type="dxa"/>
          <w:bottom w:w="45" w:type="dxa"/>
          <w:left w:w="65" w:type="dxa"/>
          <w:right w:w="65" w:type="dxa"/>
        </w:tblCellMar>
      </w:tblPr>
      <w:tblGrid>
        <w:gridCol w:w="1134"/>
        <w:gridCol w:w="8504"/>
      </w:tblGrid>
      <w:tr>
        <w:trPr>
          <w:cantSplit/>
          <w:tblHeader/>
        </w:trPr>
        <w:tc>
          <w:tcPr>
            <w:tcW w:type="dxa" w:w="1134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里程碑</w:t>
            </w:r>
          </w:p>
        </w:tc>
        <w:tc>
          <w:tcPr>
            <w:tcW w:type="dxa" w:w="8504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查核內容</w:t>
            </w:r>
          </w:p>
        </w:tc>
      </w:tr>
      <w:tr>
        <w:trPr>
          <w:cantSplit/>
        </w:trPr>
        <w:tc>
          <w:tcPr>
            <w:tcW w:type="dxa" w:w="1134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M3</w:t>
            </w:r>
          </w:p>
        </w:tc>
        <w:tc>
          <w:tcPr>
            <w:tcW w:type="dxa" w:w="850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完成 4 nm 參數與 primitive 映射、三類因子矩陣及至少一類 full 萃取；建立人工／SA 與 S0 基準，量測單次 PEX 與模擬成本。若 M2 授權未完成，須列明 4 nm 驗證缺口。</w:t>
            </w:r>
          </w:p>
        </w:tc>
      </w:tr>
      <w:tr>
        <w:trPr>
          <w:cantSplit/>
        </w:trPr>
        <w:tc>
          <w:tcPr>
            <w:tcW w:type="dxa" w:w="1134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M6</w:t>
            </w:r>
          </w:p>
        </w:tc>
        <w:tc>
          <w:tcPr>
            <w:tcW w:type="dxa" w:w="8504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完成 E1 初始合法變體、三類 full 標籤及 SE 清單／runset；凍結規格、比較流程、資料分組及 SE 門檻。</w:t>
            </w:r>
          </w:p>
        </w:tc>
      </w:tr>
      <w:tr>
        <w:trPr>
          <w:cantSplit/>
        </w:trPr>
        <w:tc>
          <w:tcPr>
            <w:tcW w:type="dxa" w:w="1134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M12</w:t>
            </w:r>
          </w:p>
        </w:tc>
        <w:tc>
          <w:tcPr>
            <w:tcW w:type="dxa" w:w="850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第一年查核：E1 因子效應、規則庫 v1、E2 校正結果、寄生預測基準模型；精度不符即擴大必要器件或停用 SE，不延後 full 基準。</w:t>
            </w:r>
          </w:p>
        </w:tc>
      </w:tr>
      <w:tr>
        <w:trPr>
          <w:cantSplit/>
        </w:trPr>
        <w:tc>
          <w:tcPr>
            <w:tcW w:type="dxa" w:w="1134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M18</w:t>
            </w:r>
          </w:p>
        </w:tc>
        <w:tc>
          <w:tcPr>
            <w:tcW w:type="dxa" w:w="8504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完成五代理閉迴路原型、參數化模板與 E2 保留測試；開始 E3 配對比較。</w:t>
            </w:r>
          </w:p>
        </w:tc>
      </w:tr>
      <w:tr>
        <w:trPr>
          <w:cantSplit/>
        </w:trPr>
        <w:tc>
          <w:tcPr>
            <w:tcW w:type="dxa" w:w="1134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M24</w:t>
            </w:r>
          </w:p>
        </w:tc>
        <w:tc>
          <w:tcPr>
            <w:tcW w:type="dxa" w:w="850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交付 4 nm 變體庫、規則庫與模板、SE 適用／失敗案例、最終 S0 萃取與 ADC 結果、統計與消融、技術文件及論文；備援資料與 4 nm 資料分列。</w:t>
            </w:r>
          </w:p>
        </w:tc>
      </w:tr>
    </w:tbl>
    <w:p>
      <w:pPr>
        <w:spacing w:line="240" w:lineRule="auto" w:before="0" w:after="60"/>
        <w:widowControl/>
      </w:pPr>
    </w:p>
    <w:p>
      <w:pPr>
        <w:pStyle w:val="Heading2"/>
        <w:spacing w:line="240" w:lineRule="auto" w:before="120" w:after="60"/>
        <w:keepNext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（三）預期完成之工作項目及成果</w:t>
      </w:r>
    </w:p>
    <w:p>
      <w:pPr>
        <w:pStyle w:val="Heading3"/>
        <w:spacing w:line="240" w:lineRule="auto" w:before="120" w:after="60"/>
        <w:keepNext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1. 分年預期完成之工作項目</w:t>
      </w:r>
    </w:p>
    <w:p>
      <w:pPr>
        <w:spacing w:line="240" w:lineRule="auto" w:before="120" w:after="60"/>
        <w:keepNext/>
        <w:widowControl/>
      </w:pPr>
      <w:r>
        <w:rPr>
          <w:rFonts w:ascii="Times New Roman" w:hAnsi="Times New Roman" w:eastAsia="Noto Serif CJK TC" w:cs="Times New Roman"/>
          <w:b/>
          <w:bCs/>
          <w:color w:val="000000"/>
          <w:sz w:val="24"/>
          <w:szCs w:val="24"/>
        </w:rPr>
        <w:t xml:space="preserve">表 21　分年工作項目與查核依據</w:t>
      </w:r>
    </w:p>
    <w:tbl>
      <w:tblPr>
        <w:tblW w:type="dxa" w:w="9638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CellMar>
          <w:top w:w="45" w:type="dxa"/>
          <w:bottom w:w="45" w:type="dxa"/>
          <w:left w:w="65" w:type="dxa"/>
          <w:right w:w="65" w:type="dxa"/>
        </w:tblCellMar>
      </w:tblPr>
      <w:tblGrid>
        <w:gridCol w:w="1134"/>
        <w:gridCol w:w="4252"/>
        <w:gridCol w:w="4252"/>
      </w:tblGrid>
      <w:tr>
        <w:trPr>
          <w:cantSplit/>
          <w:tblHeader/>
        </w:trPr>
        <w:tc>
          <w:tcPr>
            <w:tcW w:type="dxa" w:w="1134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年度</w:t>
            </w:r>
          </w:p>
        </w:tc>
        <w:tc>
          <w:tcPr>
            <w:tcW w:type="dxa" w:w="4252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工作項目</w:t>
            </w:r>
          </w:p>
        </w:tc>
        <w:tc>
          <w:tcPr>
            <w:tcW w:type="dxa" w:w="4252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查核依據</w:t>
            </w:r>
          </w:p>
        </w:tc>
      </w:tr>
      <w:tr>
        <w:trPr>
          <w:cantSplit/>
        </w:trPr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第一年</w:t>
            </w:r>
          </w:p>
        </w:tc>
        <w:tc>
          <w:tcPr>
            <w:tcW w:type="dxa" w:w="42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4 nm 介面與約束 schema；三類 primitive 共 48 個合法變體（E1）；規則庫 v1；full 萃取基準與 SE 介面；寄生預測基準模型</w:t>
            </w:r>
          </w:p>
        </w:tc>
        <w:tc>
          <w:tcPr>
            <w:tcW w:type="dxa" w:w="42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E1 因子報告；規則 ≥ 60 條且附驗證方式；敏感 C NMAE；SE 校正誤差</w:t>
            </w:r>
          </w:p>
        </w:tc>
      </w:tr>
      <w:tr>
        <w:trPr>
          <w:cantSplit/>
        </w:trPr>
        <w:tc>
          <w:tcPr>
            <w:tcW w:type="dxa" w:w="1134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第二年</w:t>
            </w:r>
          </w:p>
        </w:tc>
        <w:tc>
          <w:tcPr>
            <w:tcW w:type="dxa" w:w="4252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參數化模板；粗至細搜尋與五代理 ECO 閉迴路；E2 保留測試；E3 完整 ADC 配對比較與消融；平台與資料集開放</w:t>
            </w:r>
          </w:p>
        </w:tc>
        <w:tc>
          <w:tcPr>
            <w:tcW w:type="dxa" w:w="4252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SE 門檻與加速；SNDR 改善或規格率；完整驗證次數；最終 S0 驗收</w:t>
            </w:r>
          </w:p>
        </w:tc>
      </w:tr>
    </w:tbl>
    <w:p>
      <w:pPr>
        <w:spacing w:line="240" w:lineRule="auto" w:before="0" w:after="60"/>
        <w:widowControl/>
      </w:pPr>
    </w:p>
    <w:p>
      <w:pPr>
        <w:pStyle w:val="Heading3"/>
        <w:spacing w:line="240" w:lineRule="auto" w:before="120" w:after="60"/>
        <w:keepNext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2. 預期完成之研究成果</w:t>
      </w:r>
    </w:p>
    <w:p>
      <w:pPr>
        <w:spacing w:line="240" w:lineRule="auto" w:before="120" w:after="60"/>
        <w:keepNext/>
        <w:widowControl/>
      </w:pPr>
      <w:r>
        <w:rPr>
          <w:rFonts w:ascii="Times New Roman" w:hAnsi="Times New Roman" w:eastAsia="Noto Serif CJK TC" w:cs="Times New Roman"/>
          <w:b/>
          <w:bCs/>
          <w:color w:val="000000"/>
          <w:sz w:val="24"/>
          <w:szCs w:val="24"/>
        </w:rPr>
        <w:t xml:space="preserve">表 22　預期研究成果</w:t>
      </w:r>
    </w:p>
    <w:tbl>
      <w:tblPr>
        <w:tblW w:type="dxa" w:w="9638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CellMar>
          <w:top w:w="45" w:type="dxa"/>
          <w:bottom w:w="45" w:type="dxa"/>
          <w:left w:w="65" w:type="dxa"/>
          <w:right w:w="65" w:type="dxa"/>
        </w:tblCellMar>
      </w:tblPr>
      <w:tblGrid>
        <w:gridCol w:w="1984"/>
        <w:gridCol w:w="2126"/>
        <w:gridCol w:w="2126"/>
        <w:gridCol w:w="3402"/>
      </w:tblGrid>
      <w:tr>
        <w:trPr>
          <w:cantSplit/>
          <w:tblHeader/>
        </w:trPr>
        <w:tc>
          <w:tcPr>
            <w:tcW w:type="dxa" w:w="1984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成果</w:t>
            </w:r>
          </w:p>
        </w:tc>
        <w:tc>
          <w:tcPr>
            <w:tcW w:type="dxa" w:w="2126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第一年</w:t>
            </w:r>
          </w:p>
        </w:tc>
        <w:tc>
          <w:tcPr>
            <w:tcW w:type="dxa" w:w="2126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第二年</w:t>
            </w:r>
          </w:p>
        </w:tc>
        <w:tc>
          <w:tcPr>
            <w:tcW w:type="dxa" w:w="3402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內容與完成依據</w:t>
            </w:r>
          </w:p>
        </w:tc>
      </w:tr>
      <w:tr>
        <w:trPr>
          <w:cantSplit/>
        </w:trPr>
        <w:tc>
          <w:tcPr>
            <w:tcW w:type="dxa" w:w="19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研究原型</w:t>
            </w:r>
          </w:p>
        </w:tc>
        <w:tc>
          <w:tcPr>
            <w:tcW w:type="dxa" w:w="21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介面與 SE 原型</w:t>
            </w:r>
          </w:p>
        </w:tc>
        <w:tc>
          <w:tcPr>
            <w:tcW w:type="dxa" w:w="21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閉迴路 1 套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可執行之閉迴路與版本化約束介面</w:t>
            </w:r>
          </w:p>
        </w:tc>
      </w:tr>
      <w:tr>
        <w:trPr>
          <w:cantSplit/>
        </w:trPr>
        <w:tc>
          <w:tcPr>
            <w:tcW w:type="dxa" w:w="1984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4 nm 佈局變體</w:t>
            </w:r>
          </w:p>
        </w:tc>
        <w:tc>
          <w:tcPr>
            <w:tcW w:type="dxa" w:w="2126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3 類、48 個</w:t>
            </w:r>
          </w:p>
        </w:tc>
        <w:tc>
          <w:tcPr>
            <w:tcW w:type="dxa" w:w="2126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模板擴充</w:t>
            </w:r>
          </w:p>
        </w:tc>
        <w:tc>
          <w:tcPr>
            <w:tcW w:type="dxa" w:w="3402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電氣等效、GDS、環境、pin 與 full 證據</w:t>
            </w:r>
          </w:p>
        </w:tc>
      </w:tr>
      <w:tr>
        <w:trPr>
          <w:cantSplit/>
        </w:trPr>
        <w:tc>
          <w:tcPr>
            <w:tcW w:type="dxa" w:w="19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驗證資料</w:t>
            </w:r>
          </w:p>
        </w:tc>
        <w:tc>
          <w:tcPr>
            <w:tcW w:type="dxa" w:w="21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200 個 RC 標籤</w:t>
            </w:r>
          </w:p>
        </w:tc>
        <w:tc>
          <w:tcPr>
            <w:tcW w:type="dxa" w:w="21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60 個 ADC 標籤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含訓練、驗證與保留案例清單</w:t>
            </w:r>
          </w:p>
        </w:tc>
      </w:tr>
      <w:tr>
        <w:trPr>
          <w:cantSplit/>
        </w:trPr>
        <w:tc>
          <w:tcPr>
            <w:tcW w:type="dxa" w:w="1984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SE 與技術報告</w:t>
            </w:r>
          </w:p>
        </w:tc>
        <w:tc>
          <w:tcPr>
            <w:tcW w:type="dxa" w:w="2126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≥ 12 案例</w:t>
            </w:r>
          </w:p>
        </w:tc>
        <w:tc>
          <w:tcPr>
            <w:tcW w:type="dxa" w:w="2126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報告 1 份</w:t>
            </w:r>
          </w:p>
        </w:tc>
        <w:tc>
          <w:tcPr>
            <w:tcW w:type="dxa" w:w="3402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S0–S3、門檻、誤判、加速及失敗邊界</w:t>
            </w:r>
          </w:p>
        </w:tc>
      </w:tr>
      <w:tr>
        <w:trPr>
          <w:cantSplit/>
        </w:trPr>
        <w:tc>
          <w:tcPr>
            <w:tcW w:type="dxa" w:w="19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論文</w:t>
            </w:r>
          </w:p>
        </w:tc>
        <w:tc>
          <w:tcPr>
            <w:tcW w:type="dxa" w:w="21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研討會 1 篇</w:t>
            </w:r>
          </w:p>
        </w:tc>
        <w:tc>
          <w:tcPr>
            <w:tcW w:type="dxa" w:w="21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期刊或研討會 1–2 篇投稿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以可重現方法與比較結果為主，不預設錄取</w:t>
            </w:r>
          </w:p>
        </w:tc>
      </w:tr>
      <w:tr>
        <w:trPr>
          <w:cantSplit/>
        </w:trPr>
        <w:tc>
          <w:tcPr>
            <w:tcW w:type="dxa" w:w="1984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人才培育</w:t>
            </w:r>
          </w:p>
        </w:tc>
        <w:tc>
          <w:tcPr>
            <w:tcW w:type="dxa" w:w="2126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碩士生 1–2 名</w:t>
            </w:r>
          </w:p>
        </w:tc>
        <w:tc>
          <w:tcPr>
            <w:tcW w:type="dxa" w:w="2126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碩士論文 1–2 篇</w:t>
            </w:r>
          </w:p>
        </w:tc>
        <w:tc>
          <w:tcPr>
            <w:tcW w:type="dxa" w:w="3402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  <w:t xml:space="preserve">依實際參與人員填列</w:t>
            </w:r>
          </w:p>
        </w:tc>
      </w:tr>
    </w:tbl>
    <w:p>
      <w:pPr>
        <w:spacing w:line="240" w:lineRule="auto" w:before="0" w:after="60"/>
        <w:widowControl/>
      </w:pPr>
    </w:p>
    <w:p>
      <w:pPr>
        <w:pStyle w:val="Heading3"/>
        <w:spacing w:line="240" w:lineRule="auto" w:before="120" w:after="60"/>
        <w:keepNext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3. 參與工作人員可獲之訓練</w:t>
      </w:r>
    </w:p>
    <w:p>
      <w:pPr>
        <w:spacing w:line="240" w:lineRule="auto" w:before="0" w:after="60"/>
        <w:jc w:val="both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研究助理與學生將接受 4 nm 鰭數與模型、PCell 與局部互連、dummy 與 LDE、差動配線、DRC／LVS／PEX、SE 邊界、SPICE 與 FFT、因子與配對統計，以及 LLM 多代理、圖模型與最佳化方法訓練。每月依工具證據檢討，要求原始設計、變體、選取清單、網表與成果可追溯。</w:t>
      </w:r>
    </w:p>
    <w:p>
      <w:pPr>
        <w:pStyle w:val="Heading3"/>
        <w:spacing w:line="240" w:lineRule="auto" w:before="120" w:after="60"/>
        <w:keepNext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4. 學術、國家發展及其他應用方面之貢獻</w:t>
      </w:r>
    </w:p>
    <w:p>
      <w:pPr>
        <w:pStyle w:val="ListParagraph"/>
        <w:numPr>
          <w:ilvl w:val="0"/>
          <w:numId w:val="3"/>
        </w:numPr>
        <w:spacing w:line="240" w:lineRule="auto" w:before="0" w:after="60"/>
        <w:jc w:val="both"/>
        <w:widowControl/>
      </w:pPr>
      <w:r>
        <w:rPr>
          <w:rFonts w:ascii="Times New Roman" w:hAnsi="Times New Roman" w:eastAsia="Noto Serif CJK TC" w:cs="Times New Roman"/>
          <w:b/>
          <w:bCs/>
          <w:sz w:val="24"/>
          <w:szCs w:val="24"/>
          <w:color w:val="000000"/>
        </w:rPr>
        <w:t xml:space="preserve">學術：</w:t>
      </w: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 建立 4 nm 局部互連與匹配環境至 SAR ADC 效能的實驗證據，並釐清 ESD 型 SE 方法轉用類比轉換器的必要條件。</w:t>
      </w:r>
    </w:p>
    <w:p>
      <w:pPr>
        <w:pStyle w:val="ListParagraph"/>
        <w:numPr>
          <w:ilvl w:val="0"/>
          <w:numId w:val="3"/>
        </w:numPr>
        <w:spacing w:line="240" w:lineRule="auto" w:before="0" w:after="60"/>
        <w:jc w:val="both"/>
        <w:widowControl/>
      </w:pPr>
      <w:r>
        <w:rPr>
          <w:rFonts w:ascii="Times New Roman" w:hAnsi="Times New Roman" w:eastAsia="Noto Serif CJK TC" w:cs="Times New Roman"/>
          <w:b/>
          <w:bCs/>
          <w:sz w:val="24"/>
          <w:szCs w:val="24"/>
          <w:color w:val="000000"/>
        </w:rPr>
        <w:t xml:space="preserve">技術：</w:t>
      </w: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 將可調佈局參數、primitive 變體、快速篩選與 full 驗收串接至既有 AI 平台，形成可審查的實體設計資料與方法。</w:t>
      </w:r>
    </w:p>
    <w:p>
      <w:pPr>
        <w:pStyle w:val="ListParagraph"/>
        <w:numPr>
          <w:ilvl w:val="0"/>
          <w:numId w:val="3"/>
        </w:numPr>
        <w:spacing w:line="240" w:lineRule="auto" w:before="0" w:after="60"/>
        <w:jc w:val="both"/>
        <w:widowControl/>
      </w:pPr>
      <w:r>
        <w:rPr>
          <w:rFonts w:ascii="Times New Roman" w:hAnsi="Times New Roman" w:eastAsia="Noto Serif CJK TC" w:cs="Times New Roman"/>
          <w:b/>
          <w:bCs/>
          <w:sz w:val="24"/>
          <w:szCs w:val="24"/>
          <w:color w:val="000000"/>
        </w:rPr>
        <w:t xml:space="preserve">國家發展與產業：</w:t>
      </w: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 強化先進製程類比 IP 設計自動化的自主能力；可公開部分包括方法說明、無製程機密的 schema、評估腳本與可再散布案例。專利與技術移轉於結果具體後評估，不預先承諾件數或金額。</w:t>
      </w:r>
    </w:p>
    <w:p>
      <w:pPr>
        <w:pStyle w:val="Heading2"/>
        <w:spacing w:line="240" w:lineRule="auto" w:before="120" w:after="60"/>
        <w:keepNext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（四）整合型研究計畫說明</w:t>
      </w:r>
    </w:p>
    <w:p>
      <w:pPr>
        <w:spacing w:line="240" w:lineRule="auto" w:before="0" w:after="60"/>
        <w:jc w:val="both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本計畫為個別型計畫，依國科會申請書格式撰寫 [28]。內部工作包由主持人統籌，研究助理負責工具串接、資料與版本管理，學生依電路、佈局及模型分工。</w:t>
      </w:r>
    </w:p>
    <w:p>
      <w:pPr>
        <w:pStyle w:val="Heading1"/>
        <w:spacing w:line="240" w:lineRule="auto" w:before="120" w:after="60"/>
        <w:keepNext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參考文獻</w:t>
      </w:r>
    </w:p>
    <w:p>
      <w:pPr>
        <w:spacing w:line="240" w:lineRule="auto" w:before="0" w:after="60"/>
        <w:ind w:left="480" w:hanging="480"/>
        <w:jc w:val="left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[1] Y. Kwon et al., "A 10-bit 500-MS/s pipelined SAR ADC with feedback factor compensation in 6-nm FinFET," IEEE Trans. Circuits Syst. II, vol. 72, no. 5, pp. 698–702, May 2025.</w:t>
      </w:r>
    </w:p>
    <w:p>
      <w:pPr>
        <w:spacing w:line="240" w:lineRule="auto" w:before="0" w:after="60"/>
        <w:ind w:left="480" w:hanging="480"/>
        <w:jc w:val="left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[2] S. Baek et al., "A 12b 600MS/s pipelined SAR and 2×-interleaved incremental delta-sigma ADC with source-follower-based residue-transfer scheme in 7nm FinFET," in IEEE ISSCC Dig. Tech. Papers, 2021, pp. 172–174.</w:t>
      </w:r>
    </w:p>
    <w:p>
      <w:pPr>
        <w:spacing w:line="240" w:lineRule="auto" w:before="0" w:after="60"/>
        <w:ind w:left="480" w:hanging="480"/>
        <w:jc w:val="left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[3] "Design challenges and techniques for 5nm FinFET CMOS analog/mixed-signal circuits," in Proc. Int. Conf. VLSI Design (VLSID), 2023, pp. 98–103, doi: 10.1109/VLSID57277.2023.00033.</w:t>
      </w:r>
      <w:r>
        <w:rPr>
          <w:rFonts w:ascii="Times New Roman" w:hAnsi="Times New Roman" w:eastAsia="Noto Serif CJK TC" w:cs="Times New Roman"/>
          <w:sz w:val="24"/>
          <w:szCs w:val="24"/>
          <w:highlight w:val="yellow"/>
          <w:highlightCs w:val="yellow"/>
          <w:color w:val="000000"/>
        </w:rPr>
        <w:t xml:space="preserve">（作者待補）</w:t>
      </w:r>
    </w:p>
    <w:p>
      <w:pPr>
        <w:spacing w:line="240" w:lineRule="auto" w:before="0" w:after="60"/>
        <w:ind w:left="480" w:hanging="480"/>
        <w:jc w:val="left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[4] Synopsys, "FinFET design insights and reliability." [Online]. Available: https://www.synopsys.com/articles/finfet-design.html（鰭數量化與限制性規則；實際參數依指定 PDK）</w:t>
      </w:r>
    </w:p>
    <w:p>
      <w:pPr>
        <w:spacing w:line="240" w:lineRule="auto" w:before="0" w:after="60"/>
        <w:ind w:left="480" w:hanging="480"/>
        <w:jc w:val="left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[5] M. Madhusudan et al., "Analog layout generation using optimized primitives," in Proc. DATE, 2021, pp. 1234–1239, doi: 10.23919/DATE51398.2021.9474010.</w:t>
      </w:r>
    </w:p>
    <w:p>
      <w:pPr>
        <w:spacing w:line="240" w:lineRule="auto" w:before="0" w:after="60"/>
        <w:ind w:left="480" w:hanging="480"/>
        <w:jc w:val="left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[6] B. Razavi, "The StrongARM latch: A circuit for all seasons," IEEE Solid-State Circuits Magazine, vol. 7, no. 2, pp. 12–17, 2015.</w:t>
      </w:r>
    </w:p>
    <w:p>
      <w:pPr>
        <w:spacing w:line="240" w:lineRule="auto" w:before="0" w:after="60"/>
        <w:ind w:left="480" w:hanging="480"/>
        <w:jc w:val="left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[7] 實驗室提供，AI-Driven_Parasitic-Aware_SAR-ADC_Placement.pptx（第 1–15 頁）與 AI-driven Macro Placement.pptx（第 2–5 頁）；示意圖僅作研究構想參考，不作為本計畫實測結果。</w:t>
      </w:r>
    </w:p>
    <w:p>
      <w:pPr>
        <w:spacing w:line="240" w:lineRule="auto" w:before="0" w:after="60"/>
        <w:ind w:left="480" w:hanging="480"/>
        <w:jc w:val="left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[8] Y. Li, Q. Wu, and X. Liu, "A MEOL logic layout optimization recommendation under 3 nm CFET architecture and beyond," in Proc. IEEE ICSICT, 2022, doi: 10.1109/ICSICT55466.2022.9963470.</w:t>
      </w:r>
    </w:p>
    <w:p>
      <w:pPr>
        <w:spacing w:line="240" w:lineRule="auto" w:before="0" w:after="60"/>
        <w:ind w:left="480" w:hanging="480"/>
        <w:jc w:val="left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[9] W. Lee et al., "Fast and accurate post-layout simulation methodology using 4nm LVS rule deck," in Proc. IEEE MDTS, 2022, doi: 10.1109/MDTS54894.2022.9826968.</w:t>
      </w:r>
    </w:p>
    <w:p>
      <w:pPr>
        <w:spacing w:line="240" w:lineRule="auto" w:before="0" w:after="60"/>
        <w:ind w:left="480" w:hanging="480"/>
        <w:jc w:val="left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[10] 實驗室提供，SMI_Final_Report-V4_RALF.pptx（AI agent 智慧化設計分析平台結案報告），第 3–4、8–9、19–21、24–30 頁；封面標示日期 2026/10/30。</w:t>
      </w:r>
    </w:p>
    <w:p>
      <w:pPr>
        <w:spacing w:line="240" w:lineRule="auto" w:before="0" w:after="60"/>
        <w:ind w:left="480" w:hanging="480"/>
        <w:jc w:val="left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[11] T. Dhar et al., "ALIGN: A system for automating analog layout," IEEE Design &amp; Test, vol. 38, no. 2, pp. 8–18, 2021, doi: 10.1109/MDAT.2020.3042177.</w:t>
      </w:r>
    </w:p>
    <w:p>
      <w:pPr>
        <w:spacing w:line="240" w:lineRule="auto" w:before="0" w:after="60"/>
        <w:ind w:left="480" w:hanging="480"/>
        <w:jc w:val="left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[12] B. Xu et al., "MAGICAL: Toward fully automated analog IC layout leveraging human and machine intelligence," in Proc. IEEE/ACM ICCAD, 2019.</w:t>
      </w:r>
    </w:p>
    <w:p>
      <w:pPr>
        <w:spacing w:line="240" w:lineRule="auto" w:before="0" w:after="60"/>
        <w:ind w:left="480" w:hanging="480"/>
        <w:jc w:val="left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[13] M. Liu, X. Tang, K. Zhu, H. Chen, N. Sun, and D. Z. Pan, "OpenSAR: An open source automated end-to-end SAR ADC compiler," in Proc. IEEE/ACM ICCAD, 2021.</w:t>
      </w:r>
    </w:p>
    <w:p>
      <w:pPr>
        <w:spacing w:line="240" w:lineRule="auto" w:before="0" w:after="60"/>
        <w:ind w:left="480" w:hanging="480"/>
        <w:jc w:val="left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[14] J. Ratschenberger and H. Pretl, "RALF: A reinforcement learning assisted automated analog layout design flow," TechRxiv preprint, 2024, doi: 10.36227/techrxiv.171742468.82130474/v1；開源實作 https://github.com/JakobRat/RALF（以研究起始時固定之 commit 為準）。</w:t>
      </w:r>
    </w:p>
    <w:p>
      <w:pPr>
        <w:spacing w:line="240" w:lineRule="auto" w:before="0" w:after="60"/>
        <w:ind w:left="480" w:hanging="480"/>
        <w:jc w:val="left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[15] B. Liu, Z. Jin, K. Sun, Z. Lu, Q. Zhang, and B. Yuan, "Coarse-to-fine macro placement via evolutionary search and critical macro tuning," arXiv:2609.34452v1, 2026.</w:t>
      </w:r>
      <w:r>
        <w:rPr>
          <w:rFonts w:ascii="Times New Roman" w:hAnsi="Times New Roman" w:eastAsia="Noto Serif CJK TC" w:cs="Times New Roman"/>
          <w:sz w:val="24"/>
          <w:szCs w:val="24"/>
          <w:highlight w:val="yellow"/>
          <w:highlightCs w:val="yellow"/>
          <w:color w:val="000000"/>
        </w:rPr>
        <w:t xml:space="preserve">（預印本，請主持人確認版本與出處）</w:t>
      </w:r>
    </w:p>
    <w:p>
      <w:pPr>
        <w:spacing w:line="240" w:lineRule="auto" w:before="0" w:after="60"/>
        <w:ind w:left="480" w:hanging="480"/>
        <w:jc w:val="left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[16] A. Mirhoseini et al., "A graph placement methodology for fast chip design," Nature, vol. 594, pp. 207–212, 2021.</w:t>
      </w:r>
    </w:p>
    <w:p>
      <w:pPr>
        <w:spacing w:line="240" w:lineRule="auto" w:before="0" w:after="60"/>
        <w:ind w:left="480" w:hanging="480"/>
        <w:jc w:val="left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[17] A. F. Budak et al., "Joint optimization of sizing and layout for AMS designs: Challenges and opportunities," in Proc. ISPD, 2023, pp. 84–92.</w:t>
      </w:r>
    </w:p>
    <w:p>
      <w:pPr>
        <w:spacing w:line="240" w:lineRule="auto" w:before="0" w:after="60"/>
        <w:ind w:left="480" w:hanging="480"/>
        <w:jc w:val="left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[18] S. Maji, A. F. Budak, S. Poddar, and D. Z. Pan, "Toward end-to-end analog design automation with ML and data-driven approaches (invited paper)," in Proc. ASP-DAC, 2024, pp. 657–664.</w:t>
      </w:r>
    </w:p>
    <w:p>
      <w:pPr>
        <w:spacing w:line="240" w:lineRule="auto" w:before="0" w:after="60"/>
        <w:ind w:left="480" w:hanging="480"/>
        <w:jc w:val="left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[19] H. Ren, G. F. Kokai, W. J. Turner, and T.-S. Ku, "ParaGraph: Layout parasitics and device parameter prediction using graph neural networks," in Proc. DAC, 2020.</w:t>
      </w:r>
    </w:p>
    <w:p>
      <w:pPr>
        <w:spacing w:line="240" w:lineRule="auto" w:before="0" w:after="60"/>
        <w:ind w:left="480" w:hanging="480"/>
        <w:jc w:val="left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[20] X. Gao et al., "Layout symmetry annotation for analog circuits with graph neural networks," in Proc. ASP-DAC, 2021, pp. 152–157.</w:t>
      </w:r>
    </w:p>
    <w:p>
      <w:pPr>
        <w:spacing w:line="240" w:lineRule="auto" w:before="0" w:after="60"/>
        <w:ind w:left="480" w:hanging="480"/>
        <w:jc w:val="left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[21] Y. Lai et al., "AnalogCoder: Analog circuit design via training-free code generation," in Proc. AAAI, vol. 39, 2025, pp. 379–387.</w:t>
      </w:r>
    </w:p>
    <w:p>
      <w:pPr>
        <w:spacing w:line="240" w:lineRule="auto" w:before="0" w:after="60"/>
        <w:ind w:left="480" w:hanging="480"/>
        <w:jc w:val="left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[22] Z. Bao et al., "AnalogAgent: Self-improving analog circuit design automation with LLM agents," preprint, 2026.</w:t>
      </w:r>
    </w:p>
    <w:p>
      <w:pPr>
        <w:spacing w:line="240" w:lineRule="auto" w:before="0" w:after="60"/>
        <w:ind w:left="480" w:hanging="480"/>
        <w:jc w:val="left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[23] B. Liu et al., "LayoutCopilot: An LLM-powered multi-agent collaborative framework for interactive analog layout design," IEEE Trans. Comput.-Aided Design Integr. Circuits Syst., 2025.</w:t>
      </w:r>
    </w:p>
    <w:p>
      <w:pPr>
        <w:spacing w:line="240" w:lineRule="auto" w:before="0" w:after="60"/>
        <w:ind w:left="480" w:hanging="480"/>
        <w:jc w:val="left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[24] G. Chen et al., "LLM-enhanced Bayesian optimization for efficient analog layout constraint generation," arXiv:2406.05250, 2024.</w:t>
      </w:r>
    </w:p>
    <w:p>
      <w:pPr>
        <w:spacing w:line="240" w:lineRule="auto" w:before="0" w:after="60"/>
        <w:ind w:left="480" w:hanging="480"/>
        <w:jc w:val="left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[25] D. N. Zadeh and M. B. Elamien, "Generative AI for analog integrated circuit design: Methodologies and applications."</w:t>
      </w:r>
      <w:r>
        <w:rPr>
          <w:rFonts w:ascii="Times New Roman" w:hAnsi="Times New Roman" w:eastAsia="Noto Serif CJK TC" w:cs="Times New Roman"/>
          <w:sz w:val="24"/>
          <w:szCs w:val="24"/>
          <w:highlight w:val="yellow"/>
          <w:highlightCs w:val="yellow"/>
          <w:color w:val="000000"/>
        </w:rPr>
        <w:t xml:space="preserve">（期刊出處待補）</w:t>
      </w:r>
    </w:p>
    <w:p>
      <w:pPr>
        <w:spacing w:line="240" w:lineRule="auto" w:before="0" w:after="60"/>
        <w:ind w:left="480" w:hanging="480"/>
        <w:jc w:val="left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[26] Y. Hao, K. Li, M. Gandara, S. Li, and B. Liu, "A global-local optimization approach for asynchronous SAR ADC design," arXiv:2507.19541, 2025.</w:t>
      </w:r>
    </w:p>
    <w:p>
      <w:pPr>
        <w:spacing w:line="240" w:lineRule="auto" w:before="0" w:after="60"/>
        <w:ind w:left="480" w:hanging="480"/>
        <w:jc w:val="left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[27] 實驗室提供，Macro Placement → Parasitic Feedback → ECO Re-placement.docx（寄生感知成本、參考與時脈約束、效能回饋及 ECO 研究構想）。</w:t>
      </w:r>
    </w:p>
    <w:p>
      <w:pPr>
        <w:spacing w:line="240" w:lineRule="auto" w:before="0" w:after="60"/>
        <w:ind w:left="480" w:hanging="480"/>
        <w:jc w:val="left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[28] 國家科學及技術委員會，專題研究計畫申請書（115 年 4 月 10 日版，申請書1150410.docx）；共用表格與工程處表格：https://www.nstc.gov.tw/folksonomy/list/6c0b309f-518b-4613-a142-44af89109251?l=ch（查核日期 2026/10/05）。</w:t>
      </w:r>
    </w:p>
    <w:p>
      <w:pPr>
        <w:sectPr>
          <w:pgSz w:w="11906" w:h="16838" w:orient="portrait"/>
          <w:pgMar w:top="1134" w:right="1134" w:bottom="1134" w:left="1134" w:header="567" w:footer="567" w:gutter="0"/>
          <w:footerReference w:type="default" r:id="rIdV5Footer3"/>
          <w:type w:val="nextPage"/>
          <w:pgNumType w:start="1"/>
        </w:sectPr>
      </w:pPr>
    </w:p>
    <w:p>
      <w:pPr>
        <w:pStyle w:val="Heading1"/>
        <w:spacing w:line="240" w:lineRule="auto" w:before="120" w:after="60"/>
        <w:keepNext/>
        <w:widowControl/>
      </w:pPr>
      <w:r>
        <w:t>五至十、申請補助經費、研究人力與設備（CM05至CM10填寫工作稿）</w:t>
        <w:rPr>
          <w:rFonts w:ascii="Times New Roman" w:hAnsi="Times New Roman" w:eastAsia="Noto Serif CJK TC" w:cs="Times New Roman"/>
          <w:sz w:val="24"/>
          <w:szCs w:val="24"/>
          <w:color w:val="000000"/>
        </w:rPr>
      </w:r>
    </w:p>
    <w:p>
      <w:pPr>
        <w:spacing w:line="240" w:lineRule="auto" w:before="0" w:after="60"/>
        <w:jc w:val="both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 xml:space="preserve">經費以兩年期研究需求編列；研究人力為核心，優先重用既有運算與 EDA 資源。金額由主持人與申請機構依實際敘薪及報價填列。</w:t>
      </w:r>
    </w:p>
    <w:p>
      <w:pPr>
        <w:spacing w:line="240" w:lineRule="auto" w:before="120" w:after="60"/>
        <w:keepNext/>
        <w:widowControl/>
      </w:pPr>
      <w:r>
        <w:rPr>
          <w:rFonts w:ascii="Times New Roman" w:hAnsi="Times New Roman" w:eastAsia="Noto Serif CJK TC" w:cs="Times New Roman"/>
          <w:b/>
          <w:bCs/>
          <w:color w:val="000000"/>
          <w:sz w:val="24"/>
          <w:szCs w:val="24"/>
        </w:rPr>
        <w:t xml:space="preserve">表 23　申請補助經費彙整（CM05）</w:t>
      </w:r>
    </w:p>
    <w:tbl>
      <w:tblPr>
        <w:tblW w:type="dxa" w:w="9638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CellMar>
          <w:top w:w="45" w:type="dxa"/>
          <w:bottom w:w="45" w:type="dxa"/>
          <w:left w:w="65" w:type="dxa"/>
          <w:right w:w="65" w:type="dxa"/>
        </w:tblCellMar>
      </w:tblPr>
      <w:tblGrid>
        <w:gridCol w:w="2190"/>
        <w:gridCol w:w="4235"/>
        <w:gridCol w:w="1606"/>
        <w:gridCol w:w="1607"/>
      </w:tblGrid>
      <w:tr>
        <w:trPr>
          <w:cantSplit/>
          <w:tblHeader/>
        </w:trPr>
        <w:tc>
          <w:tcPr>
            <w:tcW w:type="dxa" w:w="2190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補助項目</w:t>
            </w:r>
          </w:p>
        </w:tc>
        <w:tc>
          <w:tcPr>
            <w:tcW w:type="dxa" w:w="4235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需求與計算依據</w:t>
            </w:r>
          </w:p>
        </w:tc>
        <w:tc>
          <w:tcPr>
            <w:tcW w:type="dxa" w:w="1606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第一年</w:t>
            </w:r>
          </w:p>
        </w:tc>
        <w:tc>
          <w:tcPr>
            <w:tcW w:type="dxa" w:w="1607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第二年</w:t>
            </w:r>
          </w:p>
        </w:tc>
      </w:tr>
      <w:tr>
        <w:trPr>
          <w:cantSplit/>
        </w:trPr>
        <w:tc>
          <w:tcPr>
            <w:tcW w:type="dxa" w:w="2190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研究人力費</w:t>
            </w:r>
          </w:p>
        </w:tc>
        <w:tc>
          <w:tcPr>
            <w:tcW w:type="dxa" w:w="423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專任研究助理 1 名、兼任學生 2 名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highlight w:val="yellow"/>
                <w:highlightCs w:val="yellow"/>
                <w:color w:val="000000"/>
              </w:rPr>
              <w:t xml:space="preserve">【待填】</w:t>
            </w:r>
          </w:p>
        </w:tc>
        <w:tc>
          <w:tcPr>
            <w:tcW w:type="dxa" w:w="16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highlight w:val="yellow"/>
                <w:highlightCs w:val="yellow"/>
                <w:color w:val="000000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2190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耗材、物品、圖書及雜項</w:t>
            </w:r>
          </w:p>
        </w:tc>
        <w:tc>
          <w:tcPr>
            <w:tcW w:type="dxa" w:w="4235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資料保存、研究文獻與必要軟體服務</w:t>
            </w:r>
          </w:p>
        </w:tc>
        <w:tc>
          <w:tcPr>
            <w:tcW w:type="dxa" w:w="1606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highlight w:val="yellow"/>
                <w:highlightCs w:val="yellow"/>
                <w:color w:val="000000"/>
              </w:rPr>
              <w:t xml:space="preserve">【待填】</w:t>
            </w:r>
          </w:p>
        </w:tc>
        <w:tc>
          <w:tcPr>
            <w:tcW w:type="dxa" w:w="1607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highlight w:val="yellow"/>
                <w:highlightCs w:val="yellow"/>
                <w:color w:val="000000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2190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研究設備費</w:t>
            </w:r>
          </w:p>
        </w:tc>
        <w:tc>
          <w:tcPr>
            <w:tcW w:type="dxa" w:w="423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依既有 GPU、CPU、RAM 與儲存盤點決定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highlight w:val="yellow"/>
                <w:highlightCs w:val="yellow"/>
                <w:color w:val="000000"/>
              </w:rPr>
              <w:t xml:space="preserve">【待填或 0】</w:t>
            </w:r>
          </w:p>
        </w:tc>
        <w:tc>
          <w:tcPr>
            <w:tcW w:type="dxa" w:w="16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highlight w:val="yellow"/>
                <w:highlightCs w:val="yellow"/>
                <w:color w:val="000000"/>
              </w:rPr>
              <w:t xml:space="preserve">【待填或 0】</w:t>
            </w:r>
          </w:p>
        </w:tc>
      </w:tr>
      <w:tr>
        <w:trPr>
          <w:cantSplit/>
        </w:trPr>
        <w:tc>
          <w:tcPr>
            <w:tcW w:type="dxa" w:w="2190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國外學者來臺</w:t>
            </w:r>
          </w:p>
        </w:tc>
        <w:tc>
          <w:tcPr>
            <w:tcW w:type="dxa" w:w="4235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暫無規劃</w:t>
            </w:r>
          </w:p>
        </w:tc>
        <w:tc>
          <w:tcPr>
            <w:tcW w:type="dxa" w:w="1606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0</w:t>
            </w:r>
          </w:p>
        </w:tc>
        <w:tc>
          <w:tcPr>
            <w:tcW w:type="dxa" w:w="1607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190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國外差旅</w:t>
            </w:r>
          </w:p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（合作／移地）</w:t>
            </w:r>
          </w:p>
        </w:tc>
        <w:tc>
          <w:tcPr>
            <w:tcW w:type="dxa" w:w="423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核心工作無此需求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0</w:t>
            </w:r>
          </w:p>
        </w:tc>
        <w:tc>
          <w:tcPr>
            <w:tcW w:type="dxa" w:w="16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190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國外差旅</w:t>
            </w:r>
          </w:p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（國際會議）</w:t>
            </w:r>
          </w:p>
        </w:tc>
        <w:tc>
          <w:tcPr>
            <w:tcW w:type="dxa" w:w="4235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依成果與錄取情形另編 CM12</w:t>
            </w:r>
          </w:p>
        </w:tc>
        <w:tc>
          <w:tcPr>
            <w:tcW w:type="dxa" w:w="1606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highlight w:val="yellow"/>
                <w:highlightCs w:val="yellow"/>
                <w:color w:val="000000"/>
              </w:rPr>
              <w:t xml:space="preserve">【待填或 0】</w:t>
            </w:r>
          </w:p>
        </w:tc>
        <w:tc>
          <w:tcPr>
            <w:tcW w:type="dxa" w:w="1607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highlight w:val="yellow"/>
                <w:highlightCs w:val="yellow"/>
                <w:color w:val="000000"/>
              </w:rPr>
              <w:t xml:space="preserve">【待填或 0】</w:t>
            </w:r>
          </w:p>
        </w:tc>
      </w:tr>
      <w:tr>
        <w:trPr>
          <w:cantSplit/>
        </w:trPr>
        <w:tc>
          <w:tcPr>
            <w:tcW w:type="dxa" w:w="2190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管理費</w:t>
            </w:r>
          </w:p>
        </w:tc>
        <w:tc>
          <w:tcPr>
            <w:tcW w:type="dxa" w:w="423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依國科會規定及申請機構比例計算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系統產生</w:t>
            </w:r>
          </w:p>
        </w:tc>
        <w:tc>
          <w:tcPr>
            <w:tcW w:type="dxa" w:w="16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系統產生</w:t>
            </w:r>
          </w:p>
        </w:tc>
      </w:tr>
      <w:tr>
        <w:trPr>
          <w:cantSplit/>
        </w:trPr>
        <w:tc>
          <w:tcPr>
            <w:tcW w:type="dxa" w:w="2190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合計</w:t>
            </w:r>
          </w:p>
        </w:tc>
        <w:tc>
          <w:tcPr>
            <w:tcW w:type="dxa" w:w="4235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上述項目加總</w:t>
            </w:r>
          </w:p>
        </w:tc>
        <w:tc>
          <w:tcPr>
            <w:tcW w:type="dxa" w:w="1606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highlight w:val="yellow"/>
                <w:highlightCs w:val="yellow"/>
                <w:color w:val="000000"/>
              </w:rPr>
              <w:t xml:space="preserve">【待填】</w:t>
            </w:r>
          </w:p>
        </w:tc>
        <w:tc>
          <w:tcPr>
            <w:tcW w:type="dxa" w:w="1607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highlight w:val="yellow"/>
                <w:highlightCs w:val="yellow"/>
                <w:color w:val="000000"/>
              </w:rPr>
              <w:t xml:space="preserve">【待填】</w:t>
            </w:r>
          </w:p>
        </w:tc>
      </w:tr>
    </w:tbl>
    <w:p>
      <w:pPr>
        <w:spacing w:line="240" w:lineRule="auto" w:before="0" w:after="60"/>
        <w:widowControl/>
      </w:pPr>
    </w:p>
    <w:p>
      <w:pPr>
        <w:spacing w:line="240" w:lineRule="auto" w:before="120" w:after="60"/>
        <w:keepNext/>
        <w:widowControl/>
      </w:pPr>
      <w:r>
        <w:rPr>
          <w:rFonts w:ascii="Times New Roman" w:hAnsi="Times New Roman" w:eastAsia="Noto Serif CJK TC" w:cs="Times New Roman"/>
          <w:b/>
          <w:bCs/>
          <w:color w:val="000000"/>
          <w:sz w:val="24"/>
          <w:szCs w:val="24"/>
        </w:rPr>
        <w:t xml:space="preserve">表 24　主要研究人力與分工（CM06／CM07）</w:t>
      </w:r>
    </w:p>
    <w:tbl>
      <w:tblPr>
        <w:tblW w:type="dxa" w:w="9638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CellMar>
          <w:top w:w="45" w:type="dxa"/>
          <w:bottom w:w="45" w:type="dxa"/>
          <w:left w:w="65" w:type="dxa"/>
          <w:right w:w="65" w:type="dxa"/>
        </w:tblCellMar>
      </w:tblPr>
      <w:tblGrid>
        <w:gridCol w:w="2044"/>
        <w:gridCol w:w="5257"/>
        <w:gridCol w:w="2337"/>
      </w:tblGrid>
      <w:tr>
        <w:trPr>
          <w:cantSplit/>
          <w:tblHeader/>
        </w:trPr>
        <w:tc>
          <w:tcPr>
            <w:tcW w:type="dxa" w:w="2044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角色</w:t>
            </w:r>
          </w:p>
        </w:tc>
        <w:tc>
          <w:tcPr>
            <w:tcW w:type="dxa" w:w="5257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具體工作</w:t>
            </w:r>
          </w:p>
        </w:tc>
        <w:tc>
          <w:tcPr>
            <w:tcW w:type="dxa" w:w="2337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t>姓名與每週工時比例（%）</w:t>
              <w:rPr>
                <w:rFonts w:ascii="Times New Roman" w:hAnsi="Times New Roman" w:eastAsia="Noto Serif CJK TC" w:cs="Times New Roman"/>
                <w:sz w:val="24"/>
                <w:szCs w:val="24"/>
                <w:color w:val="000000"/>
              </w:rPr>
            </w:r>
          </w:p>
        </w:tc>
      </w:tr>
      <w:tr>
        <w:trPr>
          <w:cantSplit/>
        </w:trPr>
        <w:tc>
          <w:tcPr>
            <w:tcW w:type="dxa" w:w="2044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計畫主持人</w:t>
            </w:r>
          </w:p>
        </w:tc>
        <w:tc>
          <w:tcPr>
            <w:tcW w:type="dxa" w:w="525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研究設計、電路規格、實驗審核及成果撰寫</w:t>
            </w:r>
          </w:p>
        </w:tc>
        <w:tc>
          <w:tcPr>
            <w:tcW w:type="dxa" w:w="233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highlight w:val="yellow"/>
                <w:highlightCs w:val="yellow"/>
                <w:color w:val="000000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2044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共同／協同研究人員</w:t>
            </w:r>
          </w:p>
        </w:tc>
        <w:tc>
          <w:tcPr>
            <w:tcW w:type="dxa" w:w="5257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如設置，負責電路、實體設計或模型方法</w:t>
            </w:r>
          </w:p>
        </w:tc>
        <w:tc>
          <w:tcPr>
            <w:tcW w:type="dxa" w:w="2337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highlight w:val="yellow"/>
                <w:highlightCs w:val="yellow"/>
                <w:color w:val="000000"/>
              </w:rPr>
              <w:t xml:space="preserve">【待確認】</w:t>
            </w:r>
          </w:p>
        </w:tc>
      </w:tr>
      <w:tr>
        <w:trPr>
          <w:cantSplit/>
        </w:trPr>
        <w:tc>
          <w:tcPr>
            <w:tcW w:type="dxa" w:w="2044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專任研究助理</w:t>
            </w:r>
          </w:p>
        </w:tc>
        <w:tc>
          <w:tcPr>
            <w:tcW w:type="dxa" w:w="525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EDA 介面、批次流程、資料與版本管理、平台整合與實驗重現</w:t>
            </w:r>
          </w:p>
        </w:tc>
        <w:tc>
          <w:tcPr>
            <w:tcW w:type="dxa" w:w="233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highlight w:val="yellow"/>
                <w:highlightCs w:val="yellow"/>
                <w:color w:val="000000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2044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兼任學生 2 名</w:t>
            </w:r>
          </w:p>
        </w:tc>
        <w:tc>
          <w:tcPr>
            <w:tcW w:type="dxa" w:w="5257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電路與佈局驗證；預測模型與最佳化實驗</w:t>
            </w:r>
          </w:p>
        </w:tc>
        <w:tc>
          <w:tcPr>
            <w:tcW w:type="dxa" w:w="2337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highlight w:val="yellow"/>
                <w:highlightCs w:val="yellow"/>
                <w:color w:val="000000"/>
              </w:rPr>
              <w:t xml:space="preserve">【待填】</w:t>
            </w:r>
          </w:p>
        </w:tc>
      </w:tr>
    </w:tbl>
    <w:p>
      <w:pPr>
        <w:spacing w:line="240" w:lineRule="auto" w:before="0" w:after="60"/>
        <w:widowControl/>
      </w:pPr>
    </w:p>
    <w:p>
      <w:pPr>
        <w:spacing w:line="240" w:lineRule="auto" w:before="120" w:after="60"/>
        <w:keepNext/>
        <w:widowControl/>
      </w:pPr>
      <w:r>
        <w:rPr>
          <w:rFonts w:ascii="Times New Roman" w:hAnsi="Times New Roman" w:eastAsia="Noto Serif CJK TC" w:cs="Times New Roman"/>
          <w:b/>
          <w:bCs/>
          <w:color w:val="000000"/>
          <w:sz w:val="24"/>
          <w:szCs w:val="24"/>
        </w:rPr>
        <w:t xml:space="preserve">表 25　耗材與研究設備（CM08／CM10）</w:t>
      </w:r>
    </w:p>
    <w:tbl>
      <w:tblPr>
        <w:tblW w:type="dxa" w:w="9638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CellMar>
          <w:top w:w="45" w:type="dxa"/>
          <w:bottom w:w="45" w:type="dxa"/>
          <w:left w:w="65" w:type="dxa"/>
          <w:right w:w="65" w:type="dxa"/>
        </w:tblCellMar>
      </w:tblPr>
      <w:tblGrid>
        <w:gridCol w:w="2044"/>
        <w:gridCol w:w="5257"/>
        <w:gridCol w:w="2337"/>
      </w:tblGrid>
      <w:tr>
        <w:trPr>
          <w:cantSplit/>
          <w:tblHeader/>
        </w:trPr>
        <w:tc>
          <w:tcPr>
            <w:tcW w:type="dxa" w:w="2044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項目</w:t>
            </w:r>
          </w:p>
        </w:tc>
        <w:tc>
          <w:tcPr>
            <w:tcW w:type="dxa" w:w="5257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研究用途與估算方式</w:t>
            </w:r>
          </w:p>
        </w:tc>
        <w:tc>
          <w:tcPr>
            <w:tcW w:type="dxa" w:w="2337"/>
            <w:shd w:fill="E8EE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center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color w:val="000000"/>
                <w:sz w:val="24"/>
                <w:szCs w:val="24"/>
              </w:rPr>
              <w:t xml:space="preserve">金額</w:t>
            </w:r>
          </w:p>
        </w:tc>
      </w:tr>
      <w:tr>
        <w:trPr>
          <w:cantSplit/>
        </w:trPr>
        <w:tc>
          <w:tcPr>
            <w:tcW w:type="dxa" w:w="2044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資料保存與備份</w:t>
            </w:r>
          </w:p>
        </w:tc>
        <w:tc>
          <w:tcPr>
            <w:tcW w:type="dxa" w:w="525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保存 GDS、PEX、波形與版本；依實際容量報價</w:t>
            </w:r>
          </w:p>
        </w:tc>
        <w:tc>
          <w:tcPr>
            <w:tcW w:type="dxa" w:w="233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highlight w:val="yellow"/>
                <w:highlightCs w:val="yellow"/>
                <w:color w:val="000000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2044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文獻與研究資料</w:t>
            </w:r>
          </w:p>
        </w:tc>
        <w:tc>
          <w:tcPr>
            <w:tcW w:type="dxa" w:w="5257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方法與類比設計文獻；依實際書目與授權</w:t>
            </w:r>
          </w:p>
        </w:tc>
        <w:tc>
          <w:tcPr>
            <w:tcW w:type="dxa" w:w="2337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highlight w:val="yellow"/>
                <w:highlightCs w:val="yellow"/>
                <w:color w:val="000000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2044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軟體或模擬服務</w:t>
            </w:r>
          </w:p>
        </w:tc>
        <w:tc>
          <w:tcPr>
            <w:tcW w:type="dxa" w:w="525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僅限必要且未由既有授權涵蓋者</w:t>
            </w:r>
          </w:p>
        </w:tc>
        <w:tc>
          <w:tcPr>
            <w:tcW w:type="dxa" w:w="233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highlight w:val="yellow"/>
                <w:highlightCs w:val="yellow"/>
                <w:color w:val="000000"/>
              </w:rPr>
              <w:t xml:space="preserve">【待填或 0】</w:t>
            </w:r>
          </w:p>
        </w:tc>
      </w:tr>
      <w:tr>
        <w:trPr>
          <w:cantSplit/>
        </w:trPr>
        <w:tc>
          <w:tcPr>
            <w:tcW w:type="dxa" w:w="2044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本地運算設備</w:t>
            </w:r>
          </w:p>
        </w:tc>
        <w:tc>
          <w:tcPr>
            <w:tcW w:type="dxa" w:w="5257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供模型與批次 EDA；先確認既有設備是否足夠</w:t>
            </w:r>
          </w:p>
        </w:tc>
        <w:tc>
          <w:tcPr>
            <w:tcW w:type="dxa" w:w="2337"/>
            <w:shd w:fill="F5F7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highlight w:val="yellow"/>
                <w:highlightCs w:val="yellow"/>
                <w:color w:val="000000"/>
              </w:rPr>
              <w:t xml:space="preserve">【待盤點】</w:t>
            </w:r>
          </w:p>
        </w:tc>
      </w:tr>
      <w:tr>
        <w:trPr>
          <w:cantSplit/>
        </w:trPr>
        <w:tc>
          <w:tcPr>
            <w:tcW w:type="dxa" w:w="2044"/>
            <w:shd w:fill="E3E9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記憶體與</w:t>
            </w:r>
          </w:p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/>
                <w:bCs/>
                <w:sz w:val="24"/>
                <w:szCs w:val="24"/>
                <w:color w:val="000000"/>
              </w:rPr>
              <w:t xml:space="preserve">儲存擴充</w:t>
            </w:r>
          </w:p>
        </w:tc>
        <w:tc>
          <w:tcPr>
            <w:tcW w:type="dxa" w:w="525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color w:val="000000"/>
              </w:rPr>
              <w:t xml:space="preserve">依波形、PEX 容量與並行作業量評估</w:t>
            </w:r>
          </w:p>
        </w:tc>
        <w:tc>
          <w:tcPr>
            <w:tcW w:type="dxa" w:w="233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 w:lineRule="auto" w:before="0" w:after="60"/>
              <w:jc w:val="left"/>
              <w:widowControl/>
            </w:pPr>
            <w:r>
              <w:rPr>
                <w:rFonts w:ascii="Times New Roman" w:hAnsi="Times New Roman" w:eastAsia="Noto Serif CJK TC" w:cs="Times New Roman"/>
                <w:b w:val="false"/>
                <w:bCs w:val="false"/>
                <w:sz w:val="24"/>
                <w:szCs w:val="24"/>
                <w:highlight w:val="yellow"/>
                <w:highlightCs w:val="yellow"/>
                <w:color w:val="000000"/>
              </w:rPr>
              <w:t xml:space="preserve">【待估價】</w:t>
            </w:r>
          </w:p>
        </w:tc>
      </w:tr>
    </w:tbl>
    <w:p>
      <w:pPr>
        <w:spacing w:line="240" w:lineRule="auto" w:before="0" w:after="60"/>
        <w:widowControl/>
      </w:pPr>
    </w:p>
    <w:p>
      <w:pPr>
        <w:spacing w:line="240" w:lineRule="auto" w:before="0" w:after="60"/>
        <w:jc w:val="both"/>
        <w:widowControl/>
      </w:pPr>
      <w:r>
        <w:rPr>
          <w:rFonts w:ascii="Times New Roman" w:hAnsi="Times New Roman" w:eastAsia="Noto Serif CJK TC" w:cs="Times New Roman"/>
          <w:color w:val="000000"/>
          <w:sz w:val="24"/>
          <w:szCs w:val="24"/>
        </w:rPr>
        <w:t xml:space="preserve">設備、軟體與儲存項目依性質歸入對應科目，同一需求不重複列於 CM08 與 CM10；需檢附估價者依正式申請時適用規定辦理。</w:t>
      </w:r>
    </w:p>
    <w:p>
      <w:pPr>
        <w:pStyle w:val="Heading3"/>
        <w:spacing w:line="240" w:lineRule="auto" w:before="120" w:after="60"/>
        <w:keepNext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>補填表件與分年經費</w:t>
      </w:r>
    </w:p>
    <w:p>
      <w:pPr>
        <w:spacing w:line="240" w:lineRule="auto" w:before="0" w:after="60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>CM05須逐年填列各科目與合計；CM06填列實際人員及每週工時比例；CM07補足分年人力類別、工作內容、金額及任用月數。CM08與CM10分別填寫品名或規格、數量、單價、金額及用途，同一需求不重複編列。CM09、CM11與CM12依實際需求填寫。</w:t>
      </w:r>
    </w:p>
    <w:p>
      <w:pPr>
        <w:spacing w:line="240" w:lineRule="auto" w:before="0" w:after="60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>正式申請另須補齊主持人個人資料、代表著作（WRITINGS）、工程處研究成果說明（CM302）及CM14、CM14-1等適用表件。主持人姓名、實際費用、設備估價與核定資訊依正式資料填列。</w:t>
      </w:r>
    </w:p>
    <w:p>
      <w:pPr>
        <w:sectPr>
          <w:pgSz w:w="11906" w:h="16838" w:orient="portrait"/>
          <w:pgMar w:top="1134" w:right="1134" w:bottom="1134" w:left="1134" w:header="567" w:footer="567" w:gutter="0"/>
          <w:footerReference w:type="default" r:id="rIdV5Footer4"/>
          <w:type w:val="nextPage"/>
          <w:pgNumType w:start="1"/>
        </w:sectPr>
      </w:pPr>
    </w:p>
    <w:p>
      <w:pPr>
        <w:pStyle w:val="Heading1"/>
        <w:spacing w:line="240" w:lineRule="auto" w:before="120" w:after="60"/>
        <w:keepNext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>附錄 格式檢核與送件前資料核對</w:t>
      </w:r>
    </w:p>
    <w:p>
      <w:pPr>
        <w:spacing w:line="240" w:lineRule="auto" w:before="0" w:after="60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>格式檢核依據為國科會申請書1150410及工程處CM03頁數限制；116年度送件時依最新公告與線上系統確認。本附錄及行政填寫工作稿置於CM03之外。</w:t>
      </w:r>
    </w:p>
    <w:p>
      <w:pPr>
        <w:pStyle w:val="Heading3"/>
        <w:spacing w:line="240" w:lineRule="auto" w:before="120" w:after="60"/>
        <w:keepNext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>CM02摘要與影響性</w:t>
      </w:r>
    </w:p>
    <w:p>
      <w:pPr>
        <w:spacing w:line="240" w:lineRule="auto" w:before="0" w:after="60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>中文摘要480字元、英文摘要210詞、執行目的及預期影響性209字元。影響性已移入CM02。中文字元含標點與英數、不含空白；英文採空白分詞，送件時再以系統計數確認。</w:t>
      </w:r>
    </w:p>
    <w:p>
      <w:pPr>
        <w:pStyle w:val="Heading3"/>
        <w:spacing w:line="240" w:lineRule="auto" w:before="120" w:after="60"/>
        <w:keepNext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>CM03版面與章節</w:t>
      </w:r>
    </w:p>
    <w:p>
      <w:pPr>
        <w:spacing w:line="240" w:lineRule="auto" w:before="0" w:after="60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>CM03內文、標題、表格、圖說及參考文獻均採12點字、單行間距及標準字元間距，A4、四邊2公分。背景、方法與分年進度、預期成果及整合型說明均已保留；本案為個別型，整合型子計畫不適用。CM03共22頁，含圖表與參考文獻。</w:t>
      </w:r>
    </w:p>
    <w:p>
      <w:pPr>
        <w:pStyle w:val="Heading3"/>
        <w:spacing w:line="240" w:lineRule="auto" w:before="120" w:after="60"/>
        <w:keepNext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>送件前資料核對</w:t>
      </w:r>
    </w:p>
    <w:p>
      <w:pPr>
        <w:spacing w:line="240" w:lineRule="auto" w:before="0" w:after="60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>一、主持人姓名、職稱、申請機構、系所、學門代碼、申請件數、聯絡資料及各項聲明。</w:t>
      </w:r>
    </w:p>
    <w:p>
      <w:pPr>
        <w:spacing w:line="240" w:lineRule="auto" w:before="0" w:after="60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>二、116年度正式起訖日、前期計畫核定名稱與成果歸屬；結案簡報封面日期2026/10/30晚於本次日期，需核對版本與實際完成時間。</w:t>
      </w:r>
    </w:p>
    <w:p>
      <w:pPr>
        <w:spacing w:line="240" w:lineRule="auto" w:before="0" w:after="60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>三、4 nm PDK、器件與電容模型、LDE與失配模型、DRC／LVS／PEX／SPICE工具及SE設定權限。</w:t>
      </w:r>
    </w:p>
    <w:p>
      <w:pPr>
        <w:spacing w:line="240" w:lineRule="auto" w:before="0" w:after="60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>四、逐年人力與費用、設備盤點與估價、補助揭露、代表著作、CM302及適用附件。</w:t>
      </w:r>
    </w:p>
    <w:p>
      <w:pPr>
        <w:spacing w:line="240" w:lineRule="auto" w:before="0" w:after="60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>五、原稿參考文獻[3]之作者、[25]之完整出處及各引用版本，於正式送件前完成核對。</w:t>
      </w:r>
    </w:p>
    <w:p>
      <w:pPr>
        <w:pStyle w:val="Heading3"/>
        <w:spacing w:line="240" w:lineRule="auto" w:before="120" w:after="60"/>
        <w:keepNext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>官方格式來源</w:t>
      </w:r>
    </w:p>
    <w:p>
      <w:pPr>
        <w:spacing w:line="240" w:lineRule="auto" w:before="0" w:after="60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>國科會共用表格：https://www.nstc.gov.tw/folksonomy/list/6c0b309f-518b-4613-a142-44af89109251?l=ch</w:t>
      </w:r>
    </w:p>
    <w:p>
      <w:pPr>
        <w:spacing w:line="240" w:lineRule="auto" w:before="0" w:after="60"/>
        <w:widowControl/>
      </w:pPr>
      <w:r>
        <w:rPr>
          <w:rFonts w:ascii="Times New Roman" w:hAnsi="Times New Roman" w:eastAsia="Noto Serif CJK TC" w:cs="Times New Roman"/>
          <w:sz w:val="24"/>
          <w:szCs w:val="24"/>
          <w:color w:val="000000"/>
        </w:rPr>
        <w:t>工程處CM03頁數限制：https://www.nstc.gov.tw/nstc/attachments/5c328c47-2c44-472a-954e-9113d6488f09</w:t>
      </w:r>
    </w:p>
    <w:sectPr>
      <w:pgSz w:w="11906" w:h="16838" w:orient="portrait"/>
      <w:pgMar w:top="1134" w:right="1134" w:bottom="1134" w:left="1134" w:header="567" w:footer="567" w:gutter="0"/>
      <w:footerReference w:type="default" r:id="rIdV5Footer5"/>
      <w:type w:val="nextPage"/>
      <w:pgNumType w:start="1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標楷體" w:hAnsi="Times New Roman"/>
        <w:color w:val="808080"/>
      </w:rPr>
      <w:t xml:space="preserve">第 </w:t>
      <w:fldChar w:fldCharType="begin"/>
      <w:instrText xml:space="preserve">PAGE</w:instrText>
      <w:fldChar w:fldCharType="separate"/>
      <w:fldChar w:fldCharType="end"/>
      <w:t xml:space="preserve"> 頁，共 </w:t>
      <w:fldChar w:fldCharType="begin"/>
      <w:instrText xml:space="preserve">NUMPAGES</w:instrText>
      <w:fldChar w:fldCharType="separate"/>
      <w:fldChar w:fldCharType="end"/>
      <w:t xml:space="preserve"> 頁</w:t>
    </w:r>
  </w:p>
</w:ftr>
</file>

<file path=word/footer_v5_1.xml><?xml version="1.0" encoding="utf-8"?>
<w:ftr xmlns:w="http://schemas.openxmlformats.org/wordprocessingml/2006/main" xmlns:r="http://schemas.openxmlformats.org/officeDocument/2006/relationships">
  <w:p>
    <w:pPr>
      <w:tabs>
        <w:tab w:val="center" w:pos="4820"/>
      </w:tabs>
    </w:pPr>
    <w:r>
      <w:rPr>
        <w:rFonts w:ascii="Times New Roman" w:hAnsi="Times New Roman" w:eastAsia="Noto Serif CJK TC" w:cs="Times New Roman"/>
        <w:sz w:val="24"/>
        <w:szCs w:val="24"/>
        <w:color w:val="000000"/>
      </w:rPr>
      <w:t>表 CM01（填寫工作稿）</w:t>
    </w:r>
    <w:r>
      <w:rPr>
        <w:rFonts w:ascii="Times New Roman" w:hAnsi="Times New Roman" w:eastAsia="Noto Serif CJK TC" w:cs="Times New Roman"/>
        <w:sz w:val="24"/>
        <w:szCs w:val="24"/>
        <w:color w:val="000000"/>
      </w:rPr>
      <w:tab/>
    </w:r>
    <w:r>
      <w:rPr>
        <w:rFonts w:ascii="Times New Roman" w:hAnsi="Times New Roman" w:eastAsia="Noto Serif CJK TC" w:cs="Times New Roman"/>
        <w:sz w:val="24"/>
        <w:szCs w:val="24"/>
        <w:color w:val="000000"/>
      </w:rPr>
      <w:t>共1頁　第 </w:t>
    </w:r>
    <w:r>
      <w:rPr>
        <w:rFonts w:ascii="Times New Roman" w:hAnsi="Times New Roman" w:eastAsia="Noto Serif CJK TC" w:cs="Times New Roman"/>
        <w:sz w:val="24"/>
        <w:szCs w:val="24"/>
        <w:color w:val="000000"/>
      </w:rPr>
      <w:fldChar w:fldCharType="begin"/>
    </w:r>
    <w:r>
      <w:rPr>
        <w:rFonts w:ascii="Times New Roman" w:hAnsi="Times New Roman" w:eastAsia="Noto Serif CJK TC" w:cs="Times New Roman"/>
        <w:sz w:val="24"/>
        <w:szCs w:val="24"/>
        <w:color w:val="000000"/>
      </w:rPr>
      <w:instrText> PAGE </w:instrText>
    </w:r>
    <w:r>
      <w:rPr>
        <w:rFonts w:ascii="Times New Roman" w:hAnsi="Times New Roman" w:eastAsia="Noto Serif CJK TC" w:cs="Times New Roman"/>
        <w:sz w:val="24"/>
        <w:szCs w:val="24"/>
        <w:color w:val="000000"/>
      </w:rPr>
      <w:fldChar w:fldCharType="separate"/>
    </w:r>
    <w:r>
      <w:rPr>
        <w:rFonts w:ascii="Times New Roman" w:hAnsi="Times New Roman" w:eastAsia="Noto Serif CJK TC" w:cs="Times New Roman"/>
        <w:sz w:val="24"/>
        <w:szCs w:val="24"/>
        <w:color w:val="000000"/>
      </w:rPr>
      <w:t>1</w:t>
    </w:r>
    <w:r>
      <w:rPr>
        <w:rFonts w:ascii="Times New Roman" w:hAnsi="Times New Roman" w:eastAsia="Noto Serif CJK TC" w:cs="Times New Roman"/>
        <w:sz w:val="24"/>
        <w:szCs w:val="24"/>
        <w:color w:val="000000"/>
      </w:rPr>
      <w:fldChar w:fldCharType="end"/>
    </w:r>
    <w:r>
      <w:rPr>
        <w:rFonts w:ascii="Times New Roman" w:hAnsi="Times New Roman" w:eastAsia="Noto Serif CJK TC" w:cs="Times New Roman"/>
        <w:sz w:val="24"/>
        <w:szCs w:val="24"/>
        <w:color w:val="000000"/>
      </w:rPr>
      <w:t> 頁</w:t>
    </w:r>
  </w:p>
</w:ftr>
</file>

<file path=word/footer_v5_2.xml><?xml version="1.0" encoding="utf-8"?>
<w:ftr xmlns:w="http://schemas.openxmlformats.org/wordprocessingml/2006/main" xmlns:r="http://schemas.openxmlformats.org/officeDocument/2006/relationships">
  <w:p>
    <w:pPr>
      <w:tabs>
        <w:tab w:val="center" w:pos="4820"/>
      </w:tabs>
    </w:pPr>
    <w:r>
      <w:rPr>
        <w:rFonts w:ascii="Times New Roman" w:hAnsi="Times New Roman" w:eastAsia="Noto Serif CJK TC" w:cs="Times New Roman"/>
        <w:sz w:val="24"/>
        <w:szCs w:val="24"/>
        <w:color w:val="000000"/>
      </w:rPr>
      <w:t>表 CM02</w:t>
    </w:r>
    <w:r>
      <w:rPr>
        <w:rFonts w:ascii="Times New Roman" w:hAnsi="Times New Roman" w:eastAsia="Noto Serif CJK TC" w:cs="Times New Roman"/>
        <w:sz w:val="24"/>
        <w:szCs w:val="24"/>
        <w:color w:val="000000"/>
      </w:rPr>
      <w:tab/>
    </w:r>
    <w:r>
      <w:rPr>
        <w:rFonts w:ascii="Times New Roman" w:hAnsi="Times New Roman" w:eastAsia="Noto Serif CJK TC" w:cs="Times New Roman"/>
        <w:sz w:val="24"/>
        <w:szCs w:val="24"/>
        <w:color w:val="000000"/>
      </w:rPr>
      <w:t>共2頁　第 </w:t>
    </w:r>
    <w:r>
      <w:rPr>
        <w:rFonts w:ascii="Times New Roman" w:hAnsi="Times New Roman" w:eastAsia="Noto Serif CJK TC" w:cs="Times New Roman"/>
        <w:sz w:val="24"/>
        <w:szCs w:val="24"/>
        <w:color w:val="000000"/>
      </w:rPr>
      <w:fldChar w:fldCharType="begin"/>
    </w:r>
    <w:r>
      <w:rPr>
        <w:rFonts w:ascii="Times New Roman" w:hAnsi="Times New Roman" w:eastAsia="Noto Serif CJK TC" w:cs="Times New Roman"/>
        <w:sz w:val="24"/>
        <w:szCs w:val="24"/>
        <w:color w:val="000000"/>
      </w:rPr>
      <w:instrText> PAGE </w:instrText>
    </w:r>
    <w:r>
      <w:rPr>
        <w:rFonts w:ascii="Times New Roman" w:hAnsi="Times New Roman" w:eastAsia="Noto Serif CJK TC" w:cs="Times New Roman"/>
        <w:sz w:val="24"/>
        <w:szCs w:val="24"/>
        <w:color w:val="000000"/>
      </w:rPr>
      <w:fldChar w:fldCharType="separate"/>
    </w:r>
    <w:r>
      <w:rPr>
        <w:rFonts w:ascii="Times New Roman" w:hAnsi="Times New Roman" w:eastAsia="Noto Serif CJK TC" w:cs="Times New Roman"/>
        <w:sz w:val="24"/>
        <w:szCs w:val="24"/>
        <w:color w:val="000000"/>
      </w:rPr>
      <w:t>1</w:t>
    </w:r>
    <w:r>
      <w:rPr>
        <w:rFonts w:ascii="Times New Roman" w:hAnsi="Times New Roman" w:eastAsia="Noto Serif CJK TC" w:cs="Times New Roman"/>
        <w:sz w:val="24"/>
        <w:szCs w:val="24"/>
        <w:color w:val="000000"/>
      </w:rPr>
      <w:fldChar w:fldCharType="end"/>
    </w:r>
    <w:r>
      <w:rPr>
        <w:rFonts w:ascii="Times New Roman" w:hAnsi="Times New Roman" w:eastAsia="Noto Serif CJK TC" w:cs="Times New Roman"/>
        <w:sz w:val="24"/>
        <w:szCs w:val="24"/>
        <w:color w:val="000000"/>
      </w:rPr>
      <w:t> 頁</w:t>
    </w:r>
  </w:p>
</w:ftr>
</file>

<file path=word/footer_v5_3.xml><?xml version="1.0" encoding="utf-8"?>
<w:ftr xmlns:w="http://schemas.openxmlformats.org/wordprocessingml/2006/main" xmlns:r="http://schemas.openxmlformats.org/officeDocument/2006/relationships">
  <w:p>
    <w:pPr>
      <w:tabs>
        <w:tab w:val="center" w:pos="4820"/>
      </w:tabs>
    </w:pPr>
    <w:r>
      <w:rPr>
        <w:rFonts w:ascii="Times New Roman" w:hAnsi="Times New Roman" w:eastAsia="Noto Serif CJK TC" w:cs="Times New Roman"/>
        <w:sz w:val="24"/>
        <w:szCs w:val="24"/>
        <w:color w:val="000000"/>
      </w:rPr>
      <w:t>表 CM03</w:t>
    </w:r>
    <w:r>
      <w:rPr>
        <w:rFonts w:ascii="Times New Roman" w:hAnsi="Times New Roman" w:eastAsia="Noto Serif CJK TC" w:cs="Times New Roman"/>
        <w:sz w:val="24"/>
        <w:szCs w:val="24"/>
        <w:color w:val="000000"/>
      </w:rPr>
      <w:tab/>
    </w:r>
    <w:r>
      <w:rPr>
        <w:rFonts w:ascii="Times New Roman" w:hAnsi="Times New Roman" w:eastAsia="Noto Serif CJK TC" w:cs="Times New Roman"/>
        <w:sz w:val="24"/>
        <w:szCs w:val="24"/>
        <w:color w:val="000000"/>
      </w:rPr>
      <w:t>共22頁　第 </w:t>
    </w:r>
    <w:r>
      <w:rPr>
        <w:rFonts w:ascii="Times New Roman" w:hAnsi="Times New Roman" w:eastAsia="Noto Serif CJK TC" w:cs="Times New Roman"/>
        <w:sz w:val="24"/>
        <w:szCs w:val="24"/>
        <w:color w:val="000000"/>
      </w:rPr>
      <w:fldChar w:fldCharType="begin"/>
    </w:r>
    <w:r>
      <w:rPr>
        <w:rFonts w:ascii="Times New Roman" w:hAnsi="Times New Roman" w:eastAsia="Noto Serif CJK TC" w:cs="Times New Roman"/>
        <w:sz w:val="24"/>
        <w:szCs w:val="24"/>
        <w:color w:val="000000"/>
      </w:rPr>
      <w:instrText> PAGE </w:instrText>
    </w:r>
    <w:r>
      <w:rPr>
        <w:rFonts w:ascii="Times New Roman" w:hAnsi="Times New Roman" w:eastAsia="Noto Serif CJK TC" w:cs="Times New Roman"/>
        <w:sz w:val="24"/>
        <w:szCs w:val="24"/>
        <w:color w:val="000000"/>
      </w:rPr>
      <w:fldChar w:fldCharType="separate"/>
    </w:r>
    <w:r>
      <w:rPr>
        <w:rFonts w:ascii="Times New Roman" w:hAnsi="Times New Roman" w:eastAsia="Noto Serif CJK TC" w:cs="Times New Roman"/>
        <w:sz w:val="24"/>
        <w:szCs w:val="24"/>
        <w:color w:val="000000"/>
      </w:rPr>
      <w:t>1</w:t>
    </w:r>
    <w:r>
      <w:rPr>
        <w:rFonts w:ascii="Times New Roman" w:hAnsi="Times New Roman" w:eastAsia="Noto Serif CJK TC" w:cs="Times New Roman"/>
        <w:sz w:val="24"/>
        <w:szCs w:val="24"/>
        <w:color w:val="000000"/>
      </w:rPr>
      <w:fldChar w:fldCharType="end"/>
    </w:r>
    <w:r>
      <w:rPr>
        <w:rFonts w:ascii="Times New Roman" w:hAnsi="Times New Roman" w:eastAsia="Noto Serif CJK TC" w:cs="Times New Roman"/>
        <w:sz w:val="24"/>
        <w:szCs w:val="24"/>
        <w:color w:val="000000"/>
      </w:rPr>
      <w:t> 頁</w:t>
    </w:r>
  </w:p>
</w:ftr>
</file>

<file path=word/footer_v5_4.xml><?xml version="1.0" encoding="utf-8"?>
<w:ftr xmlns:w="http://schemas.openxmlformats.org/wordprocessingml/2006/main" xmlns:r="http://schemas.openxmlformats.org/officeDocument/2006/relationships">
  <w:p>
    <w:pPr>
      <w:tabs>
        <w:tab w:val="center" w:pos="4820"/>
      </w:tabs>
    </w:pPr>
    <w:r>
      <w:rPr>
        <w:rFonts w:ascii="Times New Roman" w:hAnsi="Times New Roman" w:eastAsia="Noto Serif CJK TC" w:cs="Times New Roman"/>
        <w:sz w:val="24"/>
        <w:szCs w:val="24"/>
        <w:color w:val="000000"/>
      </w:rPr>
      <w:t>行政表件（填寫工作稿）</w:t>
    </w:r>
    <w:r>
      <w:rPr>
        <w:rFonts w:ascii="Times New Roman" w:hAnsi="Times New Roman" w:eastAsia="Noto Serif CJK TC" w:cs="Times New Roman"/>
        <w:sz w:val="24"/>
        <w:szCs w:val="24"/>
        <w:color w:val="000000"/>
      </w:rPr>
      <w:tab/>
    </w:r>
    <w:r>
      <w:rPr>
        <w:rFonts w:ascii="Times New Roman" w:hAnsi="Times New Roman" w:eastAsia="Noto Serif CJK TC" w:cs="Times New Roman"/>
        <w:sz w:val="24"/>
        <w:szCs w:val="24"/>
        <w:color w:val="000000"/>
      </w:rPr>
      <w:t>共2頁　第 </w:t>
    </w:r>
    <w:r>
      <w:rPr>
        <w:rFonts w:ascii="Times New Roman" w:hAnsi="Times New Roman" w:eastAsia="Noto Serif CJK TC" w:cs="Times New Roman"/>
        <w:sz w:val="24"/>
        <w:szCs w:val="24"/>
        <w:color w:val="000000"/>
      </w:rPr>
      <w:fldChar w:fldCharType="begin"/>
    </w:r>
    <w:r>
      <w:rPr>
        <w:rFonts w:ascii="Times New Roman" w:hAnsi="Times New Roman" w:eastAsia="Noto Serif CJK TC" w:cs="Times New Roman"/>
        <w:sz w:val="24"/>
        <w:szCs w:val="24"/>
        <w:color w:val="000000"/>
      </w:rPr>
      <w:instrText> PAGE </w:instrText>
    </w:r>
    <w:r>
      <w:rPr>
        <w:rFonts w:ascii="Times New Roman" w:hAnsi="Times New Roman" w:eastAsia="Noto Serif CJK TC" w:cs="Times New Roman"/>
        <w:sz w:val="24"/>
        <w:szCs w:val="24"/>
        <w:color w:val="000000"/>
      </w:rPr>
      <w:fldChar w:fldCharType="separate"/>
    </w:r>
    <w:r>
      <w:rPr>
        <w:rFonts w:ascii="Times New Roman" w:hAnsi="Times New Roman" w:eastAsia="Noto Serif CJK TC" w:cs="Times New Roman"/>
        <w:sz w:val="24"/>
        <w:szCs w:val="24"/>
        <w:color w:val="000000"/>
      </w:rPr>
      <w:t>1</w:t>
    </w:r>
    <w:r>
      <w:rPr>
        <w:rFonts w:ascii="Times New Roman" w:hAnsi="Times New Roman" w:eastAsia="Noto Serif CJK TC" w:cs="Times New Roman"/>
        <w:sz w:val="24"/>
        <w:szCs w:val="24"/>
        <w:color w:val="000000"/>
      </w:rPr>
      <w:fldChar w:fldCharType="end"/>
    </w:r>
    <w:r>
      <w:rPr>
        <w:rFonts w:ascii="Times New Roman" w:hAnsi="Times New Roman" w:eastAsia="Noto Serif CJK TC" w:cs="Times New Roman"/>
        <w:sz w:val="24"/>
        <w:szCs w:val="24"/>
        <w:color w:val="000000"/>
      </w:rPr>
      <w:t> 頁</w:t>
    </w:r>
  </w:p>
</w:ftr>
</file>

<file path=word/footer_v5_5.xml><?xml version="1.0" encoding="utf-8"?>
<w:ftr xmlns:w="http://schemas.openxmlformats.org/wordprocessingml/2006/main" xmlns:r="http://schemas.openxmlformats.org/officeDocument/2006/relationships">
  <w:p>
    <w:pPr>
      <w:tabs>
        <w:tab w:val="center" w:pos="4820"/>
      </w:tabs>
    </w:pPr>
    <w:r>
      <w:rPr>
        <w:rFonts w:ascii="Times New Roman" w:hAnsi="Times New Roman" w:eastAsia="Noto Serif CJK TC" w:cs="Times New Roman"/>
        <w:sz w:val="24"/>
        <w:szCs w:val="24"/>
        <w:color w:val="000000"/>
      </w:rPr>
      <w:t>附錄</w:t>
    </w:r>
    <w:r>
      <w:rPr>
        <w:rFonts w:ascii="Times New Roman" w:hAnsi="Times New Roman" w:eastAsia="Noto Serif CJK TC" w:cs="Times New Roman"/>
        <w:sz w:val="24"/>
        <w:szCs w:val="24"/>
        <w:color w:val="000000"/>
      </w:rPr>
      <w:tab/>
    </w:r>
    <w:r>
      <w:rPr>
        <w:rFonts w:ascii="Times New Roman" w:hAnsi="Times New Roman" w:eastAsia="Noto Serif CJK TC" w:cs="Times New Roman"/>
        <w:sz w:val="24"/>
        <w:szCs w:val="24"/>
        <w:color w:val="000000"/>
      </w:rPr>
      <w:t>共1頁　第 </w:t>
    </w:r>
    <w:r>
      <w:rPr>
        <w:rFonts w:ascii="Times New Roman" w:hAnsi="Times New Roman" w:eastAsia="Noto Serif CJK TC" w:cs="Times New Roman"/>
        <w:sz w:val="24"/>
        <w:szCs w:val="24"/>
        <w:color w:val="000000"/>
      </w:rPr>
      <w:fldChar w:fldCharType="begin"/>
    </w:r>
    <w:r>
      <w:rPr>
        <w:rFonts w:ascii="Times New Roman" w:hAnsi="Times New Roman" w:eastAsia="Noto Serif CJK TC" w:cs="Times New Roman"/>
        <w:sz w:val="24"/>
        <w:szCs w:val="24"/>
        <w:color w:val="000000"/>
      </w:rPr>
      <w:instrText> PAGE </w:instrText>
    </w:r>
    <w:r>
      <w:rPr>
        <w:rFonts w:ascii="Times New Roman" w:hAnsi="Times New Roman" w:eastAsia="Noto Serif CJK TC" w:cs="Times New Roman"/>
        <w:sz w:val="24"/>
        <w:szCs w:val="24"/>
        <w:color w:val="000000"/>
      </w:rPr>
      <w:fldChar w:fldCharType="separate"/>
    </w:r>
    <w:r>
      <w:rPr>
        <w:rFonts w:ascii="Times New Roman" w:hAnsi="Times New Roman" w:eastAsia="Noto Serif CJK TC" w:cs="Times New Roman"/>
        <w:sz w:val="24"/>
        <w:szCs w:val="24"/>
        <w:color w:val="000000"/>
      </w:rPr>
      <w:t>1</w:t>
    </w:r>
    <w:r>
      <w:rPr>
        <w:rFonts w:ascii="Times New Roman" w:hAnsi="Times New Roman" w:eastAsia="Noto Serif CJK TC" w:cs="Times New Roman"/>
        <w:sz w:val="24"/>
        <w:szCs w:val="24"/>
        <w:color w:val="000000"/>
      </w:rPr>
      <w:fldChar w:fldCharType="end"/>
    </w:r>
    <w:r>
      <w:rPr>
        <w:rFonts w:ascii="Times New Roman" w:hAnsi="Times New Roman" w:eastAsia="Noto Serif CJK TC" w:cs="Times New Roman"/>
        <w:sz w:val="24"/>
        <w:szCs w:val="24"/>
        <w:color w:val="000000"/>
      </w:rPr>
      <w:t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eastAsia="標楷體" w:hAnsi="Times New Roman"/>
        <w:color w:val="808080"/>
        <w:sz w:val="16"/>
        <w:szCs w:val="16"/>
      </w:rPr>
      <w:t xml:space="preserve">4 奈米以下 SAR ADC 之寄生感知 AI 多代理佈局平台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(%1)"/>
      <w:lvlJc w:val="left"/>
      <w:pPr>
        <w:ind w:left="480" w:hanging="4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="Noto Serif CJK TC" w:cs="Times New Roman"/>
        <w:sz w:val="24"/>
        <w:szCs w:val="24"/>
        <w:color w:val="000000"/>
      </w:rPr>
    </w:rPrDefault>
    <w:pPrDefault>
      <w:pPr>
        <w:spacing w:line="240" w:lineRule="auto"/>
      </w:pPr>
    </w:pPrDefault>
  </w:docDefaults>
  <w:style w:type="paragraph" w:styleId="Title">
    <w:name w:val="Title"/>
    <w:basedOn w:val="Normal"/>
    <w:next w:val="Normal"/>
    <w:qFormat/>
    <w:rPr>
      <w:sz w:val="34"/>
      <w:szCs w:val="34"/>
      <w:rFonts w:ascii="Times New Roman" w:hAnsi="Times New Roman" w:eastAsia="Noto Serif CJK TC" w:cs="Times New Roman"/>
      <w:color w:val="000000"/>
    </w:rPr>
    <w:pPr>
      <w:spacing w:line="240" w:lineRule="auto"/>
    </w:pPr>
  </w:style>
  <w:style w:type="paragraph" w:styleId="Heading1">
    <w:name w:val="Heading 1"/>
    <w:basedOn w:val="Normal"/>
    <w:next w:val="Normal"/>
    <w:qFormat/>
    <w:rPr>
      <w:color w:val="000000"/>
      <w:sz w:val="24"/>
      <w:szCs w:val="24"/>
      <w:rFonts w:ascii="Times New Roman" w:hAnsi="Times New Roman" w:eastAsia="Noto Serif CJK TC" w:cs="Times New Roman"/>
    </w:rPr>
    <w:pPr>
      <w:spacing w:line="240" w:lineRule="auto"/>
    </w:pPr>
  </w:style>
  <w:style w:type="paragraph" w:styleId="Heading2">
    <w:name w:val="Heading 2"/>
    <w:basedOn w:val="Normal"/>
    <w:next w:val="Normal"/>
    <w:qFormat/>
    <w:rPr>
      <w:color w:val="000000"/>
      <w:sz w:val="24"/>
      <w:szCs w:val="24"/>
      <w:rFonts w:ascii="Times New Roman" w:hAnsi="Times New Roman" w:eastAsia="Noto Serif CJK TC" w:cs="Times New Roman"/>
    </w:rPr>
    <w:pPr>
      <w:spacing w:line="240" w:lineRule="auto"/>
    </w:pPr>
  </w:style>
  <w:style w:type="paragraph" w:styleId="Heading3">
    <w:name w:val="Heading 3"/>
    <w:basedOn w:val="Normal"/>
    <w:next w:val="Normal"/>
    <w:qFormat/>
    <w:rPr>
      <w:color w:val="000000"/>
      <w:sz w:val="24"/>
      <w:szCs w:val="24"/>
      <w:rFonts w:ascii="Times New Roman" w:hAnsi="Times New Roman" w:eastAsia="Noto Serif CJK TC" w:cs="Times New Roman"/>
    </w:rPr>
    <w:pPr>
      <w:spacing w:line="240" w:lineRule="auto"/>
    </w:pPr>
  </w:style>
  <w:style w:type="paragraph" w:styleId="Heading4">
    <w:name w:val="Heading 4"/>
    <w:basedOn w:val="Normal"/>
    <w:next w:val="Normal"/>
    <w:qFormat/>
    <w:rPr>
      <w:i/>
      <w:iCs/>
      <w:color w:val="000000"/>
      <w:rFonts w:ascii="Times New Roman" w:hAnsi="Times New Roman" w:eastAsia="Noto Serif CJK TC" w:cs="Times New Roman"/>
      <w:sz w:val="24"/>
      <w:szCs w:val="24"/>
    </w:rPr>
    <w:pPr>
      <w:spacing w:line="240" w:lineRule="auto"/>
    </w:pPr>
  </w:style>
  <w:style w:type="paragraph" w:styleId="Heading5">
    <w:name w:val="Heading 5"/>
    <w:basedOn w:val="Normal"/>
    <w:next w:val="Normal"/>
    <w:qFormat/>
    <w:rPr>
      <w:color w:val="000000"/>
      <w:rFonts w:ascii="Times New Roman" w:hAnsi="Times New Roman" w:eastAsia="Noto Serif CJK TC" w:cs="Times New Roman"/>
      <w:sz w:val="24"/>
      <w:szCs w:val="24"/>
    </w:rPr>
    <w:pPr>
      <w:spacing w:line="240" w:lineRule="auto"/>
    </w:pPr>
  </w:style>
  <w:style w:type="paragraph" w:styleId="Heading6">
    <w:name w:val="Heading 6"/>
    <w:basedOn w:val="Normal"/>
    <w:next w:val="Normal"/>
    <w:qFormat/>
    <w:rPr>
      <w:color w:val="000000"/>
      <w:rFonts w:ascii="Times New Roman" w:hAnsi="Times New Roman" w:eastAsia="Noto Serif CJK TC" w:cs="Times New Roman"/>
      <w:sz w:val="24"/>
      <w:szCs w:val="24"/>
    </w:rPr>
    <w:pPr>
      <w:spacing w:line="240" w:lineRule="auto"/>
    </w:pPr>
  </w:style>
  <w:style w:type="paragraph" w:styleId="Strong">
    <w:name w:val="Strong"/>
    <w:basedOn w:val="Normal"/>
    <w:next w:val="Normal"/>
    <w:qFormat/>
    <w:rPr>
      <w:b/>
      <w:bCs/>
      <w:rFonts w:ascii="Times New Roman" w:hAnsi="Times New Roman" w:eastAsia="Noto Serif CJK TC" w:cs="Times New Roman"/>
      <w:sz w:val="24"/>
      <w:szCs w:val="24"/>
      <w:color w:val="000000"/>
    </w:rPr>
    <w:pPr>
      <w:spacing w:line="240" w:lineRule="auto"/>
    </w:pPr>
  </w:style>
  <w:style w:type="paragraph" w:styleId="ListParagraph">
    <w:name w:val="List Paragraph"/>
    <w:basedOn w:val="Normal"/>
    <w:qFormat/>
    <w:rPr>
      <w:rFonts w:ascii="Times New Roman" w:hAnsi="Times New Roman" w:eastAsia="Noto Serif CJK TC" w:cs="Times New Roman"/>
      <w:sz w:val="24"/>
      <w:szCs w:val="24"/>
      <w:color w:val="000000"/>
    </w:rPr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00"/>
      <w:u w:val="single"/>
      <w:rFonts w:ascii="Times New Roman" w:hAnsi="Times New Roman" w:eastAsia="Noto Serif CJK TC" w:cs="Times New Roman"/>
      <w:sz w:val="24"/>
      <w:szCs w:val="24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  <w:rFonts w:ascii="Times New Roman" w:hAnsi="Times New Roman" w:eastAsia="Noto Serif CJK TC" w:cs="Times New Roman"/>
      <w:sz w:val="24"/>
      <w:szCs w:val="24"/>
      <w:color w:val="000000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4"/>
      <w:szCs w:val="24"/>
      <w:rFonts w:ascii="Times New Roman" w:hAnsi="Times New Roman" w:eastAsia="Noto Serif CJK TC" w:cs="Times New Roman"/>
      <w:color w:val="00000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4"/>
      <w:szCs w:val="24"/>
      <w:rFonts w:ascii="Times New Roman" w:hAnsi="Times New Roman" w:eastAsia="Noto Serif CJK TC" w:cs="Times New Roman"/>
      <w:color w:val="00000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  <w:rFonts w:ascii="Times New Roman" w:hAnsi="Times New Roman" w:eastAsia="Noto Serif CJK TC" w:cs="Times New Roman"/>
      <w:sz w:val="24"/>
      <w:szCs w:val="24"/>
      <w:color w:val="00000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4"/>
      <w:szCs w:val="24"/>
      <w:rFonts w:ascii="Times New Roman" w:hAnsi="Times New Roman" w:eastAsia="Noto Serif CJK TC" w:cs="Times New Roman"/>
      <w:color w:val="00000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4"/>
      <w:szCs w:val="24"/>
      <w:rFonts w:ascii="Times New Roman" w:hAnsi="Times New Roman" w:eastAsia="Noto Serif CJK TC" w:cs="Times New Roman"/>
      <w:color w:val="000000"/>
    </w:rPr>
  </w:style>
  <w:style w:type="paragraph" w:styleId="Heading1">
    <w:name w:val="Heading 1"/>
    <w:basedOn w:val="Normal"/>
    <w:next w:val="Normal"/>
    <w:qFormat/>
    <w:pPr>
      <w:spacing w:after="140" w:before="240" w:line="240" w:lineRule="auto"/>
      <w:outlineLvl w:val="0"/>
    </w:pPr>
    <w:rPr>
      <w:rFonts w:ascii="Times New Roman" w:hAnsi="Times New Roman" w:eastAsia="Noto Serif CJK TC" w:cs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120" w:before="220" w:line="240" w:lineRule="auto"/>
      <w:outlineLvl w:val="1"/>
    </w:pPr>
    <w:rPr>
      <w:rFonts w:ascii="Times New Roman" w:hAnsi="Times New Roman" w:eastAsia="Noto Serif CJK TC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 w:line="240" w:lineRule="auto"/>
      <w:outlineLvl w:val="2"/>
    </w:pPr>
    <w:rPr>
      <w:rFonts w:ascii="Times New Roman" w:hAnsi="Times New Roman" w:eastAsia="Noto Serif CJK TC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40" w:line="240" w:lineRule="auto"/>
      <w:outlineLvl w:val="3"/>
    </w:pPr>
    <w:rPr>
      <w:rFonts w:ascii="Times New Roman" w:hAnsi="Times New Roman" w:eastAsia="Noto Serif CJK TC" w:cs="Times New Roman"/>
      <w:b/>
      <w:bCs/>
      <w:sz w:val="24"/>
      <w:szCs w:val="24"/>
      <w:color w:val="000000"/>
    </w:rPr>
  </w:style>
  <w:style w:type="paragraph" w:styleId="Normal" w:default="1">
    <w:name w:val="Normal"/>
    <w:rPr>
      <w:rFonts w:ascii="Times New Roman" w:hAnsi="Times New Roman" w:eastAsia="Noto Serif CJK TC" w:cs="Times New Roman"/>
      <w:sz w:val="24"/>
      <w:szCs w:val="24"/>
      <w:color w:val="000000"/>
    </w:rPr>
  </w:style>
</w:styles>
</file>

<file path=word/_rels/comments.xml.rels><?xml version="1.0" encoding="UTF-8"?><Relationships xmlns="http://schemas.openxmlformats.org/package/2006/relationships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021157b2fce313e729c15edf69e26ec1b98aad8.png"/><Relationship Id="rId10" Type="http://schemas.openxmlformats.org/officeDocument/2006/relationships/image" Target="media/13834d5b1d219287d763afecddaf33672927d8d7.png"/><Relationship Id="rId11" Type="http://schemas.openxmlformats.org/officeDocument/2006/relationships/fontTable" Target="fontTable.xml"/><Relationship Id="rIdV5Footer1" Type="http://schemas.openxmlformats.org/officeDocument/2006/relationships/footer" Target="footer_v5_1.xml"/><Relationship Id="rIdV5Footer2" Type="http://schemas.openxmlformats.org/officeDocument/2006/relationships/footer" Target="footer_v5_2.xml"/><Relationship Id="rIdV5Footer3" Type="http://schemas.openxmlformats.org/officeDocument/2006/relationships/footer" Target="footer_v5_3.xml"/><Relationship Id="rIdV5Footer4" Type="http://schemas.openxmlformats.org/officeDocument/2006/relationships/footer" Target="footer_v5_4.xml"/><Relationship Id="rIdV5Footer5" Type="http://schemas.openxmlformats.org/officeDocument/2006/relationships/footer" Target="footer_v5_5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 奈米以下 SAR ADC 之寄生感知 AI 多代理佈局平台</dc:title>
  <dc:creator>TKU EE Lab</dc:creator>
  <cp:lastModifiedBy>Un-named</cp:lastModifiedBy>
  <cp:revision>1</cp:revision>
  <dcterms:created xsi:type="dcterms:W3CDTF">2026-10-06T04:17:53.129Z</dcterms:created>
  <dcterms:modified xsi:type="dcterms:W3CDTF">2026-10-06T04:17:53.129Z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