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DC8D7" w14:textId="216ED106" w:rsidR="005B6EE3" w:rsidRDefault="005B6EE3" w:rsidP="005B6EE3">
      <w:pPr>
        <w:ind w:left="-1080"/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S</w:t>
      </w:r>
      <w:r w:rsidRPr="008D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 xml:space="preserve"> Table</w:t>
      </w:r>
      <w:r w:rsidRPr="008D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. Results of mixed logit regression models with interaction terms with current potential B+ clients (women pregnant or breastfeeding and not on ART or on ART during pregnancies only (pMTCT) vs. others)</w:t>
      </w:r>
    </w:p>
    <w:tbl>
      <w:tblPr>
        <w:tblW w:w="5728" w:type="pct"/>
        <w:tblInd w:w="-106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452"/>
        <w:gridCol w:w="629"/>
        <w:gridCol w:w="806"/>
        <w:gridCol w:w="629"/>
        <w:gridCol w:w="941"/>
        <w:gridCol w:w="255"/>
        <w:gridCol w:w="4464"/>
        <w:gridCol w:w="647"/>
        <w:gridCol w:w="794"/>
        <w:gridCol w:w="554"/>
        <w:gridCol w:w="809"/>
      </w:tblGrid>
      <w:tr w:rsidR="00364C94" w:rsidRPr="008D0518" w14:paraId="2F10DDF3" w14:textId="77777777" w:rsidTr="0061277A">
        <w:trPr>
          <w:trHeight w:val="260"/>
        </w:trPr>
        <w:tc>
          <w:tcPr>
            <w:tcW w:w="248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BE8C1C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Ethiopia</w:t>
            </w: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11E577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2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49CD129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Mozambique</w:t>
            </w:r>
          </w:p>
        </w:tc>
      </w:tr>
      <w:tr w:rsidR="00364C94" w:rsidRPr="008D0518" w14:paraId="3C9066C7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1F74C4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Attribute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CF539B" w14:textId="77777777" w:rsidR="00364C94" w:rsidRPr="008D0518" w:rsidRDefault="00364C94" w:rsidP="0061277A">
            <w:pPr>
              <w:ind w:hanging="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Mean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C710F7" w14:textId="77777777" w:rsidR="00364C94" w:rsidRPr="008D0518" w:rsidRDefault="00364C94" w:rsidP="0061277A">
            <w:pPr>
              <w:ind w:hanging="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E29B4A" w14:textId="77777777" w:rsidR="00364C94" w:rsidRPr="008D0518" w:rsidRDefault="00364C94" w:rsidP="0061277A">
            <w:pPr>
              <w:ind w:hanging="3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SD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6C2B44" w14:textId="77777777" w:rsidR="00364C94" w:rsidRPr="008D0518" w:rsidRDefault="00364C94" w:rsidP="0061277A">
            <w:pPr>
              <w:ind w:hanging="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C4B12F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CE3DF9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Attribute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2C7ADD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Mean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721813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1255AF" w14:textId="77777777" w:rsidR="00364C94" w:rsidRPr="008D0518" w:rsidRDefault="00364C94" w:rsidP="0061277A">
            <w:pPr>
              <w:ind w:hanging="9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SD</w:t>
            </w:r>
          </w:p>
        </w:tc>
        <w:tc>
          <w:tcPr>
            <w:tcW w:w="270" w:type="pct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6E1108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</w:p>
        </w:tc>
      </w:tr>
      <w:tr w:rsidR="00364C94" w:rsidRPr="008D0518" w14:paraId="60E35474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3B856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Non-HIV services available at the same consultation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37F21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0DE31" w14:textId="77777777" w:rsidR="00364C94" w:rsidRPr="008D0518" w:rsidRDefault="00C862DF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48E966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102EC19A" w14:textId="77777777" w:rsidR="00364C94" w:rsidRPr="008D0518" w:rsidRDefault="00C862DF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C5F8B9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3D1DD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Non-HIV services available at the same consultation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6BA1E" w14:textId="77777777" w:rsidR="00364C94" w:rsidRPr="008D0518" w:rsidRDefault="00C862DF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634ED888" w14:textId="77777777" w:rsidR="00364C94" w:rsidRPr="008D0518" w:rsidRDefault="00C862DF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5BCC2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3CB75922" w14:textId="77777777" w:rsidR="00364C94" w:rsidRPr="008D0518" w:rsidRDefault="00C862DF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364C94" w:rsidRPr="008D0518" w14:paraId="2E8230D9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2BBD96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are respectful and welcoming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14D5FF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625B73" w14:textId="77777777" w:rsidR="00364C94" w:rsidRPr="008D0518" w:rsidRDefault="00C862DF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5B0D03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5B0F1BCE" w14:textId="77777777" w:rsidR="00364C94" w:rsidRPr="008D0518" w:rsidRDefault="00364C94" w:rsidP="00C862DF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AAA75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E3B2D1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are respectful and pleasant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4FC488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17336F9F" w14:textId="77777777" w:rsidR="00364C94" w:rsidRPr="008D0518" w:rsidRDefault="00C862DF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DF4EA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68B979CA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0.08**</w:t>
            </w:r>
          </w:p>
        </w:tc>
      </w:tr>
      <w:tr w:rsidR="00364C94" w:rsidRPr="008D0518" w14:paraId="35BB47BF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AEFA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Mother support groups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D84DD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ED62C" w14:textId="77777777" w:rsidR="00364C94" w:rsidRPr="008D0518" w:rsidRDefault="00C862DF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B1F30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32F86009" w14:textId="77777777" w:rsidR="00364C94" w:rsidRPr="008D0518" w:rsidRDefault="00C862DF" w:rsidP="00C862DF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0.10*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890CD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D75B6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Providers involve husband/partner in care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97B31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5BD7E9DB" w14:textId="77777777" w:rsidR="00364C94" w:rsidRPr="008D0518" w:rsidRDefault="00C862DF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35559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1D5DE232" w14:textId="77777777" w:rsidR="00364C94" w:rsidRPr="008D0518" w:rsidRDefault="00C862DF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364C94" w:rsidRPr="008D0518" w14:paraId="73660481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C2AF9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Counseling services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98254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98B56" w14:textId="77777777" w:rsidR="00364C94" w:rsidRPr="008D0518" w:rsidRDefault="00C862DF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32C46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6E463E96" w14:textId="77777777" w:rsidR="00364C94" w:rsidRPr="008D0518" w:rsidRDefault="00364C94" w:rsidP="00C862DF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DBF36F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16B560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Counseling services available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90BBA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2D83AF1F" w14:textId="77777777" w:rsidR="00364C94" w:rsidRPr="008D0518" w:rsidRDefault="00C862DF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1F5DB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0AA191E0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0.06**</w:t>
            </w:r>
          </w:p>
        </w:tc>
      </w:tr>
      <w:tr w:rsidR="00364C94" w:rsidRPr="008D0518" w14:paraId="4D689576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C7C9AB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9061E4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082739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D55C72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3B4857BC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5A920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FE782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Health center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15A72" w14:textId="77777777" w:rsidR="00364C94" w:rsidRPr="008D0518" w:rsidRDefault="00C862DF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64777053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D00BC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54B20B4E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364C94" w:rsidRPr="008D0518" w14:paraId="191EEE1C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ABFC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Hospital (vs. health center)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DD5047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5D72BB" w14:textId="77777777" w:rsidR="00364C94" w:rsidRPr="008D0518" w:rsidRDefault="00C862DF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075FF4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56F8DC52" w14:textId="77777777" w:rsidR="00364C94" w:rsidRPr="008D0518" w:rsidRDefault="00364C94" w:rsidP="00C862DF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2916F9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3187C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Hospital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AF3892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501A059D" w14:textId="77777777" w:rsidR="00364C94" w:rsidRPr="008D0518" w:rsidRDefault="00C862DF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64A4E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366D45E3" w14:textId="77777777" w:rsidR="00364C94" w:rsidRPr="008D0518" w:rsidRDefault="00C862DF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364C94" w:rsidRPr="008D0518" w14:paraId="6E0D37EB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15714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(continuous in 100 Birr)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9668DE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41D4E1" w14:textId="77777777" w:rsidR="00364C94" w:rsidRPr="008D0518" w:rsidRDefault="00C862DF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90997A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5C99B6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81C465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81208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(continuous in 100 MTn)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B8B7B6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336CB628" w14:textId="77777777" w:rsidR="00364C94" w:rsidRPr="008D0518" w:rsidRDefault="00C862DF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94EBE1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29FE4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4C94" w:rsidRPr="008D0518" w14:paraId="4D776EF3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2726D0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08B787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759833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5CB46C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82492F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3E6186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30162A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CF23D9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2C9F0676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C7B368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3A951D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4C94" w:rsidRPr="008D0518" w14:paraId="4E7DEE91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E82BF4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Non-HIV services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EB1B03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878272C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8377BD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953C57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38B5A9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9E0F5B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Non-HIV services available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BFCC62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5F109987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DEA64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9E1AFB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4C94" w:rsidRPr="008D0518" w14:paraId="12754E8D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361348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Providers are respectful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8E8C7E" w14:textId="77777777" w:rsidR="00364C94" w:rsidRPr="008D0518" w:rsidRDefault="00C862DF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8B0A7BA" w14:textId="77777777" w:rsidR="00364C94" w:rsidRPr="008D0518" w:rsidRDefault="00364C94" w:rsidP="00C862DF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1F37E6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B06EA3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913544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B52135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Providers are respectful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C7CE3D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3F3FC7C9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E04AC1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A094B3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4C94" w:rsidRPr="008D0518" w14:paraId="2E94A711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53418D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Mother support groups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069F41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186311" w14:textId="77777777" w:rsidR="00364C94" w:rsidRPr="008D0518" w:rsidRDefault="00C862DF" w:rsidP="00C862DF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9D76F0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E8C774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388721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A4DC99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Providers involve husband/family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AFAABB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3D3596E9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EB2D5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37C531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4C94" w:rsidRPr="008D0518" w14:paraId="5482688D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DA0ED8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Counseling services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783BE1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9DDE2F" w14:textId="77777777" w:rsidR="00364C94" w:rsidRPr="008D0518" w:rsidRDefault="00364C94" w:rsidP="00C862DF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619ACD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7C6944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DF116B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AC38A9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Counseling services available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067426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2FA2BDF5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5E25E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E1478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4C94" w:rsidRPr="008D0518" w14:paraId="4285FBA0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F1C6E2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67A7E4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A09CDD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AE8541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3AE694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AC9F0C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5E5CA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Health center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1690CB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66BDB92D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75CFE3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B4F775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4C94" w:rsidRPr="008D0518" w14:paraId="73930E33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1304D7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Hospital (vs. health center)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9AD6C2B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1B9312" w14:textId="77777777" w:rsidR="00364C94" w:rsidRPr="008D0518" w:rsidRDefault="00C862DF" w:rsidP="00C862DF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E6177E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2023A6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048035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B7301E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Hospital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BDD7F2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2612523B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E969E4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901C1B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4C94" w:rsidRPr="008D0518" w14:paraId="362F9E87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94A4EC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Cost (continuous in 100 Birr)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87EF3D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F1DA97" w14:textId="77777777" w:rsidR="00364C94" w:rsidRPr="008D0518" w:rsidRDefault="00364C94" w:rsidP="00C862DF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5BAE1F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3397E0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566A8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429EEE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B+ client × Cost (continuous in 100 MTn)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D7E607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</w:t>
            </w:r>
            <w:r w:rsidR="00C862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6DA08503" w14:textId="77777777" w:rsidR="00364C94" w:rsidRPr="008D0518" w:rsidRDefault="00364C94" w:rsidP="00C862DF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1BC89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EA1B8C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64C94" w:rsidRPr="008D0518" w14:paraId="569BEC73" w14:textId="77777777" w:rsidTr="0061277A">
        <w:trPr>
          <w:trHeight w:val="240"/>
        </w:trPr>
        <w:tc>
          <w:tcPr>
            <w:tcW w:w="248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E1849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A9B0F5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F6A81C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3FF1A751" w14:textId="77777777" w:rsidTr="0061277A">
        <w:trPr>
          <w:trHeight w:val="240"/>
        </w:trPr>
        <w:tc>
          <w:tcPr>
            <w:tcW w:w="248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ACD0C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Model diagnostics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2913F6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EF8C99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Model diagnostics</w:t>
            </w:r>
          </w:p>
        </w:tc>
      </w:tr>
      <w:tr w:rsidR="00364C94" w:rsidRPr="008D0518" w14:paraId="3686C5D3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CB12F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respon</w:t>
            </w:r>
            <w:bookmarkStart w:id="0" w:name="_GoBack"/>
            <w:bookmarkEnd w:id="0"/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dents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61AFC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1,013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161741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6ED0F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respondents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12720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1,020</w:t>
            </w:r>
          </w:p>
        </w:tc>
      </w:tr>
      <w:tr w:rsidR="00364C94" w:rsidRPr="008D0518" w14:paraId="67FACE22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00944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observations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5058D5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16,192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6CC935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FCA53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observations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1A45A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16,156</w:t>
            </w:r>
          </w:p>
        </w:tc>
      </w:tr>
      <w:tr w:rsidR="00364C94" w:rsidRPr="008D0518" w14:paraId="7F57C515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2EC75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Log-likelihood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612E2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-3556.7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3F1B6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C0EB3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Log-likelihood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CA44B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-4175.1</w:t>
            </w:r>
          </w:p>
        </w:tc>
      </w:tr>
      <w:tr w:rsidR="00364C94" w:rsidRPr="008D0518" w14:paraId="1C93EA5D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30AFC9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Likelihood ratio χ2 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7D4A749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932.18</w:t>
            </w:r>
          </w:p>
        </w:tc>
        <w:tc>
          <w:tcPr>
            <w:tcW w:w="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4225942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4C72C97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Likelihood ratio χ2 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06811C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619.54</w:t>
            </w:r>
          </w:p>
        </w:tc>
      </w:tr>
    </w:tbl>
    <w:p w14:paraId="6F1B6079" w14:textId="77777777" w:rsidR="00206162" w:rsidRDefault="00206162" w:rsidP="00206162">
      <w:pPr>
        <w:ind w:left="-108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1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Mean β coefficients show estimated utility of each attribute, where positive coefficients indicate positive preference. Positive coefficients for B+ client 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</w:rPr>
        <w:t>× &lt;attribute&gt; interaction terms indicate that current potential B+ clients (women who are pregnant or breastfeeding and not on ART or on ART during pregnancies only (pMTCT)) place higher preference on that attribute than do women currently on ART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.  The overall preference for a service scenario is calculated as the sum of the products of the main effects and the interaction terms.</w:t>
      </w:r>
    </w:p>
    <w:p w14:paraId="0850F92C" w14:textId="77777777" w:rsidR="00206162" w:rsidRDefault="00206162" w:rsidP="00206162">
      <w:pPr>
        <w:ind w:left="-108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2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*</w:t>
      </w:r>
      <w:r w:rsidRPr="008D05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US"/>
        </w:rPr>
        <w:t>p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&lt; .05, **</w:t>
      </w:r>
      <w:r w:rsidRPr="008D05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US"/>
        </w:rPr>
        <w:t>p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&lt; .01</w:t>
      </w:r>
    </w:p>
    <w:p w14:paraId="19E9FEFE" w14:textId="2573C02A" w:rsidR="00862B03" w:rsidRDefault="00206162" w:rsidP="00206162">
      <w:pPr>
        <w:ind w:left="-1080"/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3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Currency equivalents in USD are 100 Ethiopian Birr = 5.12 USD and 100 Mozambican MTn = 3.20 USD, using period average exchange rates for the dates of data collection, extracted from OANDA.com (Ethiopia: 16 Apr 2014 to 12 Jun 2014; Mozambique: 8 Apr 2014 to 23 May 2014).</w:t>
      </w:r>
    </w:p>
    <w:sectPr w:rsidR="00862B03" w:rsidSect="00FA109E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FA51B" w14:textId="77777777" w:rsidR="00687230" w:rsidRDefault="003B719C">
      <w:r>
        <w:separator/>
      </w:r>
    </w:p>
  </w:endnote>
  <w:endnote w:type="continuationSeparator" w:id="0">
    <w:p w14:paraId="6527C1B5" w14:textId="77777777" w:rsidR="00687230" w:rsidRDefault="003B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3556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C67D0" w14:textId="77777777" w:rsidR="00F20963" w:rsidRDefault="00364C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E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A77CD7" w14:textId="77777777" w:rsidR="00F20963" w:rsidRDefault="005B6EE3" w:rsidP="00FA10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80C86" w14:textId="77777777" w:rsidR="00687230" w:rsidRDefault="003B719C">
      <w:r>
        <w:separator/>
      </w:r>
    </w:p>
  </w:footnote>
  <w:footnote w:type="continuationSeparator" w:id="0">
    <w:p w14:paraId="11A44295" w14:textId="77777777" w:rsidR="00687230" w:rsidRDefault="003B71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01CB2" w14:textId="77777777" w:rsidR="00F20963" w:rsidRDefault="005B6E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A18"/>
    <w:multiLevelType w:val="hybridMultilevel"/>
    <w:tmpl w:val="C384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35B63"/>
    <w:multiLevelType w:val="hybridMultilevel"/>
    <w:tmpl w:val="3134F7CA"/>
    <w:lvl w:ilvl="0" w:tplc="AC920FFA">
      <w:start w:val="999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82462"/>
    <w:multiLevelType w:val="hybridMultilevel"/>
    <w:tmpl w:val="C628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7AFC"/>
    <w:multiLevelType w:val="hybridMultilevel"/>
    <w:tmpl w:val="B554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A0DAD"/>
    <w:multiLevelType w:val="hybridMultilevel"/>
    <w:tmpl w:val="5F72FFDA"/>
    <w:lvl w:ilvl="0" w:tplc="8A72C3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478E9"/>
    <w:multiLevelType w:val="hybridMultilevel"/>
    <w:tmpl w:val="846A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94"/>
    <w:rsid w:val="00073DDE"/>
    <w:rsid w:val="00155429"/>
    <w:rsid w:val="00206162"/>
    <w:rsid w:val="00364C94"/>
    <w:rsid w:val="003B719C"/>
    <w:rsid w:val="005B6EE3"/>
    <w:rsid w:val="005E7122"/>
    <w:rsid w:val="00687230"/>
    <w:rsid w:val="00862B03"/>
    <w:rsid w:val="00863C1B"/>
    <w:rsid w:val="00C862DF"/>
    <w:rsid w:val="00C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87B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94"/>
    <w:rPr>
      <w:rFonts w:asciiTheme="minorHAnsi" w:hAnsiTheme="minorHAnsi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364C9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C9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6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94"/>
    <w:rPr>
      <w:rFonts w:ascii="Lucida Grande" w:hAnsi="Lucida Grande" w:cs="Lucida Grande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364C94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4C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64C94"/>
  </w:style>
  <w:style w:type="character" w:customStyle="1" w:styleId="CommentTextChar">
    <w:name w:val="Comment Text Char"/>
    <w:basedOn w:val="DefaultParagraphFont"/>
    <w:link w:val="CommentText"/>
    <w:uiPriority w:val="99"/>
    <w:rsid w:val="00364C94"/>
    <w:rPr>
      <w:rFonts w:asciiTheme="minorHAnsi" w:hAnsiTheme="minorHAns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C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C94"/>
    <w:rPr>
      <w:rFonts w:asciiTheme="minorHAnsi" w:hAnsiTheme="minorHAnsi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64C94"/>
  </w:style>
  <w:style w:type="character" w:customStyle="1" w:styleId="FootnoteTextChar">
    <w:name w:val="Footnote Text Char"/>
    <w:basedOn w:val="DefaultParagraphFont"/>
    <w:link w:val="FootnoteText"/>
    <w:uiPriority w:val="99"/>
    <w:rsid w:val="00364C94"/>
    <w:rPr>
      <w:rFonts w:asciiTheme="minorHAnsi" w:hAnsiTheme="minorHAnsi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364C94"/>
    <w:rPr>
      <w:vertAlign w:val="superscript"/>
    </w:rPr>
  </w:style>
  <w:style w:type="paragraph" w:styleId="Revision">
    <w:name w:val="Revision"/>
    <w:hidden/>
    <w:uiPriority w:val="99"/>
    <w:semiHidden/>
    <w:rsid w:val="00364C94"/>
    <w:rPr>
      <w:rFonts w:asciiTheme="minorHAnsi" w:hAnsiTheme="minorHAnsi"/>
      <w:lang w:eastAsia="ja-JP"/>
    </w:rPr>
  </w:style>
  <w:style w:type="paragraph" w:customStyle="1" w:styleId="EndNoteBibliographyTitle">
    <w:name w:val="EndNote Bibliography Title"/>
    <w:basedOn w:val="Normal"/>
    <w:rsid w:val="00364C94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364C94"/>
    <w:pPr>
      <w:jc w:val="both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C94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94"/>
    <w:rPr>
      <w:rFonts w:asciiTheme="minorHAnsi" w:hAnsiTheme="minorHAns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64C9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jrnl">
    <w:name w:val="jrnl"/>
    <w:basedOn w:val="DefaultParagraphFont"/>
    <w:rsid w:val="00364C94"/>
  </w:style>
  <w:style w:type="character" w:styleId="PlaceholderText">
    <w:name w:val="Placeholder Text"/>
    <w:basedOn w:val="DefaultParagraphFont"/>
    <w:uiPriority w:val="99"/>
    <w:semiHidden/>
    <w:rsid w:val="00364C9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94"/>
    <w:rPr>
      <w:rFonts w:asciiTheme="minorHAnsi" w:hAnsiTheme="minorHAnsi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364C9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C9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6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94"/>
    <w:rPr>
      <w:rFonts w:ascii="Lucida Grande" w:hAnsi="Lucida Grande" w:cs="Lucida Grande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364C94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4C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64C94"/>
  </w:style>
  <w:style w:type="character" w:customStyle="1" w:styleId="CommentTextChar">
    <w:name w:val="Comment Text Char"/>
    <w:basedOn w:val="DefaultParagraphFont"/>
    <w:link w:val="CommentText"/>
    <w:uiPriority w:val="99"/>
    <w:rsid w:val="00364C94"/>
    <w:rPr>
      <w:rFonts w:asciiTheme="minorHAnsi" w:hAnsiTheme="minorHAns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C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C94"/>
    <w:rPr>
      <w:rFonts w:asciiTheme="minorHAnsi" w:hAnsiTheme="minorHAnsi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64C94"/>
  </w:style>
  <w:style w:type="character" w:customStyle="1" w:styleId="FootnoteTextChar">
    <w:name w:val="Footnote Text Char"/>
    <w:basedOn w:val="DefaultParagraphFont"/>
    <w:link w:val="FootnoteText"/>
    <w:uiPriority w:val="99"/>
    <w:rsid w:val="00364C94"/>
    <w:rPr>
      <w:rFonts w:asciiTheme="minorHAnsi" w:hAnsiTheme="minorHAnsi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364C94"/>
    <w:rPr>
      <w:vertAlign w:val="superscript"/>
    </w:rPr>
  </w:style>
  <w:style w:type="paragraph" w:styleId="Revision">
    <w:name w:val="Revision"/>
    <w:hidden/>
    <w:uiPriority w:val="99"/>
    <w:semiHidden/>
    <w:rsid w:val="00364C94"/>
    <w:rPr>
      <w:rFonts w:asciiTheme="minorHAnsi" w:hAnsiTheme="minorHAnsi"/>
      <w:lang w:eastAsia="ja-JP"/>
    </w:rPr>
  </w:style>
  <w:style w:type="paragraph" w:customStyle="1" w:styleId="EndNoteBibliographyTitle">
    <w:name w:val="EndNote Bibliography Title"/>
    <w:basedOn w:val="Normal"/>
    <w:rsid w:val="00364C94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364C94"/>
    <w:pPr>
      <w:jc w:val="both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C94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94"/>
    <w:rPr>
      <w:rFonts w:asciiTheme="minorHAnsi" w:hAnsiTheme="minorHAns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64C9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jrnl">
    <w:name w:val="jrnl"/>
    <w:basedOn w:val="DefaultParagraphFont"/>
    <w:rsid w:val="00364C94"/>
  </w:style>
  <w:style w:type="character" w:styleId="PlaceholderText">
    <w:name w:val="Placeholder Text"/>
    <w:basedOn w:val="DefaultParagraphFont"/>
    <w:uiPriority w:val="99"/>
    <w:semiHidden/>
    <w:rsid w:val="00364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2513</Characters>
  <Application>Microsoft Macintosh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Kruk</dc:creator>
  <cp:keywords/>
  <dc:description/>
  <cp:lastModifiedBy>Anton Palma</cp:lastModifiedBy>
  <cp:revision>3</cp:revision>
  <dcterms:created xsi:type="dcterms:W3CDTF">2016-07-28T16:00:00Z</dcterms:created>
  <dcterms:modified xsi:type="dcterms:W3CDTF">2016-07-28T16:08:00Z</dcterms:modified>
</cp:coreProperties>
</file>