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PHCM9795: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Biostatistics</w:t>
      </w:r>
    </w:p>
    <w:p>
      <w:pPr>
        <w:pStyle w:val="Author"/>
      </w:pPr>
      <w:r>
        <w:t xml:space="preserve">Timothy</w:t>
      </w:r>
      <w:r>
        <w:t xml:space="preserve"> </w:t>
      </w:r>
      <w:r>
        <w:t xml:space="preserve">Dobbins</w:t>
      </w:r>
    </w:p>
    <w:p>
      <w:pPr>
        <w:pStyle w:val="Date"/>
      </w:pPr>
      <w:r>
        <w:t xml:space="preserve">Term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(huxtable)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Here is a method for including mathematical notation in tables:</w:t>
      </w:r>
    </w:p>
    <w:bookmarkStart w:id="22" w:name="tbl-1-1"/>
    <w:p>
      <w:pPr>
        <w:pStyle w:val="BodyText"/>
      </w:pPr>
      <w:r>
        <w:rPr>
          <w:bCs/>
          <w:b/>
        </w:rPr>
        <w:t xml:space="preserve">?(caption)</w:t>
      </w:r>
    </w:p>
    <w:bookmarkEnd w:id="22"/>
    <w:bookmarkEnd w:id="23"/>
    <w:bookmarkStart w:id="45" w:name="hypothesis-testing-for-categorical-data"/>
    <w:p>
      <w:pPr>
        <w:pStyle w:val="Heading1"/>
      </w:pPr>
      <w:r>
        <w:t xml:space="preserve">2. Hypothesis testing for categorical data</w:t>
      </w:r>
    </w:p>
    <w:bookmarkStart w:id="24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module you will be able to:</w:t>
      </w:r>
    </w:p>
    <w:p>
      <w:pPr>
        <w:numPr>
          <w:ilvl w:val="0"/>
          <w:numId w:val="1001"/>
        </w:numPr>
        <w:pStyle w:val="Compact"/>
      </w:pPr>
      <w:r>
        <w:t xml:space="preserve">Use and interpret the appropriate test for testing associations</w:t>
      </w:r>
      <w:r>
        <w:t xml:space="preserve"> </w:t>
      </w:r>
      <w:r>
        <w:t xml:space="preserve">between categorical data;</w:t>
      </w:r>
    </w:p>
    <w:p>
      <w:pPr>
        <w:numPr>
          <w:ilvl w:val="0"/>
          <w:numId w:val="1001"/>
        </w:numPr>
        <w:pStyle w:val="Compact"/>
      </w:pPr>
      <w:r>
        <w:t xml:space="preserve">Conduct and interpret an appropriate test for independent</w:t>
      </w:r>
      <w:r>
        <w:t xml:space="preserve"> </w:t>
      </w:r>
      <w:r>
        <w:t xml:space="preserve">proportions;</w:t>
      </w:r>
    </w:p>
    <w:p>
      <w:pPr>
        <w:numPr>
          <w:ilvl w:val="0"/>
          <w:numId w:val="1001"/>
        </w:numPr>
        <w:pStyle w:val="Compact"/>
      </w:pPr>
      <w:r>
        <w:t xml:space="preserve">Conduct and interpret a test for paired proportions;</w:t>
      </w:r>
    </w:p>
    <w:bookmarkEnd w:id="24"/>
    <w:bookmarkStart w:id="27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Kirkwood and Sterne (2001)</w:t>
      </w:r>
      <w:r>
        <w:t xml:space="preserve">; Chapter 17.</w:t>
      </w:r>
      <w:r>
        <w:t xml:space="preserve"> </w:t>
      </w:r>
      <w:hyperlink r:id="rId25">
        <w:r>
          <w:rPr>
            <w:rStyle w:val="Hyperlink"/>
          </w:rPr>
          <w:t xml:space="preserve">[UNSW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Link]</w:t>
        </w:r>
      </w:hyperlink>
    </w:p>
    <w:p>
      <w:pPr>
        <w:pStyle w:val="BodyText"/>
      </w:pPr>
      <w:r>
        <w:t xml:space="preserve">Bland (2015)</w:t>
      </w:r>
      <w:r>
        <w:t xml:space="preserve">; Chapter 13.</w:t>
      </w:r>
      <w:r>
        <w:t xml:space="preserve"> </w:t>
      </w:r>
      <w:hyperlink r:id="rId26">
        <w:r>
          <w:rPr>
            <w:rStyle w:val="Hyperlink"/>
          </w:rPr>
          <w:t xml:space="preserve">[UNSW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Link]</w:t>
        </w:r>
      </w:hyperlink>
    </w:p>
    <w:p>
      <w:pPr>
        <w:pStyle w:val="BodyText"/>
      </w:pPr>
      <w:r>
        <w:t xml:space="preserve">Acock (2010)</w:t>
      </w:r>
      <w:r>
        <w:t xml:space="preserve">; Section 7.6.</w:t>
      </w:r>
    </w:p>
    <w:bookmarkEnd w:id="27"/>
    <w:bookmarkStart w:id="29" w:name="introduction-1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Module 6, we estimated the 95% confidence intervals of proportions</w:t>
      </w:r>
      <w:r>
        <w:t xml:space="preserve"> </w:t>
      </w:r>
      <w:r>
        <w:t xml:space="preserve">and measures of association for categorical data and conducted a</w:t>
      </w:r>
      <w:r>
        <w:t xml:space="preserve"> </w:t>
      </w:r>
      <w:r>
        <w:t xml:space="preserve">significance test comparing a sample proportion to a known value.</w:t>
      </w:r>
    </w:p>
    <w:p>
      <w:pPr>
        <w:pStyle w:val="BodyText"/>
      </w:pPr>
      <w:r>
        <w:t xml:space="preserve">When both the outcome variable and the exposure variable are</w:t>
      </w:r>
      <w:r>
        <w:t xml:space="preserve"> </w:t>
      </w:r>
      <w:r>
        <w:t xml:space="preserve">categorical, a chi-squared test can be used as a formal statistical test</w:t>
      </w:r>
      <w:r>
        <w:t xml:space="preserve"> </w:t>
      </w:r>
      <w:r>
        <w:t xml:space="preserve">to assess whether the exposure and outcome are related. The P-value</w:t>
      </w:r>
      <w:r>
        <w:t xml:space="preserve"> </w:t>
      </w:r>
      <w:r>
        <w:t xml:space="preserve">obtained from a chi-squared test gives the probability of obtaining the</w:t>
      </w:r>
      <w:r>
        <w:t xml:space="preserve"> </w:t>
      </w:r>
      <w:r>
        <w:t xml:space="preserve">observed association (or more extreme) if there is in fact no</w:t>
      </w:r>
      <w:r>
        <w:t xml:space="preserve"> </w:t>
      </w:r>
      <w:r>
        <w:t xml:space="preserve">association between the exposure and outcome.</w:t>
      </w:r>
    </w:p>
    <w:p>
      <w:pPr>
        <w:pStyle w:val="BodyText"/>
      </w:pPr>
      <w:r>
        <w:t xml:space="preserve">In this Module, we also include tests for a difference in proportion for</w:t>
      </w:r>
      <w:r>
        <w:t xml:space="preserve"> </w:t>
      </w:r>
      <w:r>
        <w:t xml:space="preserve">paired data.</w:t>
      </w:r>
    </w:p>
    <w:bookmarkStart w:id="28" w:name="worked-example"/>
    <w:p>
      <w:pPr>
        <w:pStyle w:val="Heading3"/>
      </w:pPr>
      <w:r>
        <w:t xml:space="preserve">2.1.1 Worked Example</w:t>
      </w:r>
    </w:p>
    <w:p>
      <w:pPr>
        <w:pStyle w:val="FirstParagraph"/>
      </w:pPr>
      <w:r>
        <w:t xml:space="preserve">We are using the randomised controlled trial as given in Worked Example</w:t>
      </w:r>
      <w:r>
        <w:t xml:space="preserve"> </w:t>
      </w:r>
      <w:r>
        <w:t xml:space="preserve">6.4 on the nauseating side effect of a drug.</w:t>
      </w:r>
    </w:p>
    <w:p>
      <w:pPr>
        <w:pStyle w:val="BodyText"/>
      </w:pPr>
      <w:r>
        <w:t xml:space="preserve">The research question is whether the active drug resulted in a different</w:t>
      </w:r>
      <w:r>
        <w:t xml:space="preserve"> </w:t>
      </w:r>
      <w:r>
        <w:t xml:space="preserve">rate of nausea than the placebo drug. This is equivalent to testing</w:t>
      </w:r>
      <w:r>
        <w:t xml:space="preserve"> </w:t>
      </w:r>
      <w:r>
        <w:t xml:space="preserve">whether there is an association between nausea and type of drug received</w:t>
      </w:r>
      <w:r>
        <w:t xml:space="preserve"> </w:t>
      </w:r>
      <w:r>
        <w:t xml:space="preserve">(active or placebo). Thus, we will test the null hypothesis that the</w:t>
      </w:r>
      <w:r>
        <w:t xml:space="preserve"> </w:t>
      </w:r>
      <w:r>
        <w:t xml:space="preserve">experience of nausea and the treatment are not related to one another.</w:t>
      </w:r>
      <w:r>
        <w:t xml:space="preserve"> </w:t>
      </w:r>
      <w:r>
        <w:t xml:space="preserve">The null hypothesis is:</w:t>
      </w:r>
    </w:p>
    <w:p>
      <w:pPr>
        <w:numPr>
          <w:ilvl w:val="0"/>
          <w:numId w:val="1002"/>
        </w:numPr>
        <w:pStyle w:val="Compact"/>
      </w:pPr>
      <w:r>
        <w:t xml:space="preserve">H</w:t>
      </w:r>
      <w:r>
        <w:rPr>
          <w:vertAlign w:val="subscript"/>
        </w:rPr>
        <w:t xml:space="preserve">0</w:t>
      </w:r>
      <w:r>
        <w:t xml:space="preserve">: The proportion with nausea in the active drug group is the</w:t>
      </w:r>
      <w:r>
        <w:t xml:space="preserve"> </w:t>
      </w:r>
      <w:r>
        <w:t xml:space="preserve">same as the proportion with nausea in the placebo drug group.</w:t>
      </w:r>
    </w:p>
    <w:p>
      <w:pPr>
        <w:pStyle w:val="FirstParagraph"/>
      </w:pPr>
      <w:r>
        <w:t xml:space="preserve">The alternative hypothesis can be stated as:</w:t>
      </w:r>
    </w:p>
    <w:p>
      <w:pPr>
        <w:numPr>
          <w:ilvl w:val="0"/>
          <w:numId w:val="1003"/>
        </w:numPr>
        <w:pStyle w:val="Compact"/>
      </w:pPr>
      <w:r>
        <w:t xml:space="preserve">H</w:t>
      </w:r>
      <w:r>
        <w:rPr>
          <w:vertAlign w:val="subscript"/>
        </w:rPr>
        <w:t xml:space="preserve">a</w:t>
      </w:r>
      <w:r>
        <w:t xml:space="preserve">: The proportion with nausea in the active drug group is</w:t>
      </w:r>
      <w:r>
        <w:t xml:space="preserve"> </w:t>
      </w:r>
      <w:r>
        <w:t xml:space="preserve">different to the proportion with nausea in the placebo drug group.</w:t>
      </w:r>
    </w:p>
    <w:bookmarkEnd w:id="28"/>
    <w:bookmarkEnd w:id="29"/>
    <w:bookmarkStart w:id="34" w:name="Xdd6d16fc43af948b73d9dcc4c5ac697d6a97d1a"/>
    <w:p>
      <w:pPr>
        <w:pStyle w:val="Heading2"/>
      </w:pPr>
      <w:r>
        <w:t xml:space="preserve">2.2 Chi-squared test for independent proportions</w:t>
      </w:r>
    </w:p>
    <w:p>
      <w:pPr>
        <w:pStyle w:val="FirstParagraph"/>
      </w:pPr>
      <w:r>
        <w:t xml:space="preserve">A chi-squared test is used to test the null hypothesis that of no</w:t>
      </w:r>
      <w:r>
        <w:t xml:space="preserve"> </w:t>
      </w:r>
      <w:r>
        <w:t xml:space="preserve">association between two categorical variables. First a contingency table</w:t>
      </w:r>
      <w:r>
        <w:t xml:space="preserve"> </w:t>
      </w:r>
      <w:r>
        <w:t xml:space="preserve">is drawn up and then we estimate the counts of each cell (i.e. a, b, c</w:t>
      </w:r>
      <w:r>
        <w:t xml:space="preserve"> </w:t>
      </w:r>
      <w:r>
        <w:t xml:space="preserve">and d) that would be expected if the null hypothesis was true. The row</w:t>
      </w:r>
      <w:r>
        <w:t xml:space="preserve"> </w:t>
      </w:r>
      <w:r>
        <w:t xml:space="preserve">and column totals are used to calculate expected counts in each cell of</w:t>
      </w:r>
      <w:r>
        <w:t xml:space="preserve"> </w:t>
      </w:r>
      <w:r>
        <w:t xml:space="preserve">the contingency table as follows:</w:t>
      </w:r>
    </w:p>
    <w:p>
      <w:pPr>
        <w:pStyle w:val="BodyText"/>
      </w:pPr>
      <w:r>
        <w:t xml:space="preserve">Expected count = (Row count × Column count) / Total count</w:t>
      </w:r>
    </w:p>
    <w:p>
      <w:pPr>
        <w:pStyle w:val="BodyText"/>
      </w:pPr>
      <w:r>
        <w:t xml:space="preserve">Stata will do this for us, as described in the Stata Notes section in</w:t>
      </w:r>
      <w:r>
        <w:t xml:space="preserve"> </w:t>
      </w:r>
      <w:r>
        <w:t xml:space="preserve">this Module.</w:t>
      </w:r>
    </w:p>
    <w:p>
      <w:pPr>
        <w:pStyle w:val="BodyText"/>
      </w:pPr>
      <w:r>
        <w:t xml:space="preserve">A chi-squared value is then calculated to compare the expected counts</w:t>
      </w:r>
      <w:r>
        <w:t xml:space="preserve"> </w:t>
      </w:r>
      <w:r>
        <w:t xml:space="preserve">(E) in each cell with the observed (actual) cell counts (O). The</w:t>
      </w:r>
      <w:r>
        <w:t xml:space="preserve"> </w:t>
      </w:r>
      <w:r>
        <w:t xml:space="preserve">calculation is as follows:</w:t>
      </w:r>
    </w:p>
    <w:p>
      <w:pPr>
        <w:pStyle w:val="BodyText"/>
      </w:pP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E</m:t>
                    </m:r>
                  </m:e>
                </m:d>
              </m:num>
              <m:den>
                <m:r>
                  <m:t>E</m:t>
                </m:r>
              </m:den>
            </m:f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With [Number of rows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1]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[Number of columns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1]</w:t>
      </w:r>
      <w:r>
        <w:t xml:space="preserve"> </w:t>
      </w:r>
      <w:r>
        <w:t xml:space="preserve">degrees of freedom.</w:t>
      </w:r>
    </w:p>
    <w:p>
      <w:pPr>
        <w:pStyle w:val="BodyText"/>
      </w:pPr>
      <w:r>
        <w:t xml:space="preserve">As for many statistics, the deviations between the observed and expected</w:t>
      </w:r>
      <w:r>
        <w:t xml:space="preserve"> </w:t>
      </w:r>
      <w:r>
        <w:t xml:space="preserve">values are squared to prevent the negative and positive values balancing</w:t>
      </w:r>
      <w:r>
        <w:t xml:space="preserve"> </w:t>
      </w:r>
      <w:r>
        <w:t xml:space="preserve">one another out.</w:t>
      </w:r>
    </w:p>
    <w:p>
      <w:pPr>
        <w:pStyle w:val="BodyText"/>
      </w:pPr>
      <w:r>
        <w:t xml:space="preserve">If the expected counts are close to the observed counts, the chi-squared</w:t>
      </w:r>
      <w:r>
        <w:t xml:space="preserve"> </w:t>
      </w:r>
      <w:r>
        <w:t xml:space="preserve">statistic will be close to zero, and the P-value will be close to 1. The</w:t>
      </w:r>
      <w:r>
        <w:t xml:space="preserve"> </w:t>
      </w:r>
      <w:r>
        <w:t xml:space="preserve">larger the difference between the observed and expected counts, the</w:t>
      </w:r>
      <w:r>
        <w:t xml:space="preserve"> </w:t>
      </w:r>
      <w:r>
        <w:t xml:space="preserve">larger the chi-squared statistic becomes (and the smaller the P-value).</w:t>
      </w:r>
      <w:r>
        <w:t xml:space="preserve"> </w:t>
      </w:r>
      <w:r>
        <w:t xml:space="preserve">A large chi-squared statistic provides more evidence of an association</w:t>
      </w:r>
      <w:r>
        <w:t xml:space="preserve"> </w:t>
      </w:r>
      <w:r>
        <w:t xml:space="preserve">between the exposure and outcome.</w:t>
      </w:r>
    </w:p>
    <w:p>
      <w:pPr>
        <w:pStyle w:val="BodyText"/>
      </w:pPr>
      <w:r>
        <w:t xml:space="preserve">A chi-squared test to examine whether two independent proportions are</w:t>
      </w:r>
      <w:r>
        <w:t xml:space="preserve"> </w:t>
      </w:r>
      <w:r>
        <w:t xml:space="preserve">associated can be obtained in Stata using the</w:t>
      </w:r>
      <w:r>
        <w:t xml:space="preserve"> </w:t>
      </w:r>
      <w:r>
        <w:rPr>
          <w:iCs/>
          <w:i/>
        </w:rPr>
        <w:t xml:space="preserve">Tables for</w:t>
      </w:r>
      <w:r>
        <w:rPr>
          <w:iCs/>
          <w:i/>
        </w:rPr>
        <w:t xml:space="preserve"> </w:t>
      </w:r>
      <w:r>
        <w:rPr>
          <w:iCs/>
          <w:i/>
        </w:rPr>
        <w:t xml:space="preserve">Epidemiologists</w:t>
      </w:r>
      <w:r>
        <w:t xml:space="preserve">: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cs</w:t>
      </w:r>
      <w:r>
        <w:t xml:space="preserve"> </w:t>
      </w:r>
      <w:r>
        <w:t xml:space="preserve">commands. The test can also be conducted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command, with the advantage that the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command</w:t>
      </w:r>
      <w:r>
        <w:t xml:space="preserve"> </w:t>
      </w:r>
      <w:r>
        <w:t xml:space="preserve">shows the expected counts. We will show why this is important shortly.</w:t>
      </w:r>
    </w:p>
    <w:p>
      <w:pPr>
        <w:pStyle w:val="BodyText"/>
      </w:pPr>
      <w:r>
        <w:t xml:space="preserve">The Stata output for Worked Example 7.1 for the study on nausea is shown</w:t>
      </w:r>
      <w:r>
        <w:t xml:space="preserve"> </w:t>
      </w:r>
      <w:r>
        <w:t xml:space="preserve">in Output 7.1a. It is always important to request the percentages using</w:t>
      </w:r>
      <w:r>
        <w:t xml:space="preserve"> </w:t>
      </w:r>
      <w:r>
        <w:t xml:space="preserve">the options in</w:t>
      </w:r>
      <w:r>
        <w:t xml:space="preserve"> </w:t>
      </w:r>
      <w:r>
        <w:t xml:space="preserve">‘</w:t>
      </w:r>
      <w:r>
        <w:t xml:space="preserve">Cells</w:t>
      </w:r>
      <w:r>
        <w:t xml:space="preserve">’</w:t>
      </w:r>
      <w:r>
        <w:t xml:space="preserve"> </w:t>
      </w:r>
      <w:r>
        <w:t xml:space="preserve">to show the proportion of patients who have the</w:t>
      </w:r>
      <w:r>
        <w:t xml:space="preserve"> </w:t>
      </w:r>
      <w:r>
        <w:t xml:space="preserve">outcome in each exposure group, i.e. the row percents.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bookmarkStart w:id="30" w:name="tbl-panel-1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(a) Observed counts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1940"/>
              <w:gridCol w:w="1940"/>
              <w:gridCol w:w="1940"/>
              <w:gridCol w:w="19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Nausea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No nausea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Total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Active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35 (70%)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15 (30%)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 (100%)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Placebo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46 (92%)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 (8%)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 (100%)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81 (81%)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19 (19%)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100 (100%)</w:t>
                  </w:r>
                </w:p>
              </w:tc>
            </w:tr>
          </w:tbl>
          <w:bookmarkEnd w:id="30"/>
          <w:p/>
        </w:tc>
        <w:tc>
          <w:tcPr/>
          <w:bookmarkStart w:id="31" w:name="tbl-panel-2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(b) Expected counts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1940"/>
              <w:gridCol w:w="1940"/>
              <w:gridCol w:w="1940"/>
              <w:gridCol w:w="19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Nausea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No nausea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Total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Active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40.5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9.5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Placebo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40.5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9.5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100</w:t>
                  </w:r>
                </w:p>
              </w:tc>
            </w:tr>
          </w:tbl>
          <w:bookmarkEnd w:id="31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 2.1: Nausea side-effect data</w:t>
      </w:r>
    </w:p>
    <w:p>
      <w:pPr>
        <w:pStyle w:val="BodyText"/>
      </w:pPr>
      <w:r>
        <w:t xml:space="preserve">We can see from the row percentages that 8% of patients in the placebo</w:t>
      </w:r>
      <w:r>
        <w:t xml:space="preserve"> </w:t>
      </w:r>
      <w:r>
        <w:t xml:space="preserve">group experienced nausea compared to 30% of patients in the active</w:t>
      </w:r>
      <w:r>
        <w:t xml:space="preserve"> </w:t>
      </w:r>
      <w:r>
        <w:t xml:space="preserve">group. If no association existed, we would expect to find approximately</w:t>
      </w:r>
      <w:r>
        <w:t xml:space="preserve"> </w:t>
      </w:r>
      <w:r>
        <w:t xml:space="preserve">the same percent of patients with nausea in each group. The</w:t>
      </w:r>
      <w:r>
        <w:t xml:space="preserve"> </w:t>
      </w:r>
      <w:r>
        <w:t xml:space="preserve">‘</w:t>
      </w:r>
      <w:r>
        <w:t xml:space="preserve">Expected</w:t>
      </w:r>
      <w:r>
        <w:t xml:space="preserve">’</w:t>
      </w:r>
      <w:r>
        <w:t xml:space="preserve"> </w:t>
      </w:r>
      <w:r>
        <w:t xml:space="preserve">counts are higher for the groups with</w:t>
      </w:r>
      <w:r>
        <w:t xml:space="preserve"> </w:t>
      </w:r>
      <w:r>
        <w:t xml:space="preserve">‘</w:t>
      </w:r>
      <w:r>
        <w:t xml:space="preserve">No nausea</w:t>
      </w:r>
      <w:r>
        <w:t xml:space="preserve">’</w:t>
      </w:r>
      <w:r>
        <w:t xml:space="preserve"> </w:t>
      </w:r>
      <w:r>
        <w:t xml:space="preserve">because</w:t>
      </w:r>
      <w:r>
        <w:t xml:space="preserve"> </w:t>
      </w:r>
      <w:r>
        <w:t xml:space="preserve">‘</w:t>
      </w:r>
      <w:r>
        <w:t xml:space="preserve">No nausea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more prevalent in the sample than</w:t>
      </w:r>
      <w:r>
        <w:t xml:space="preserve"> </w:t>
      </w:r>
      <w:r>
        <w:t xml:space="preserve">‘</w:t>
      </w:r>
      <w:r>
        <w:t xml:space="preserve">Nausea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tab2</w:t>
      </w:r>
      <w:r>
        <w:t xml:space="preserve"> </w:t>
      </w:r>
      <w:r>
        <w:t xml:space="preserve">command will perform the chi-square test, the measure</w:t>
      </w:r>
      <w:r>
        <w:t xml:space="preserve"> </w:t>
      </w:r>
      <w:r>
        <w:t xml:space="preserve">of effect is best obtained using the</w:t>
      </w:r>
      <w:r>
        <w:t xml:space="preserve"> </w:t>
      </w:r>
      <w:r>
        <w:rPr>
          <w:rStyle w:val="VerbatimChar"/>
        </w:rPr>
        <w:t xml:space="preserve">cs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commands, as discussed</w:t>
      </w:r>
      <w:r>
        <w:t xml:space="preserve"> </w:t>
      </w:r>
      <w:r>
        <w:t xml:space="preserve">in Module 6. Using the relative risk obtained from Module 6, a</w:t>
      </w:r>
      <w:r>
        <w:t xml:space="preserve"> </w:t>
      </w:r>
      <w:r>
        <w:t xml:space="preserve">conclusion from the above test can be written as:</w:t>
      </w:r>
    </w:p>
    <w:p>
      <w:pPr>
        <w:pStyle w:val="BodyText"/>
      </w:pPr>
      <w:r>
        <w:t xml:space="preserve">The proportion with nausea in those who received the active drug is 30%,</w:t>
      </w:r>
      <w:r>
        <w:t xml:space="preserve"> </w:t>
      </w:r>
      <w:r>
        <w:t xml:space="preserve">compared to 8% in those who received the placebo drug. Nausea was more</w:t>
      </w:r>
      <w:r>
        <w:t xml:space="preserve"> </w:t>
      </w:r>
      <w:r>
        <w:t xml:space="preserve">frequent in those who received the active drug (Relative Risk = 3.75,</w:t>
      </w:r>
      <w:r>
        <w:t xml:space="preserve"> </w:t>
      </w:r>
      <w:r>
        <w:t xml:space="preserve">95% CI: 1.34 to 10.51). There is strong evidence that the proportion</w:t>
      </w:r>
      <w:r>
        <w:t xml:space="preserve"> </w:t>
      </w:r>
      <w:r>
        <w:t xml:space="preserve">with nausea differs between the two groups (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7.86 with 1 df,</w:t>
      </w:r>
      <w:r>
        <w:t xml:space="preserve"> </w:t>
      </w:r>
      <w:r>
        <w:t xml:space="preserve">P=0.005).</w:t>
      </w:r>
    </w:p>
    <w:bookmarkStart w:id="32" w:name="X6d7ddfc06e3dd7864583c9c95a1d86ee7b28945"/>
    <w:p>
      <w:pPr>
        <w:pStyle w:val="Heading3"/>
      </w:pPr>
      <w:r>
        <w:t xml:space="preserve">2.2.1 Assumptions for using a Pearson’s chi-squared test</w:t>
      </w:r>
    </w:p>
    <w:p>
      <w:pPr>
        <w:pStyle w:val="FirstParagraph"/>
      </w:pPr>
      <w:r>
        <w:t xml:space="preserve">The assumptions that must be met when using Pearson’s chi-squared test</w:t>
      </w:r>
      <w:r>
        <w:t xml:space="preserve"> </w:t>
      </w:r>
      <w:r>
        <w:t xml:space="preserve">are that:</w:t>
      </w:r>
    </w:p>
    <w:p>
      <w:pPr>
        <w:numPr>
          <w:ilvl w:val="0"/>
          <w:numId w:val="1004"/>
        </w:numPr>
        <w:pStyle w:val="Compact"/>
      </w:pPr>
      <w:r>
        <w:t xml:space="preserve">each observation must be independent;</w:t>
      </w:r>
    </w:p>
    <w:p>
      <w:pPr>
        <w:numPr>
          <w:ilvl w:val="0"/>
          <w:numId w:val="1004"/>
        </w:numPr>
        <w:pStyle w:val="Compact"/>
      </w:pPr>
      <w:r>
        <w:t xml:space="preserve">each participant is represented in the table once only;</w:t>
      </w:r>
    </w:p>
    <w:p>
      <w:pPr>
        <w:numPr>
          <w:ilvl w:val="0"/>
          <w:numId w:val="1004"/>
        </w:numPr>
        <w:pStyle w:val="Compact"/>
      </w:pPr>
      <w:r>
        <w:t xml:space="preserve">at least 80% of the expected cell counts should exceed a value of</w:t>
      </w:r>
      <w:r>
        <w:t xml:space="preserve"> </w:t>
      </w:r>
      <w:r>
        <w:t xml:space="preserve">five;</w:t>
      </w:r>
    </w:p>
    <w:p>
      <w:pPr>
        <w:numPr>
          <w:ilvl w:val="0"/>
          <w:numId w:val="1004"/>
        </w:numPr>
        <w:pStyle w:val="Compact"/>
      </w:pPr>
      <w:r>
        <w:t xml:space="preserve">all expected cell counts should exceed a value of one.</w:t>
      </w:r>
    </w:p>
    <w:p>
      <w:pPr>
        <w:pStyle w:val="FirstParagraph"/>
      </w:pPr>
      <w:r>
        <w:t xml:space="preserve">The first two assumptions are dictated by the study design. The last two</w:t>
      </w:r>
      <w:r>
        <w:t xml:space="preserve"> </w:t>
      </w:r>
      <w:r>
        <w:t xml:space="preserve">assumptions relate to the numbers in the cells and can be explored when</w:t>
      </w:r>
      <w:r>
        <w:t xml:space="preserve"> </w:t>
      </w:r>
      <w:r>
        <w:t xml:space="preserve">running the test. There should not be too many cells with low expected</w:t>
      </w:r>
      <w:r>
        <w:t xml:space="preserve"> </w:t>
      </w:r>
      <w:r>
        <w:t xml:space="preserve">counts. Sometimes, the only way to avoid small cell counts is to recruit</w:t>
      </w:r>
      <w:r>
        <w:t xml:space="preserve"> </w:t>
      </w:r>
      <w:r>
        <w:t xml:space="preserve">a much larger sample size. If small cell counts cannot be avoided,</w:t>
      </w:r>
      <w:r>
        <w:t xml:space="preserve"> </w:t>
      </w:r>
      <w:r>
        <w:t xml:space="preserve">Fisher’s exact test can be used instead. More information on Fisher’s</w:t>
      </w:r>
      <w:r>
        <w:t xml:space="preserve"> </w:t>
      </w:r>
      <w:r>
        <w:t xml:space="preserve">exact test can be found in Chapter 13 of An Introduction to Medical</w:t>
      </w:r>
      <w:r>
        <w:t xml:space="preserve"> </w:t>
      </w:r>
      <w:r>
        <w:t xml:space="preserve">Statistics,</w:t>
      </w:r>
      <w:r>
        <w:t xml:space="preserve"> </w:t>
      </w:r>
      <w:r>
        <w:t xml:space="preserve">Bland (2015)</w:t>
      </w:r>
      <w:r>
        <w:t xml:space="preserve">.</w:t>
      </w:r>
    </w:p>
    <w:bookmarkEnd w:id="32"/>
    <w:bookmarkStart w:id="33" w:name="interpreting-chi-squared-tests"/>
    <w:p>
      <w:pPr>
        <w:pStyle w:val="Heading3"/>
      </w:pPr>
      <w:r>
        <w:t xml:space="preserve">2.2.2 Interpreting chi-squared tests</w:t>
      </w:r>
    </w:p>
    <w:p>
      <w:pPr>
        <w:pStyle w:val="FirstParagraph"/>
      </w:pPr>
      <w:r>
        <w:t xml:space="preserve">For the data being considered from Worked Example 7.1 all cells have an</w:t>
      </w:r>
      <w:r>
        <w:t xml:space="preserve"> </w:t>
      </w:r>
      <w:r>
        <w:t xml:space="preserve">expected count greater than 5 and that the minimum cell count is 9.5.</w:t>
      </w:r>
      <w:r>
        <w:t xml:space="preserve"> </w:t>
      </w:r>
      <w:r>
        <w:t xml:space="preserve">Therefore, it is appropriate to use the Pearson’s Chi-Squared test. If</w:t>
      </w:r>
      <w:r>
        <w:t xml:space="preserve"> </w:t>
      </w:r>
      <w:r>
        <w:t xml:space="preserve">one or more cells have an expected cell count less than 5, then the</w:t>
      </w:r>
      <w:r>
        <w:t xml:space="preserve"> </w:t>
      </w:r>
      <w:r>
        <w:t xml:space="preserve">Fisher’s exact test should be used. The P value associated with the</w:t>
      </w:r>
      <w:r>
        <w:t xml:space="preserve"> </w:t>
      </w:r>
      <w:r>
        <w:t xml:space="preserve">Pearson’s chi-squared test is 0.005 indicating that we can reject the</w:t>
      </w:r>
      <w:r>
        <w:t xml:space="preserve"> </w:t>
      </w:r>
      <w:r>
        <w:t xml:space="preserve">null hypothesis at a 5% level of significance. Thus, we can conclude</w:t>
      </w:r>
      <w:r>
        <w:t xml:space="preserve"> </w:t>
      </w:r>
      <w:r>
        <w:t xml:space="preserve">that there is strong evidence that more patients who were randomised to</w:t>
      </w:r>
      <w:r>
        <w:t xml:space="preserve"> </w:t>
      </w:r>
      <w:r>
        <w:t xml:space="preserve">receive the active treatment experienced nausea than patients randomised</w:t>
      </w:r>
      <w:r>
        <w:t xml:space="preserve"> </w:t>
      </w:r>
      <w:r>
        <w:t xml:space="preserve">to the control (placebo) group.</w:t>
      </w:r>
    </w:p>
    <w:bookmarkEnd w:id="33"/>
    <w:bookmarkEnd w:id="34"/>
    <w:bookmarkStart w:id="38" w:name="Xc8163ea54a562984ccf812cdda708be95ba5bb0"/>
    <w:p>
      <w:pPr>
        <w:pStyle w:val="Heading2"/>
      </w:pPr>
      <w:r>
        <w:t xml:space="preserve">2.3 Chi-squared tests for tables larger than 2-by-2</w:t>
      </w:r>
    </w:p>
    <w:p>
      <w:pPr>
        <w:pStyle w:val="FirstParagraph"/>
      </w:pPr>
      <w:r>
        <w:t xml:space="preserve">Chi-squared tests can also be used for tables larger than a 2-by-2</w:t>
      </w:r>
      <w:r>
        <w:t xml:space="preserve"> </w:t>
      </w:r>
      <w:r>
        <w:t xml:space="preserve">dimension. When a contingency table larger than 2-by-2 is used, say a</w:t>
      </w:r>
      <w:r>
        <w:t xml:space="preserve"> </w:t>
      </w:r>
      <w:r>
        <w:t xml:space="preserve">4-by-2 table if there were 4 exposure groups, the Pearson’s chi-squared</w:t>
      </w:r>
      <w:r>
        <w:t xml:space="preserve"> </w:t>
      </w:r>
      <w:r>
        <w:t xml:space="preserve">can still be used.</w:t>
      </w:r>
    </w:p>
    <w:bookmarkStart w:id="37" w:name="worked-example-1"/>
    <w:p>
      <w:pPr>
        <w:pStyle w:val="Heading3"/>
      </w:pPr>
      <w:r>
        <w:t xml:space="preserve">2.3.1 Worked Example</w:t>
      </w:r>
    </w:p>
    <w:p>
      <w:pPr>
        <w:pStyle w:val="FirstParagraph"/>
      </w:pPr>
      <w:r>
        <w:t xml:space="preserve">The Stata file</w:t>
      </w:r>
      <w:r>
        <w:t xml:space="preserve"> </w:t>
      </w:r>
      <w:r>
        <w:rPr>
          <w:rStyle w:val="VerbatimChar"/>
        </w:rPr>
        <w:t xml:space="preserve">Example_7.2.dta</w:t>
      </w:r>
      <w:r>
        <w:t xml:space="preserve"> </w:t>
      </w:r>
      <w:r>
        <w:t xml:space="preserve">contains information about the severity</w:t>
      </w:r>
      <w:r>
        <w:t xml:space="preserve"> </w:t>
      </w:r>
      <w:r>
        <w:t xml:space="preserve">of allergic reaction, coded as absent, slight, moderate or severe. We</w:t>
      </w:r>
      <w:r>
        <w:t xml:space="preserve"> </w:t>
      </w:r>
      <w:r>
        <w:t xml:space="preserve">can test the hypothesis that the severity of allergy is not different</w:t>
      </w:r>
      <w:r>
        <w:t xml:space="preserve"> </w:t>
      </w:r>
      <w:r>
        <w:t xml:space="preserve">between males and females. To do this we can use a two-way tabulation in</w:t>
      </w:r>
      <w:r>
        <w:t xml:space="preserve"> </w:t>
      </w:r>
      <w:r>
        <w:t xml:space="preserve">Stata to obtain Stata Output 7.2 which shows the percent of females and</w:t>
      </w:r>
      <w:r>
        <w:t xml:space="preserve"> </w:t>
      </w:r>
      <w:r>
        <w:t xml:space="preserve">males who fall into each severity group for allergy. The table shows</w:t>
      </w:r>
      <w:r>
        <w:t xml:space="preserve"> </w:t>
      </w:r>
      <w:r>
        <w:t xml:space="preserve">that the percentage of males is higher in each of the categories of</w:t>
      </w:r>
      <w:r>
        <w:t xml:space="preserve"> </w:t>
      </w:r>
      <w:r>
        <w:t xml:space="preserve">severity (slight, moderate, severe) than the percentage of females.</w:t>
      </w:r>
      <w:r>
        <w:t xml:space="preserve"> </w:t>
      </w:r>
      <w:r>
        <w:t xml:space="preserve">[Command:</w:t>
      </w:r>
      <w:r>
        <w:t xml:space="preserve"> </w:t>
      </w:r>
      <w:r>
        <w:rPr>
          <w:rStyle w:val="VerbatimChar"/>
        </w:rPr>
        <w:t xml:space="preserve">tab allergy_severity sex, col</w:t>
      </w:r>
      <w:r>
        <w:t xml:space="preserve">]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allergy-1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(a) Observed counts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1293"/>
              <w:gridCol w:w="1293"/>
              <w:gridCol w:w="1293"/>
              <w:gridCol w:w="1293"/>
              <w:gridCol w:w="1293"/>
              <w:gridCol w:w="1293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Non-allergenic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Slight</w:t>
                  </w:r>
                  <w:r>
                    <w:t xml:space="preserve"> </w:t>
                  </w:r>
                  <w:r>
                    <w:t xml:space="preserve">allergy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Moderate</w:t>
                  </w:r>
                  <w:r>
                    <w:t xml:space="preserve"> </w:t>
                  </w:r>
                  <w:r>
                    <w:t xml:space="preserve">allergy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Severe</w:t>
                  </w:r>
                  <w:r>
                    <w:t xml:space="preserve"> </w:t>
                  </w:r>
                  <w:r>
                    <w:t xml:space="preserve">allergy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Total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150 (62.0%)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 (20.7%)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27 (11.2%)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15 (6.2%)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242 (100%)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137 (53.1%)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70 (27.1%)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32 (12.4%)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19 (7.4%)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258 (100%)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287 (57.4%)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120 (24.0%)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59 (11.8%)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34 (6.8%)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500</w:t>
                  </w:r>
                  <w:r>
                    <w:t xml:space="preserve"> </w:t>
                  </w:r>
                  <w:r>
                    <w:t xml:space="preserve">(100.0%)</w:t>
                  </w:r>
                </w:p>
              </w:tc>
            </w:tr>
          </w:tbl>
          <w:bookmarkEnd w:id="35"/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allergy-2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(b) Expected counts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1293"/>
              <w:gridCol w:w="1293"/>
              <w:gridCol w:w="1293"/>
              <w:gridCol w:w="1293"/>
              <w:gridCol w:w="1293"/>
              <w:gridCol w:w="1293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Non-allergenic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Slight allergy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Moderate</w:t>
                  </w:r>
                  <w:r>
                    <w:t xml:space="preserve"> </w:t>
                  </w:r>
                  <w:r>
                    <w:t xml:space="preserve">allergy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Severe allergy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Total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138.9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58.1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28.6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16.5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242.0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148.1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61.9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30.4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17.5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258.0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Total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287.0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120.0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59.0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34.0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500.0</w:t>
                  </w:r>
                </w:p>
              </w:tc>
            </w:tr>
          </w:tbl>
          <w:bookmarkEnd w:id="36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 2.2: Allergy data</w:t>
      </w:r>
    </w:p>
    <w:p>
      <w:pPr>
        <w:pStyle w:val="BodyText"/>
      </w:pPr>
      <w:r>
        <w:t xml:space="preserve">The Pearson chi-squared statistic is calculated as 4.31, with 3 degrees</w:t>
      </w:r>
      <w:r>
        <w:t xml:space="preserve"> </w:t>
      </w:r>
      <w:r>
        <w:t xml:space="preserve">of freedom, providing a P-value of 0.23. Therefore, there is little</w:t>
      </w:r>
      <w:r>
        <w:t xml:space="preserve"> </w:t>
      </w:r>
      <w:r>
        <w:t xml:space="preserve">evidence of an association between gender and the severity of allergy.</w:t>
      </w:r>
    </w:p>
    <w:bookmarkEnd w:id="37"/>
    <w:bookmarkEnd w:id="38"/>
    <w:bookmarkStart w:id="43" w:name="X1e4d71256a887ad7e71560e77e71f9e95a6110a"/>
    <w:p>
      <w:pPr>
        <w:pStyle w:val="Heading2"/>
      </w:pPr>
      <w:r>
        <w:t xml:space="preserve">2.4 McNemar’s test for categorical paired data</w:t>
      </w:r>
    </w:p>
    <w:p>
      <w:pPr>
        <w:pStyle w:val="FirstParagraph"/>
      </w:pPr>
      <w:r>
        <w:t xml:space="preserve">If a binary categorical outcome is measured in a paired study design,</w:t>
      </w:r>
      <w:r>
        <w:t xml:space="preserve"> </w:t>
      </w:r>
      <w:r>
        <w:t xml:space="preserve">McNemar’s statistic is used. This statistic is a form of chi-square</w:t>
      </w:r>
      <w:r>
        <w:t xml:space="preserve"> </w:t>
      </w:r>
      <w:r>
        <w:t xml:space="preserve">applied to a paired situation. A Pearson’s chi-squared test cannot be</w:t>
      </w:r>
      <w:r>
        <w:t xml:space="preserve"> </w:t>
      </w:r>
      <w:r>
        <w:t xml:space="preserve">used because the measurements are not independent. However, McNemar’s</w:t>
      </w:r>
      <w:r>
        <w:t xml:space="preserve"> </w:t>
      </w:r>
      <w:r>
        <w:t xml:space="preserve">test can be used to assess whether there is a significant change in</w:t>
      </w:r>
      <w:r>
        <w:t xml:space="preserve"> </w:t>
      </w:r>
      <w:r>
        <w:t xml:space="preserve">proportions between two time points or between two conditions, or</w:t>
      </w:r>
      <w:r>
        <w:t xml:space="preserve"> </w:t>
      </w:r>
      <w:r>
        <w:t xml:space="preserve">whether there is a significant difference in proportions between matched</w:t>
      </w:r>
      <w:r>
        <w:t xml:space="preserve"> </w:t>
      </w:r>
      <w:r>
        <w:t xml:space="preserve">cases and controls.</w:t>
      </w:r>
    </w:p>
    <w:p>
      <w:pPr>
        <w:pStyle w:val="BodyText"/>
      </w:pPr>
      <w:r>
        <w:t xml:space="preserve">For McNemar’s test, the data are displayed as shown in Table 7.1. Cells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called concordant cells because the response was the same at</w:t>
      </w:r>
      <w:r>
        <w:t xml:space="preserve"> </w:t>
      </w:r>
      <w:r>
        <w:t xml:space="preserve">both baseline and follow-up or between matched cases and controls. Cells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called discordant cells because the responses between</w:t>
      </w:r>
      <w:r>
        <w:t xml:space="preserve"> </w:t>
      </w:r>
      <w:r>
        <w:t xml:space="preserve">the pairs were different. For a follow-up study, the participants in</w:t>
      </w:r>
      <w:r>
        <w:t xml:space="preserve"> </w:t>
      </w:r>
      <w:r>
        <w:t xml:space="preserve">cell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had a positive response at baseline and a negative response at</w:t>
      </w:r>
      <w:r>
        <w:t xml:space="preserve"> </w:t>
      </w:r>
      <w:r>
        <w:t xml:space="preserve">follow-up. Conversely, the participants in cell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had a negative</w:t>
      </w:r>
      <w:r>
        <w:t xml:space="preserve"> </w:t>
      </w:r>
      <w:r>
        <w:t xml:space="preserve">response at baseline and a positive response at follow-up.</w:t>
      </w:r>
    </w:p>
    <w:p>
      <w:pPr>
        <w:pStyle w:val="BodyText"/>
      </w:pPr>
      <w:r>
        <w:t xml:space="preserve">For other types of paired data such as twins or matched cases and</w:t>
      </w:r>
      <w:r>
        <w:t xml:space="preserve"> </w:t>
      </w:r>
      <w:r>
        <w:t xml:space="preserve">controls, the data are similarly displayed with the responses of one of</w:t>
      </w:r>
      <w:r>
        <w:t xml:space="preserve"> </w:t>
      </w:r>
      <w:r>
        <w:t xml:space="preserve">the pairs in the columns and the responses for the other of the pairs in</w:t>
      </w:r>
      <w:r>
        <w:t xml:space="preserve"> </w:t>
      </w:r>
      <w:r>
        <w:t xml:space="preserve">the rows. For paired data, the grand total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is always the number of</w:t>
      </w:r>
      <w:r>
        <w:t xml:space="preserve"> </w:t>
      </w:r>
      <w:r>
        <w:t xml:space="preserve">pairs and not the total number of participants.</w:t>
      </w:r>
    </w:p>
    <w:bookmarkStart w:id="39" w:name="tbl-7-1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1d5c4d22-524e-4217-ab4a-0e2da336811c" w:name="tbl-7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d5c4d22-524e-4217-ab4a-0e2da336811c"/>
      <w:r>
        <w:rPr>
          <w:rFonts/>
          <w:b w:val="true"/>
        </w:rPr>
        <w:t xml:space="preserve">: </w:t>
      </w:r>
      <w:r>
        <w:t xml:space="preserve">Table layout for testing matched proportions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 at follow-up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 at follow-up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at baseline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+ 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 + d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+ c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+ 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39"/>
    <w:bookmarkStart w:id="42" w:name="worked-example-7.3"/>
    <w:p>
      <w:pPr>
        <w:pStyle w:val="Heading3"/>
      </w:pPr>
      <w:r>
        <w:t xml:space="preserve">2.4.1 Worked Example 7.3</w:t>
      </w:r>
    </w:p>
    <w:p>
      <w:pPr>
        <w:pStyle w:val="FirstParagraph"/>
      </w:pPr>
      <w:r>
        <w:t xml:space="preserve">Two drugs labelled A and B have been administered to patients in random</w:t>
      </w:r>
      <w:r>
        <w:t xml:space="preserve"> </w:t>
      </w:r>
      <w:r>
        <w:t xml:space="preserve">order so that each patient acts as their own control. The dataset</w:t>
      </w:r>
      <w:r>
        <w:t xml:space="preserve"> </w:t>
      </w:r>
      <w:r>
        <w:t xml:space="preserve">Example_7.3.dta is available on Moodle. The null hypothesis is as</w:t>
      </w:r>
      <w:r>
        <w:t xml:space="preserve"> </w:t>
      </w:r>
      <w:r>
        <w:t xml:space="preserve">follows:</w:t>
      </w:r>
    </w:p>
    <w:p>
      <w:pPr>
        <w:numPr>
          <w:ilvl w:val="0"/>
          <w:numId w:val="1005"/>
        </w:numPr>
        <w:pStyle w:val="Compact"/>
      </w:pPr>
      <w:r>
        <w:t xml:space="preserve">H</w:t>
      </w:r>
      <w:r>
        <w:rPr>
          <w:vertAlign w:val="subscript"/>
        </w:rPr>
        <w:t xml:space="preserve">0</w:t>
      </w:r>
      <w:r>
        <w:t xml:space="preserve">: The proportion of patients who do better on drug A is the same</w:t>
      </w:r>
      <w:r>
        <w:t xml:space="preserve"> </w:t>
      </w:r>
      <w:r>
        <w:t xml:space="preserve">as the proportion of patients who do better on drug B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tabulate2</w:t>
      </w:r>
      <w:r>
        <w:t xml:space="preserve"> </w:t>
      </w:r>
      <w:r>
        <w:t xml:space="preserve">command, observed count and cell percentages were</w:t>
      </w:r>
      <w:r>
        <w:t xml:space="preserve"> </w:t>
      </w:r>
      <w:r>
        <w:t xml:space="preserve">obtained in Table 7.2. From the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 </w:t>
      </w:r>
      <w:r>
        <w:t xml:space="preserve">row in the table, we can see</w:t>
      </w:r>
      <w:r>
        <w:t xml:space="preserve"> </w:t>
      </w:r>
      <w:r>
        <w:t xml:space="preserve">that the number of patients who respond to drug A is 41 (68.3%) and from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 </w:t>
      </w:r>
      <w:r>
        <w:t xml:space="preserve">column the number who respond to drug B is less at 35</w:t>
      </w:r>
      <w:r>
        <w:t xml:space="preserve"> </w:t>
      </w:r>
      <w:r>
        <w:t xml:space="preserve">(58.3%), that is there is a difference of 10.0%.</w:t>
      </w:r>
    </w:p>
    <w:bookmarkStart w:id="40" w:name="X5b177bb386ea15e424d14b7f5c742661d447e8f"/>
    <w:p>
      <w:pPr>
        <w:pStyle w:val="Heading4"/>
      </w:pPr>
      <w:r>
        <w:t xml:space="preserve">Stata Output 7.3: cell percentages for paired data</w:t>
      </w:r>
    </w:p>
    <w:p>
      <w:pPr>
        <w:pStyle w:val="SourceCode"/>
      </w:pPr>
      <w:r>
        <w:rPr>
          <w:rStyle w:val="NormalTok"/>
        </w:rPr>
        <w:t xml:space="preserve">. tabulate druga drugb, cell</w:t>
      </w:r>
      <w:r>
        <w:br/>
      </w:r>
      <w:r>
        <w:br/>
      </w:r>
      <w:r>
        <w:rPr>
          <w:rStyle w:val="SpecialCharTok"/>
        </w:rPr>
        <w:t xml:space="preserve">+-----------------+</w:t>
      </w:r>
      <w:r>
        <w:br/>
      </w:r>
      <w:r>
        <w:rPr>
          <w:rStyle w:val="ErrorTok"/>
        </w:rPr>
        <w:t xml:space="preserve">|</w:t>
      </w:r>
      <w:r>
        <w:rPr>
          <w:rStyle w:val="NormalTok"/>
        </w:rPr>
        <w:t xml:space="preserve"> Key             </w:t>
      </w:r>
      <w:r>
        <w:rPr>
          <w:rStyle w:val="SpecialCharTok"/>
        </w:rPr>
        <w:t xml:space="preserve">|</w:t>
      </w:r>
      <w:r>
        <w:br/>
      </w:r>
      <w:r>
        <w:rPr>
          <w:rStyle w:val="ErrorTok"/>
        </w:rPr>
        <w:t xml:space="preserve">|</w:t>
      </w:r>
      <w:r>
        <w:rPr>
          <w:rStyle w:val="SpecialCharTok"/>
        </w:rPr>
        <w:t xml:space="preserve">-----------------</w:t>
      </w:r>
      <w:r>
        <w:rPr>
          <w:rStyle w:val="ErrorTok"/>
        </w:rPr>
        <w:t xml:space="preserve">|</w:t>
      </w:r>
      <w:r>
        <w:br/>
      </w:r>
      <w:r>
        <w:rPr>
          <w:rStyle w:val="ErrorTok"/>
        </w:rPr>
        <w:t xml:space="preserve">|</w:t>
      </w:r>
      <w:r>
        <w:rPr>
          <w:rStyle w:val="NormalTok"/>
        </w:rPr>
        <w:t xml:space="preserve">    frequency    </w:t>
      </w:r>
      <w:r>
        <w:rPr>
          <w:rStyle w:val="SpecialCharTok"/>
        </w:rPr>
        <w:t xml:space="preserve">|</w:t>
      </w:r>
      <w:r>
        <w:br/>
      </w:r>
      <w:r>
        <w:rPr>
          <w:rStyle w:val="ErrorTok"/>
        </w:rPr>
        <w:t xml:space="preserve">|</w:t>
      </w:r>
      <w:r>
        <w:rPr>
          <w:rStyle w:val="NormalTok"/>
        </w:rPr>
        <w:t xml:space="preserve"> cell percentage </w:t>
      </w:r>
      <w:r>
        <w:rPr>
          <w:rStyle w:val="SpecialCharTok"/>
        </w:rPr>
        <w:t xml:space="preserve">|</w:t>
      </w:r>
      <w:r>
        <w:br/>
      </w:r>
      <w:r>
        <w:rPr>
          <w:rStyle w:val="SpecialCharTok"/>
        </w:rPr>
        <w:t xml:space="preserve">+-----------------+</w:t>
      </w:r>
      <w:r>
        <w:br/>
      </w:r>
      <w:r>
        <w:br/>
      </w:r>
      <w:r>
        <w:rPr>
          <w:rStyle w:val="NormalTok"/>
        </w:rPr>
        <w:t xml:space="preserve">  Response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Response to Drug B</w:t>
      </w:r>
      <w:r>
        <w:br/>
      </w:r>
      <w:r>
        <w:rPr>
          <w:rStyle w:val="NormalTok"/>
        </w:rPr>
        <w:t xml:space="preserve"> to Drug 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No        Yes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Total</w:t>
      </w:r>
      <w:r>
        <w:br/>
      </w:r>
      <w:r>
        <w:rPr>
          <w:rStyle w:val="SpecialCharTok"/>
        </w:rPr>
        <w:t xml:space="preserve">-----------+----------------------+----------</w:t>
      </w:r>
      <w:r>
        <w:br/>
      </w:r>
      <w:r>
        <w:rPr>
          <w:rStyle w:val="NormalTok"/>
        </w:rPr>
        <w:t xml:space="preserve">        No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23.33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</w:t>
      </w:r>
      <w:r>
        <w:rPr>
          <w:rStyle w:val="FloatTok"/>
        </w:rPr>
        <w:t xml:space="preserve">31.67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 xml:space="preserve">-----------+----------------------+----------</w:t>
      </w:r>
      <w:r>
        <w:br/>
      </w:r>
      <w:r>
        <w:rPr>
          <w:rStyle w:val="NormalTok"/>
        </w:rPr>
        <w:t xml:space="preserve">       Yes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</w:t>
      </w:r>
      <w:r>
        <w:rPr>
          <w:rStyle w:val="FloatTok"/>
        </w:rPr>
        <w:t xml:space="preserve">33.33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35.00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</w:t>
      </w:r>
      <w:r>
        <w:rPr>
          <w:rStyle w:val="FloatTok"/>
        </w:rPr>
        <w:t xml:space="preserve">68.33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 xml:space="preserve">-----------+----------------------+----------</w:t>
      </w:r>
      <w:r>
        <w:br/>
      </w:r>
      <w:r>
        <w:rPr>
          <w:rStyle w:val="NormalTok"/>
        </w:rPr>
        <w:t xml:space="preserve">     Total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</w:t>
      </w:r>
      <w:r>
        <w:rPr>
          <w:rStyle w:val="FloatTok"/>
        </w:rPr>
        <w:t xml:space="preserve">41.67</w:t>
      </w:r>
      <w:r>
        <w:rPr>
          <w:rStyle w:val="NormalTok"/>
        </w:rPr>
        <w:t xml:space="preserve">      </w:t>
      </w:r>
      <w:r>
        <w:rPr>
          <w:rStyle w:val="FloatTok"/>
        </w:rPr>
        <w:t xml:space="preserve">58.33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</w:t>
      </w:r>
      <w:r>
        <w:rPr>
          <w:rStyle w:val="FloatTok"/>
        </w:rPr>
        <w:t xml:space="preserve">100.00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difference in the paired proportions is calculated using the simple</w:t>
      </w:r>
      <w:r>
        <w:t xml:space="preserve"> </w:t>
      </w:r>
      <w:r>
        <w:t xml:space="preserve">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</m:e>
              </m:d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20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</m:e>
            </m:d>
          </m:num>
          <m:den>
            <m:r>
              <m:t>60</m:t>
            </m:r>
          </m:den>
        </m:f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The cell counts show that 20 patients responded to Drug A but not to</w:t>
      </w:r>
      <w:r>
        <w:t xml:space="preserve"> </w:t>
      </w:r>
      <w:r>
        <w:t xml:space="preserve">drug B, and 14 patients responded to Drug B but not to drug A. McNemar’s</w:t>
      </w:r>
      <w:r>
        <w:t xml:space="preserve"> </w:t>
      </w:r>
      <w:r>
        <w:t xml:space="preserve">statistic is computed from these two discordant pairs (labelled as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) as follows: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with 1 degree of freedom.</w:t>
      </w:r>
    </w:p>
    <w:p>
      <w:pPr>
        <w:pStyle w:val="BodyText"/>
      </w:pPr>
      <w:r>
        <w:t xml:space="preserve">In computing this statistic, the counts in the concordant cells (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) are not used and only the information from the discordant cells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is of interest.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mcc</w:t>
      </w:r>
      <w:r>
        <w:t xml:space="preserve"> </w:t>
      </w:r>
      <w:r>
        <w:t xml:space="preserve">command in Stata is used to perform the McNemar’s test. Its</w:t>
      </w:r>
      <w:r>
        <w:t xml:space="preserve"> </w:t>
      </w:r>
      <w:r>
        <w:t xml:space="preserve">output is shown in Stata Output 7.4. The number of patients who have a</w:t>
      </w:r>
      <w:r>
        <w:t xml:space="preserve"> </w:t>
      </w:r>
      <w:r>
        <w:t xml:space="preserve">response to each drug is labelled as Exposed in the output.</w:t>
      </w:r>
    </w:p>
    <w:bookmarkEnd w:id="40"/>
    <w:bookmarkStart w:id="41" w:name="stata-output-7.4-mcnemars-test"/>
    <w:p>
      <w:pPr>
        <w:pStyle w:val="Heading4"/>
      </w:pPr>
      <w:r>
        <w:t xml:space="preserve">Stata Output 7.4: McNemar’s test</w:t>
      </w:r>
    </w:p>
    <w:p>
      <w:pPr>
        <w:pStyle w:val="SourceCode"/>
      </w:pPr>
      <w:r>
        <w:rPr>
          <w:rStyle w:val="NormalTok"/>
        </w:rPr>
        <w:t xml:space="preserve">. mcc druga drugb</w:t>
      </w:r>
      <w:r>
        <w:br/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Controls 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Cases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Exposed   Unexposed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Total</w:t>
      </w:r>
      <w:r>
        <w:br/>
      </w:r>
      <w:r>
        <w:rPr>
          <w:rStyle w:val="SpecialCharTok"/>
        </w:rPr>
        <w:t xml:space="preserve">-----------------+------------------------+-----------</w:t>
      </w:r>
      <w:r>
        <w:br/>
      </w:r>
      <w:r>
        <w:rPr>
          <w:rStyle w:val="NormalTok"/>
        </w:rPr>
        <w:t xml:space="preserve">         Exposed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41</w:t>
      </w:r>
      <w:r>
        <w:br/>
      </w:r>
      <w:r>
        <w:rPr>
          <w:rStyle w:val="NormalTok"/>
        </w:rPr>
        <w:t xml:space="preserve">       Unexposed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br/>
      </w:r>
      <w:r>
        <w:rPr>
          <w:rStyle w:val="SpecialCharTok"/>
        </w:rPr>
        <w:t xml:space="preserve">-----------------+------------------------+-----------</w:t>
      </w:r>
      <w:r>
        <w:br/>
      </w:r>
      <w:r>
        <w:rPr>
          <w:rStyle w:val="NormalTok"/>
        </w:rPr>
        <w:t xml:space="preserve">           Total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McNemar</w:t>
      </w:r>
      <w:r>
        <w:rPr>
          <w:rStyle w:val="StringTok"/>
        </w:rPr>
        <w:t xml:space="preserve">'s chi2(1) =      1.06    Prob &gt; chi2 = 0.3035</w:t>
      </w:r>
      <w:r>
        <w:br/>
      </w:r>
      <w:r>
        <w:rPr>
          <w:rStyle w:val="StringTok"/>
        </w:rPr>
        <w:t xml:space="preserve">Exact McNemar significance probability       = 0.3915</w:t>
      </w:r>
      <w:r>
        <w:br/>
      </w:r>
      <w:r>
        <w:br/>
      </w:r>
      <w:r>
        <w:rPr>
          <w:rStyle w:val="StringTok"/>
        </w:rPr>
        <w:t xml:space="preserve">Proportion with factor</w:t>
      </w:r>
      <w:r>
        <w:br/>
      </w:r>
      <w:r>
        <w:rPr>
          <w:rStyle w:val="StringTok"/>
        </w:rPr>
        <w:t xml:space="preserve">        Cases       .6833333</w:t>
      </w:r>
      <w:r>
        <w:br/>
      </w:r>
      <w:r>
        <w:rPr>
          <w:rStyle w:val="StringTok"/>
        </w:rPr>
        <w:t xml:space="preserve">        Controls    .5833333     [95% Conf. Interval]</w:t>
      </w:r>
      <w:r>
        <w:br/>
      </w:r>
      <w:r>
        <w:rPr>
          <w:rStyle w:val="StringTok"/>
        </w:rPr>
        <w:t xml:space="preserve">                   ---------     --------------------</w:t>
      </w:r>
      <w:r>
        <w:br/>
      </w:r>
      <w:r>
        <w:rPr>
          <w:rStyle w:val="StringTok"/>
        </w:rPr>
        <w:t xml:space="preserve">        difference        .1     -.1054528   .3054528</w:t>
      </w:r>
      <w:r>
        <w:br/>
      </w:r>
      <w:r>
        <w:rPr>
          <w:rStyle w:val="StringTok"/>
        </w:rPr>
        <w:t xml:space="preserve">        ratio       1.171429      .8663498   1.583939</w:t>
      </w:r>
      <w:r>
        <w:br/>
      </w:r>
      <w:r>
        <w:rPr>
          <w:rStyle w:val="StringTok"/>
        </w:rPr>
        <w:t xml:space="preserve">        rel. diff.       .24     -.1585239   .6385239</w:t>
      </w:r>
      <w:r>
        <w:br/>
      </w:r>
      <w:r>
        <w:br/>
      </w:r>
      <w:r>
        <w:rPr>
          <w:rStyle w:val="StringTok"/>
        </w:rPr>
        <w:t xml:space="preserve">        odds ratio  1.428571      .6862537   3.057277   (exact)</w:t>
      </w:r>
    </w:p>
    <w:p>
      <w:pPr>
        <w:pStyle w:val="FirstParagraph"/>
      </w:pPr>
      <w:r>
        <w:t xml:space="preserve">Two versions of the McNemar’s test are given in the output. The exact</w:t>
      </w:r>
      <w:r>
        <w:t xml:space="preserve"> </w:t>
      </w:r>
      <w:r>
        <w:t xml:space="preserve">version is generally recommended. The P value for the exact McNemar’s</w:t>
      </w:r>
      <w:r>
        <w:t xml:space="preserve"> </w:t>
      </w:r>
      <w:r>
        <w:t xml:space="preserve">test is 0.39, providing no evidence against the null hyopthesis.</w:t>
      </w:r>
    </w:p>
    <w:p>
      <w:pPr>
        <w:pStyle w:val="BodyText"/>
      </w:pPr>
      <w:r>
        <w:t xml:space="preserve">In this study of 60 participants, where each participant received both</w:t>
      </w:r>
      <w:r>
        <w:t xml:space="preserve"> </w:t>
      </w:r>
      <w:r>
        <w:t xml:space="preserve">drugs, 41 (68%) responded to Drug A and 35 (58%) responded to Drug B.</w:t>
      </w:r>
      <w:r>
        <w:t xml:space="preserve"> </w:t>
      </w:r>
      <w:r>
        <w:t xml:space="preserve">The difference in the proportions responding is estimated as 10.0% (95%</w:t>
      </w:r>
      <w:r>
        <w:t xml:space="preserve"> </w:t>
      </w:r>
      <w:r>
        <w:t xml:space="preserve">CI -10.5% to 30.5%). There is no evidence that the response differed</w:t>
      </w:r>
      <w:r>
        <w:t xml:space="preserve"> </w:t>
      </w:r>
      <w:r>
        <w:t xml:space="preserve">between the two drugs (exact McNemar’s P=0.39).</w:t>
      </w:r>
    </w:p>
    <w:bookmarkEnd w:id="41"/>
    <w:bookmarkEnd w:id="42"/>
    <w:bookmarkEnd w:id="43"/>
    <w:bookmarkStart w:id="44" w:name="summary"/>
    <w:p>
      <w:pPr>
        <w:pStyle w:val="Heading2"/>
      </w:pPr>
      <w:r>
        <w:t xml:space="preserve">2.5 Summary</w:t>
      </w:r>
    </w:p>
    <w:p>
      <w:pPr>
        <w:pStyle w:val="FirstParagraph"/>
      </w:pPr>
      <w:r>
        <w:t xml:space="preserve">In Module 6, we estimated proportions and measures of association for</w:t>
      </w:r>
      <w:r>
        <w:t xml:space="preserve"> </w:t>
      </w:r>
      <w:r>
        <w:t xml:space="preserve">categorical data and conducted a one-sample test of proportions. In this</w:t>
      </w:r>
      <w:r>
        <w:t xml:space="preserve"> </w:t>
      </w:r>
      <w:r>
        <w:t xml:space="preserve">module, we conduct significance tests for two or more independent</w:t>
      </w:r>
      <w:r>
        <w:t xml:space="preserve"> </w:t>
      </w:r>
      <w:r>
        <w:t xml:space="preserve">proportions using the chi-squared test. The chi-squared test can also be</w:t>
      </w:r>
      <w:r>
        <w:t xml:space="preserve"> </w:t>
      </w:r>
      <w:r>
        <w:t xml:space="preserve">used to conduct a significance test when there are more than two</w:t>
      </w:r>
      <w:r>
        <w:t xml:space="preserve"> </w:t>
      </w:r>
      <w:r>
        <w:t xml:space="preserve">categories in both variables. The McNemar’s test is used when we have</w:t>
      </w:r>
      <w:r>
        <w:t xml:space="preserve"> </w:t>
      </w:r>
      <w:r>
        <w:t xml:space="preserve">paired data.</w:t>
      </w:r>
    </w:p>
    <w:bookmarkEnd w:id="44"/>
    <w:bookmarkEnd w:id="45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46" w:name="ref-acock10"/>
    <w:p>
      <w:pPr>
        <w:pStyle w:val="Bibliography"/>
      </w:pPr>
      <w:r>
        <w:t xml:space="preserve">Acock, Alan C. 2010.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Gentle Introduction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Stata</w:t>
      </w:r>
      <w:r>
        <w:t xml:space="preserve">. 3rd ed.</w:t>
      </w:r>
      <w:r>
        <w:t xml:space="preserve"> </w:t>
      </w:r>
      <w:r>
        <w:t xml:space="preserve">College Station, Tex</w:t>
      </w:r>
      <w:r>
        <w:t xml:space="preserve">:</w:t>
      </w:r>
      <w:r>
        <w:t xml:space="preserve"> </w:t>
      </w:r>
      <w:r>
        <w:t xml:space="preserve">Stata Press</w:t>
      </w:r>
      <w:r>
        <w:t xml:space="preserve">.</w:t>
      </w:r>
    </w:p>
    <w:bookmarkEnd w:id="46"/>
    <w:bookmarkStart w:id="47" w:name="ref-bland15"/>
    <w:p>
      <w:pPr>
        <w:pStyle w:val="Bibliography"/>
      </w:pPr>
      <w:r>
        <w:t xml:space="preserve">Bland, Martin. 2015.</w:t>
      </w:r>
      <w:r>
        <w:t xml:space="preserve"> </w:t>
      </w:r>
      <w:r>
        <w:rPr>
          <w:iCs/>
          <w:i/>
        </w:rPr>
        <w:t xml:space="preserve">An</w:t>
      </w:r>
      <w:r>
        <w:rPr>
          <w:iCs/>
          <w:i/>
        </w:rPr>
        <w:t xml:space="preserve"> </w:t>
      </w:r>
      <w:r>
        <w:rPr>
          <w:iCs/>
          <w:i/>
        </w:rPr>
        <w:t xml:space="preserve">Introduction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Medical Statistics</w:t>
      </w:r>
      <w:r>
        <w:t xml:space="preserve">. 4th ed.</w:t>
      </w:r>
      <w:r>
        <w:t xml:space="preserve"> </w:t>
      </w:r>
      <w:r>
        <w:t xml:space="preserve">Oxford, New York</w:t>
      </w:r>
      <w:r>
        <w:t xml:space="preserve">:</w:t>
      </w:r>
      <w:r>
        <w:t xml:space="preserve"> </w:t>
      </w:r>
      <w:r>
        <w:t xml:space="preserve">Oxford University Press</w:t>
      </w:r>
      <w:r>
        <w:t xml:space="preserve">.</w:t>
      </w:r>
    </w:p>
    <w:bookmarkEnd w:id="47"/>
    <w:bookmarkStart w:id="48" w:name="ref-kirkwood_sterne01"/>
    <w:p>
      <w:pPr>
        <w:pStyle w:val="Bibliography"/>
      </w:pPr>
      <w:r>
        <w:t xml:space="preserve">Kirkwood, Betty, and Jonathan Sterne. 2001.</w:t>
      </w:r>
      <w:r>
        <w:t xml:space="preserve"> </w:t>
      </w:r>
      <w:r>
        <w:rPr>
          <w:iCs/>
          <w:i/>
        </w:rPr>
        <w:t xml:space="preserve">Essentials of</w:t>
      </w:r>
      <w:r>
        <w:rPr>
          <w:iCs/>
          <w:i/>
        </w:rPr>
        <w:t xml:space="preserve"> </w:t>
      </w:r>
      <w:r>
        <w:rPr>
          <w:iCs/>
          <w:i/>
        </w:rPr>
        <w:t xml:space="preserve">Medical Statistics</w:t>
      </w:r>
      <w:r>
        <w:t xml:space="preserve">. 2nd ed.</w:t>
      </w:r>
      <w:r>
        <w:t xml:space="preserve"> </w:t>
      </w:r>
      <w:r>
        <w:t xml:space="preserve">Malden, Mass</w:t>
      </w:r>
      <w:r>
        <w:t xml:space="preserve">:</w:t>
      </w:r>
      <w:r>
        <w:t xml:space="preserve"> </w:t>
      </w:r>
      <w:r>
        <w:t xml:space="preserve">Wiley-Blackwell</w:t>
      </w:r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er1.library.unsw.edu.au/er/cgi-bin/eraccess.cgi?url=https://ebookcentral.proquest.com/lib/unsw/detail.action?docID=5891730" TargetMode="External" /><Relationship Type="http://schemas.openxmlformats.org/officeDocument/2006/relationships/hyperlink" Id="rId25" Target="http://er1.library.unsw.edu.au/er/cgi-bin/eraccess.cgi?url=https://ebookcentral.proquest.com/lib/unsw/detail.action?docID=624728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er1.library.unsw.edu.au/er/cgi-bin/eraccess.cgi?url=https://ebookcentral.proquest.com/lib/unsw/detail.action?docID=5891730" TargetMode="External" /><Relationship Type="http://schemas.openxmlformats.org/officeDocument/2006/relationships/hyperlink" Id="rId25" Target="http://er1.library.unsw.edu.au/er/cgi-bin/eraccess.cgi?url=https://ebookcentral.proquest.com/lib/unsw/detail.action?docID=624728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PHCM9795: Foundations of Biostatistics</dc:title>
  <dc:creator>Timothy Dobbins</dc:creator>
  <cp:keywords/>
  <dcterms:created xsi:type="dcterms:W3CDTF">2023-01-20T02:44:09Z</dcterms:created>
  <dcterms:modified xsi:type="dcterms:W3CDTF">2023-01-20T02:44:09Z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Term 2, 2023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