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jc w:val="center"/>
      </w:pPr>
      <w:r>
        <w:rPr>
          <w:rFonts w:ascii="Arial" w:cs="Arial" w:eastAsia="Arial" w:hAnsi="Arial"/>
          <w:b/>
          <w:bCs/>
          <w:color w:val="1E3A5F"/>
          <w:sz w:val="56"/>
          <w:szCs w:val="56"/>
        </w:rPr>
        <w:t xml:space="preserve">ADVANCED EPIDEMIOLOGY</w:t>
      </w:r>
    </w:p>
    <w:p>
      <w:pPr>
        <w:spacing w:after="200"/>
        <w:jc w:val="center"/>
      </w:pPr>
      <w:r>
        <w:rPr>
          <w:rFonts w:ascii="Arial" w:cs="Arial" w:eastAsia="Arial" w:hAnsi="Arial"/>
          <w:color w:val="0891B2"/>
          <w:sz w:val="40"/>
          <w:szCs w:val="40"/>
        </w:rPr>
        <w:t xml:space="preserve">FOR THE RURAL HEALTHCARE PROVIDER</w:t>
      </w:r>
    </w:p>
    <w:p>
      <w:pPr>
        <w:spacing w:before="600"/>
        <w:jc w:val="center"/>
      </w:pPr>
      <w:r>
        <w:rPr>
          <w:rFonts w:ascii="Arial" w:cs="Arial" w:eastAsia="Arial" w:hAnsi="Arial"/>
          <w:i/>
          <w:iCs/>
          <w:color w:val="6B7280"/>
          <w:sz w:val="26"/>
          <w:szCs w:val="26"/>
        </w:rPr>
        <w:t xml:space="preserve">Volume II: Confounding, Meta-Analysis, Causal Inference,</w:t>
      </w:r>
    </w:p>
    <w:p>
      <w:pPr>
        <w:jc w:val="center"/>
      </w:pPr>
      <w:r>
        <w:rPr>
          <w:rFonts w:ascii="Arial" w:cs="Arial" w:eastAsia="Arial" w:hAnsi="Arial"/>
          <w:i/>
          <w:iCs/>
          <w:color w:val="6B7280"/>
          <w:sz w:val="26"/>
          <w:szCs w:val="26"/>
        </w:rPr>
        <w:t xml:space="preserve">and Advanced Modeling Methods</w:t>
      </w:r>
    </w:p>
    <w:p>
      <w:pPr>
        <w:spacing w:before="1200"/>
        <w:jc w:val="center"/>
      </w:pPr>
      <w:r>
        <w:rPr>
          <w:rFonts w:ascii="Arial" w:cs="Arial" w:eastAsia="Arial" w:hAnsi="Arial"/>
          <w:color w:val="6B7280"/>
          <w:sz w:val="22"/>
          <w:szCs w:val="22"/>
        </w:rPr>
        <w:t xml:space="preserve">2026 Edition — Companion to the Rust/WASM Computation Engine</w:t>
      </w:r>
    </w:p>
    <w:p>
      <w:r>
        <w:br w:type="page"/>
      </w:r>
    </w:p>
    <w:p>
      <w:pPr>
        <w:pStyle w:val="Heading1"/>
        <w:spacing w:after="200" w:before="400"/>
      </w:pPr>
      <w:r>
        <w:t xml:space="preserve">Table of Contents</w:t>
      </w:r>
    </w:p>
    <w:p>
      <w:pPr>
        <w:spacing w:after="200"/>
      </w:pPr>
      <w:r>
        <w:rPr>
          <w:rFonts w:ascii="Arial" w:cs="Arial" w:eastAsia="Arial" w:hAnsi="Arial"/>
          <w:sz w:val="24"/>
          <w:szCs w:val="24"/>
        </w:rPr>
        <w:t xml:space="preserve">Chapter 11: Confounding &amp; Stratified Analysis (Mantel-Haenszel)</w:t>
      </w:r>
    </w:p>
    <w:p>
      <w:pPr>
        <w:spacing w:after="200"/>
      </w:pPr>
      <w:r>
        <w:rPr>
          <w:rFonts w:ascii="Arial" w:cs="Arial" w:eastAsia="Arial" w:hAnsi="Arial"/>
          <w:sz w:val="24"/>
          <w:szCs w:val="24"/>
        </w:rPr>
        <w:t xml:space="preserve">Chapter 12: Effect Modification &amp; Interaction</w:t>
      </w:r>
    </w:p>
    <w:p>
      <w:pPr>
        <w:spacing w:after="200"/>
      </w:pPr>
      <w:r>
        <w:rPr>
          <w:rFonts w:ascii="Arial" w:cs="Arial" w:eastAsia="Arial" w:hAnsi="Arial"/>
          <w:sz w:val="24"/>
          <w:szCs w:val="24"/>
        </w:rPr>
        <w:t xml:space="preserve">Chapter 13: Meta-Analysis &amp; Forest Plots</w:t>
      </w:r>
    </w:p>
    <w:p>
      <w:pPr>
        <w:spacing w:after="200"/>
      </w:pPr>
      <w:r>
        <w:rPr>
          <w:rFonts w:ascii="Arial" w:cs="Arial" w:eastAsia="Arial" w:hAnsi="Arial"/>
          <w:sz w:val="24"/>
          <w:szCs w:val="24"/>
        </w:rPr>
        <w:t xml:space="preserve">Chapter 14: Age Standardization (Direct &amp; Indirect)</w:t>
      </w:r>
    </w:p>
    <w:p>
      <w:pPr>
        <w:spacing w:after="200"/>
      </w:pPr>
      <w:r>
        <w:rPr>
          <w:rFonts w:ascii="Arial" w:cs="Arial" w:eastAsia="Arial" w:hAnsi="Arial"/>
          <w:sz w:val="24"/>
          <w:szCs w:val="24"/>
        </w:rPr>
        <w:t xml:space="preserve">Chapter 15: ROC Curve Analysis</w:t>
      </w:r>
    </w:p>
    <w:p>
      <w:pPr>
        <w:spacing w:after="200"/>
      </w:pPr>
      <w:r>
        <w:rPr>
          <w:rFonts w:ascii="Arial" w:cs="Arial" w:eastAsia="Arial" w:hAnsi="Arial"/>
          <w:sz w:val="24"/>
          <w:szCs w:val="24"/>
        </w:rPr>
        <w:t xml:space="preserve">Chapter 16: Bayesian Diagnostic Reasoning</w:t>
      </w:r>
    </w:p>
    <w:p>
      <w:pPr>
        <w:spacing w:after="200"/>
      </w:pPr>
      <w:r>
        <w:rPr>
          <w:rFonts w:ascii="Arial" w:cs="Arial" w:eastAsia="Arial" w:hAnsi="Arial"/>
          <w:sz w:val="24"/>
          <w:szCs w:val="24"/>
        </w:rPr>
        <w:t xml:space="preserve">Chapter 17: Dose-Response Modeling</w:t>
      </w:r>
    </w:p>
    <w:p>
      <w:pPr>
        <w:spacing w:after="200"/>
      </w:pPr>
      <w:r>
        <w:rPr>
          <w:rFonts w:ascii="Arial" w:cs="Arial" w:eastAsia="Arial" w:hAnsi="Arial"/>
          <w:sz w:val="24"/>
          <w:szCs w:val="24"/>
        </w:rPr>
        <w:t xml:space="preserve">Chapter 18: Interrupted Time Series Analysis</w:t>
      </w:r>
    </w:p>
    <w:p>
      <w:pPr>
        <w:spacing w:after="200"/>
      </w:pPr>
      <w:r>
        <w:rPr>
          <w:rFonts w:ascii="Arial" w:cs="Arial" w:eastAsia="Arial" w:hAnsi="Arial"/>
          <w:sz w:val="24"/>
          <w:szCs w:val="24"/>
        </w:rPr>
        <w:t xml:space="preserve">Chapter 19: Monte Carlo Epidemic Simulation</w:t>
      </w:r>
    </w:p>
    <w:p>
      <w:pPr>
        <w:spacing w:after="200"/>
      </w:pPr>
      <w:r>
        <w:rPr>
          <w:rFonts w:ascii="Arial" w:cs="Arial" w:eastAsia="Arial" w:hAnsi="Arial"/>
          <w:sz w:val="24"/>
          <w:szCs w:val="24"/>
        </w:rPr>
        <w:t xml:space="preserve">Chapter 20: Directed Acyclic Graphs &amp; Causal Inference</w:t>
      </w:r>
    </w:p>
    <w:p>
      <w:pPr>
        <w:spacing w:after="200"/>
      </w:pPr>
      <w:r>
        <w:rPr>
          <w:rFonts w:ascii="Arial" w:cs="Arial" w:eastAsia="Arial" w:hAnsi="Arial"/>
          <w:sz w:val="24"/>
          <w:szCs w:val="24"/>
        </w:rPr>
        <w:t xml:space="preserve">Chapter Appendix B: Advanced Rust/WASM Engine Extensions</w:t>
      </w:r>
    </w:p>
    <w:p>
      <w:pPr>
        <w:spacing w:after="200"/>
      </w:pPr>
      <w:r>
        <w:rPr>
          <w:rFonts w:ascii="Arial" w:cs="Arial" w:eastAsia="Arial" w:hAnsi="Arial"/>
          <w:sz w:val="24"/>
          <w:szCs w:val="24"/>
        </w:rPr>
        <w:t xml:space="preserve">Chapter References</w:t>
      </w:r>
    </w:p>
    <w:p>
      <w:r>
        <w:br w:type="page"/>
      </w:r>
    </w:p>
    <w:p>
      <w:pPr>
        <w:pStyle w:val="Heading1"/>
        <w:spacing w:after="200" w:before="400"/>
      </w:pPr>
      <w:r>
        <w:t xml:space="preserve">Chapter 11: Confounding &amp; Stratified Analysis</w:t>
      </w:r>
    </w:p>
    <w:p>
      <w:pPr>
        <w:spacing w:after="200"/>
      </w:pPr>
      <w:r>
        <w:rPr>
          <w:rFonts w:ascii="Arial" w:cs="Arial" w:eastAsia="Arial" w:hAnsi="Arial"/>
          <w:sz w:val="24"/>
          <w:szCs w:val="24"/>
        </w:rPr>
        <w:t xml:space="preserve">Confounding is the distortion of an exposure-disease association by a third variable that is associated with both the exposure and the outcome but does not lie on the causal pathway between them. It is arguably the single most important threat to the validity of observational epidemiological studies. Without identifying and controlling for confounders, we risk attributing to an exposure an effect that truly belongs to something else entirely.</w:t>
      </w:r>
    </w:p>
    <w:p>
      <w:pPr>
        <w:pStyle w:val="Heading2"/>
        <w:spacing w:after="200" w:before="240"/>
      </w:pPr>
      <w:r>
        <w:t xml:space="preserve">11.1 Recognizing Confounding</w:t>
      </w:r>
    </w:p>
    <w:p>
      <w:pPr>
        <w:spacing w:after="200"/>
      </w:pPr>
      <w:r>
        <w:rPr>
          <w:rFonts w:ascii="Arial" w:cs="Arial" w:eastAsia="Arial" w:hAnsi="Arial"/>
          <w:sz w:val="24"/>
          <w:szCs w:val="24"/>
        </w:rPr>
        <w:t xml:space="preserve">A variable C is a confounder if it meets three criteria simultaneously: C is associated with the exposure in the study population; C is an independent risk factor for the disease; and C is not on the causal pathway between exposure and disease. The standard diagnostic criterion is the 10% change-in-estimate rule: if adjusting for a variable changes the crude measure of association by more than 10%, that variable is a confounder requiring adjustment.</w:t>
      </w:r>
    </w:p>
    <w:p>
      <w:pPr>
        <w:pBdr>
          <w:left w:val="single" w:color="1E3A5F" w:sz="12"/>
        </w:pBdr>
        <w:shd w:fill="DBEAFE" w:val="clear"/>
        <w:spacing w:after="240" w:before="240"/>
        <w:ind w:left="360"/>
      </w:pPr>
      <w:r>
        <w:rPr>
          <w:rFonts w:ascii="Arial" w:cs="Arial" w:eastAsia="Arial" w:hAnsi="Arial"/>
          <w:b/>
          <w:bCs/>
          <w:color w:val="1E3A5F"/>
          <w:sz w:val="24"/>
          <w:szCs w:val="24"/>
        </w:rPr>
        <w:t xml:space="preserve">Key Concept: </w:t>
      </w:r>
      <w:r>
        <w:rPr>
          <w:rFonts w:ascii="Arial" w:cs="Arial" w:eastAsia="Arial" w:hAnsi="Arial"/>
          <w:sz w:val="24"/>
          <w:szCs w:val="24"/>
        </w:rPr>
        <w:t xml:space="preserve">The 10% change-in-estimate rule: compute the crude OR, then compute the Mantel-Haenszel adjusted OR. If |crude OR − adjusted OR| / adjusted OR &gt; 10%, confounding is present. This rule is pragmatic and widely used, though some methodologists prefer formal testing.</w:t>
      </w:r>
    </w:p>
    <w:p>
      <w:pPr>
        <w:pStyle w:val="Heading2"/>
        <w:spacing w:after="200" w:before="240"/>
      </w:pPr>
      <w:r>
        <w:t xml:space="preserve">11.2 The Mantel-Haenszel Method</w:t>
      </w:r>
    </w:p>
    <w:p>
      <w:pPr>
        <w:spacing w:after="200"/>
      </w:pPr>
      <w:r>
        <w:rPr>
          <w:rFonts w:ascii="Arial" w:cs="Arial" w:eastAsia="Arial" w:hAnsi="Arial"/>
          <w:sz w:val="24"/>
          <w:szCs w:val="24"/>
        </w:rPr>
        <w:t xml:space="preserve">The Mantel-Haenszel (MH) method computes a weighted average of stratum-specific measures of association, effectively removing the confounding effect of the stratification variable. It is the most widely used method for controlling a single confounder without regression.</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OR_MH = Σ(a_i × d_i / n_i) / Σ(b_i × c_i / n_i)</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RR_MH = Σ[a_i(c_i+d_i)/n_i] / Σ[c_i(a_i+b_i)/n_i]</w:t>
      </w:r>
    </w:p>
    <w:p>
      <w:pPr>
        <w:spacing w:after="200"/>
      </w:pPr>
      <w:r>
        <w:rPr>
          <w:rFonts w:ascii="Arial" w:cs="Arial" w:eastAsia="Arial" w:hAnsi="Arial"/>
          <w:sz w:val="24"/>
          <w:szCs w:val="24"/>
        </w:rPr>
        <w:t xml:space="preserve">The MH chi-square tests the null hypothesis that the common OR equals 1. The Breslow-Day test evaluates homogeneity of stratum-specific ORs. If Breslow-Day is significant, the ORs are heterogeneous, suggesting effect modification rather than simple confounding.</w:t>
      </w:r>
    </w:p>
    <w:p>
      <w:pPr>
        <w:pStyle w:val="Heading2"/>
        <w:spacing w:after="200" w:before="240"/>
      </w:pPr>
      <w:r>
        <w:t xml:space="preserve">11.3 Confidence Intervals</w:t>
      </w:r>
    </w:p>
    <w:p>
      <w:pPr>
        <w:spacing w:after="200"/>
      </w:pPr>
      <w:r>
        <w:rPr>
          <w:rFonts w:ascii="Arial" w:cs="Arial" w:eastAsia="Arial" w:hAnsi="Arial"/>
          <w:sz w:val="24"/>
          <w:szCs w:val="24"/>
        </w:rPr>
        <w:t xml:space="preserve">The Robins-Breslow-Greenland variance formula provides the standard error of ln(OR_MH), enabling construction of 95% CIs. The Greenland-Robins formula does the same for ln(RR_MH). Both are implemented in the Rust/WASM engine.</w:t>
      </w:r>
    </w:p>
    <w:p>
      <w:pPr>
        <w:pBdr>
          <w:left w:val="single" w:color="059669" w:sz="12"/>
        </w:pBdr>
        <w:shd w:fill="D1FAE5" w:val="clear"/>
        <w:spacing w:after="240" w:before="240"/>
        <w:ind w:left="360"/>
      </w:pPr>
      <w:r>
        <w:rPr>
          <w:rFonts w:ascii="Arial" w:cs="Arial" w:eastAsia="Arial" w:hAnsi="Arial"/>
          <w:b/>
          <w:bCs/>
          <w:color w:val="059669"/>
          <w:sz w:val="24"/>
          <w:szCs w:val="24"/>
        </w:rPr>
        <w:t xml:space="preserve">Rural Context: </w:t>
      </w:r>
      <w:r>
        <w:rPr>
          <w:rFonts w:ascii="Arial" w:cs="Arial" w:eastAsia="Arial" w:hAnsi="Arial"/>
          <w:sz w:val="24"/>
          <w:szCs w:val="24"/>
        </w:rPr>
        <w:t xml:space="preserve">In rural epidemiology, common confounders include age distribution, socioeconomic status, geographic access to care, and occupational exposures. The MH method is ideal for rural settings because it works well with small stratum sizes and does not require the large samples needed for multivariate regression.</w:t>
      </w:r>
    </w:p>
    <w:p>
      <w:r>
        <w:br w:type="page"/>
      </w:r>
    </w:p>
    <w:p>
      <w:pPr>
        <w:pStyle w:val="Heading1"/>
        <w:spacing w:after="200" w:before="400"/>
      </w:pPr>
      <w:r>
        <w:t xml:space="preserve">Chapter 12: Effect Modification &amp; Interaction</w:t>
      </w:r>
    </w:p>
    <w:p>
      <w:pPr>
        <w:spacing w:after="200"/>
      </w:pPr>
      <w:r>
        <w:rPr>
          <w:rFonts w:ascii="Arial" w:cs="Arial" w:eastAsia="Arial" w:hAnsi="Arial"/>
          <w:sz w:val="24"/>
          <w:szCs w:val="24"/>
        </w:rPr>
        <w:t xml:space="preserve">Effect modification occurs when the magnitude of an exposure’s effect varies across subgroups defined by a third variable. Unlike confounding, effect modification is a genuine biological or social phenomenon to be described, not eliminated.</w:t>
      </w:r>
    </w:p>
    <w:p>
      <w:pPr>
        <w:pStyle w:val="Heading2"/>
        <w:spacing w:after="200" w:before="240"/>
      </w:pPr>
      <w:r>
        <w:t xml:space="preserve">12.1 Distinguishing Confounding from Effect Modification</w:t>
      </w:r>
    </w:p>
    <w:p>
      <w:pPr>
        <w:spacing w:after="200"/>
      </w:pPr>
      <w:r>
        <w:rPr>
          <w:rFonts w:ascii="Arial" w:cs="Arial" w:eastAsia="Arial" w:hAnsi="Arial"/>
          <w:sz w:val="24"/>
          <w:szCs w:val="24"/>
        </w:rPr>
        <w:t xml:space="preserve">Confounding produces a distorted overall estimate correctable by adjustment; the adjusted estimate is the “true” effect. Effect modification produces genuinely different effects in different subgroups; a single pooled estimate is misleading. The Breslow-Day test for homogeneity of ORs is the primary diagnostic tool. If significant, report stratum-specific estimates rather than a pooled MH estimate.</w:t>
      </w:r>
    </w:p>
    <w:p>
      <w:pPr>
        <w:pStyle w:val="Heading2"/>
        <w:spacing w:after="200" w:before="240"/>
      </w:pPr>
      <w:r>
        <w:t xml:space="preserve">12.2 Additive vs. Multiplicative Interaction</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RERI = RR_11 − RR_10 − RR_01 + 1  (additive interaction)</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Multiplicative interaction = RR_11 / (RR_10 × RR_01)</w:t>
      </w:r>
    </w:p>
    <w:p>
      <w:pPr>
        <w:spacing w:after="200"/>
      </w:pPr>
      <w:r>
        <w:rPr>
          <w:rFonts w:ascii="Arial" w:cs="Arial" w:eastAsia="Arial" w:hAnsi="Arial"/>
          <w:sz w:val="24"/>
          <w:szCs w:val="24"/>
        </w:rPr>
        <w:t xml:space="preserve">RERI (Relative Excess Risk due to Interaction) &gt; 0 indicates the joint effect exceeds the sum of individual effects. Public health decisions generally favor the additive scale because it directly measures excess cases attributable to the interaction.</w:t>
      </w:r>
    </w:p>
    <w:p>
      <w:pPr>
        <w:pBdr>
          <w:left w:val="single" w:color="D97706" w:sz="12"/>
        </w:pBdr>
        <w:shd w:fill="FEF3C7" w:val="clear"/>
        <w:spacing w:after="240" w:before="240"/>
        <w:ind w:left="360"/>
      </w:pPr>
      <w:r>
        <w:rPr>
          <w:rFonts w:ascii="Arial" w:cs="Arial" w:eastAsia="Arial" w:hAnsi="Arial"/>
          <w:b/>
          <w:bCs/>
          <w:color w:val="D97706"/>
          <w:sz w:val="24"/>
          <w:szCs w:val="24"/>
        </w:rPr>
        <w:t xml:space="preserve">Clinical Pearl: </w:t>
      </w:r>
      <w:r>
        <w:rPr>
          <w:rFonts w:ascii="Arial" w:cs="Arial" w:eastAsia="Arial" w:hAnsi="Arial"/>
          <w:sz w:val="24"/>
          <w:szCs w:val="24"/>
        </w:rPr>
        <w:t xml:space="preserve">When a treatment trial reports subgroup analyses, always check whether the test for interaction was performed on the multiplicative or additive scale. A drug may show no multiplicative interaction (subgroup ratios are similar) but substantial additive interaction (the absolute benefit differs enormously between subgroups). For resource-limited rural settings, the additive scale determines which patients benefit most.</w:t>
      </w:r>
    </w:p>
    <w:p>
      <w:r>
        <w:br w:type="page"/>
      </w:r>
    </w:p>
    <w:p>
      <w:pPr>
        <w:pStyle w:val="Heading1"/>
        <w:spacing w:after="200" w:before="400"/>
      </w:pPr>
      <w:r>
        <w:t xml:space="preserve">Chapter 13: Meta-Analysis &amp; Forest Plots</w:t>
      </w:r>
    </w:p>
    <w:p>
      <w:pPr>
        <w:spacing w:after="200"/>
      </w:pPr>
      <w:r>
        <w:rPr>
          <w:rFonts w:ascii="Arial" w:cs="Arial" w:eastAsia="Arial" w:hAnsi="Arial"/>
          <w:sz w:val="24"/>
          <w:szCs w:val="24"/>
        </w:rPr>
        <w:t xml:space="preserve">Meta-analysis is the statistical combination of results from multiple studies to produce a single pooled estimate. It is the quantitative backbone of evidence-based medicine and transforms individually inconclusive small studies into actionable evidence.</w:t>
      </w:r>
    </w:p>
    <w:p>
      <w:pPr>
        <w:pStyle w:val="Heading2"/>
        <w:spacing w:after="200" w:before="240"/>
      </w:pPr>
      <w:r>
        <w:t xml:space="preserve">13.1 Fixed-Effect Model</w:t>
      </w:r>
    </w:p>
    <w:p>
      <w:pPr>
        <w:spacing w:after="200"/>
      </w:pPr>
      <w:r>
        <w:rPr>
          <w:rFonts w:ascii="Arial" w:cs="Arial" w:eastAsia="Arial" w:hAnsi="Arial"/>
          <w:sz w:val="24"/>
          <w:szCs w:val="24"/>
        </w:rPr>
        <w:t xml:space="preserve">The fixed-effect (inverse variance) model assumes all studies estimate the same true effect. Studies are weighted by 1/SE² — larger, more precise studies receive more weight. The pooled estimate is the weighted mean of study-specific effects.</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θ_F = Σ(w_i × θ_i) / Σ(w_i),  where w_i = 1/SE_i²</w:t>
      </w:r>
    </w:p>
    <w:p>
      <w:pPr>
        <w:pStyle w:val="Heading2"/>
        <w:spacing w:after="200" w:before="240"/>
      </w:pPr>
      <w:r>
        <w:t xml:space="preserve">13.2 Random-Effects Model (DerSimonian-Laird)</w:t>
      </w:r>
    </w:p>
    <w:p>
      <w:pPr>
        <w:spacing w:after="200"/>
      </w:pPr>
      <w:r>
        <w:rPr>
          <w:rFonts w:ascii="Arial" w:cs="Arial" w:eastAsia="Arial" w:hAnsi="Arial"/>
          <w:sz w:val="24"/>
          <w:szCs w:val="24"/>
        </w:rPr>
        <w:t xml:space="preserve">The random-effects model assumes the true effect varies between studies. It adds a between-study variance component (τ²) estimated by the DerSimonian-Laird method: τ² = max(0, (Q − df) / C). Random-effects weights are w_i* = 1/(SE_i² + τ²), making weights more uniform and giving relatively more influence to smaller studies.</w:t>
      </w:r>
    </w:p>
    <w:p>
      <w:pPr>
        <w:pStyle w:val="Heading2"/>
        <w:spacing w:after="200" w:before="240"/>
      </w:pPr>
      <w:r>
        <w:t xml:space="preserve">13.3 Heterogeneity</w:t>
      </w:r>
    </w:p>
    <w:p>
      <w:pPr>
        <w:spacing w:after="200"/>
      </w:pPr>
      <w:r>
        <w:rPr>
          <w:rFonts w:ascii="Arial" w:cs="Arial" w:eastAsia="Arial" w:hAnsi="Arial"/>
          <w:sz w:val="24"/>
          <w:szCs w:val="24"/>
        </w:rPr>
        <w:t xml:space="preserve">Cochran’s Q tests whether observed variation exceeds chance. I² = max(0, (Q − df)/Q × 100) quantifies the proportion of total variation due to heterogeneity. I² &lt; 25% = low, 25-75% = moderate, &gt; 75% = high. When I² is high, explore sources through subgroup analysis or meta-regression.</w:t>
      </w:r>
    </w:p>
    <w:p>
      <w:pPr>
        <w:pBdr>
          <w:left w:val="single" w:color="059669" w:sz="12"/>
        </w:pBdr>
        <w:shd w:fill="D1FAE5" w:val="clear"/>
        <w:spacing w:after="240" w:before="240"/>
        <w:ind w:left="360"/>
      </w:pPr>
      <w:r>
        <w:rPr>
          <w:rFonts w:ascii="Arial" w:cs="Arial" w:eastAsia="Arial" w:hAnsi="Arial"/>
          <w:b/>
          <w:bCs/>
          <w:color w:val="059669"/>
          <w:sz w:val="24"/>
          <w:szCs w:val="24"/>
        </w:rPr>
        <w:t xml:space="preserve">Rural Context: </w:t>
      </w:r>
      <w:r>
        <w:rPr>
          <w:rFonts w:ascii="Arial" w:cs="Arial" w:eastAsia="Arial" w:hAnsi="Arial"/>
          <w:sz w:val="24"/>
          <w:szCs w:val="24"/>
        </w:rPr>
        <w:t xml:space="preserve">Rural-specific evidence is systematically underrepresented in the literature. When meta-analyses pool studies from diverse settings, the pooled estimate may not reflect the rural context. Always check if rural-specific subgroup analysis was performed. If not, interpret the pooled estimate with caution and consider whether the mechanisms of effect might differ in rural populations.</w:t>
      </w:r>
    </w:p>
    <w:p>
      <w:r>
        <w:br w:type="page"/>
      </w:r>
    </w:p>
    <w:p>
      <w:pPr>
        <w:pStyle w:val="Heading1"/>
        <w:spacing w:after="200" w:before="400"/>
      </w:pPr>
      <w:r>
        <w:t xml:space="preserve">Chapter 14: Age Standardization</w:t>
      </w:r>
    </w:p>
    <w:p>
      <w:pPr>
        <w:spacing w:after="200"/>
      </w:pPr>
      <w:r>
        <w:rPr>
          <w:rFonts w:ascii="Arial" w:cs="Arial" w:eastAsia="Arial" w:hAnsi="Arial"/>
          <w:sz w:val="24"/>
          <w:szCs w:val="24"/>
        </w:rPr>
        <w:t xml:space="preserve">Age standardization is essential for fair comparison of disease rates across populations with different age structures. Direct standardization applies study rates to a standard population; indirect standardization applies standard rates to the study population, producing the Standardized Mortality Ratio (SMR).</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Direct adjusted rate = Σ(Rate_i,study × Pop_i,std) / Σ(Pop_i,std)</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SMR = Observed / Expected,  Expected = Σ(Rate_i,std × Pop_i,study)</w:t>
      </w:r>
    </w:p>
    <w:p>
      <w:pPr>
        <w:spacing w:after="200"/>
      </w:pPr>
      <w:r>
        <w:rPr>
          <w:rFonts w:ascii="Arial" w:cs="Arial" w:eastAsia="Arial" w:hAnsi="Arial"/>
          <w:sz w:val="24"/>
          <w:szCs w:val="24"/>
        </w:rPr>
        <w:t xml:space="preserve">Byar’s approximation provides 95% CIs for the SMR: O(1 − 1/(9O) ∓ 1.96/(3√O))³ / E. An SMR &gt; 1.0 indicates excess mortality; SMR &lt; 1.0 indicates lower-than-expected mortality.</w:t>
      </w:r>
    </w:p>
    <w:p>
      <w:pPr>
        <w:pBdr>
          <w:left w:val="single" w:color="059669" w:sz="12"/>
        </w:pBdr>
        <w:shd w:fill="D1FAE5" w:val="clear"/>
        <w:spacing w:after="240" w:before="240"/>
        <w:ind w:left="360"/>
      </w:pPr>
      <w:r>
        <w:rPr>
          <w:rFonts w:ascii="Arial" w:cs="Arial" w:eastAsia="Arial" w:hAnsi="Arial"/>
          <w:b/>
          <w:bCs/>
          <w:color w:val="059669"/>
          <w:sz w:val="24"/>
          <w:szCs w:val="24"/>
        </w:rPr>
        <w:t xml:space="preserve">Rural Context: </w:t>
      </w:r>
      <w:r>
        <w:rPr>
          <w:rFonts w:ascii="Arial" w:cs="Arial" w:eastAsia="Arial" w:hAnsi="Arial"/>
          <w:sz w:val="24"/>
          <w:szCs w:val="24"/>
        </w:rPr>
        <w:t xml:space="preserve">Rural counties with aging populations (young adults emigrating for employment) often have misleadingly high crude mortality rates that normalize after age adjustment. Conversely, retirement-destination counties may appear unhealthy on crude rates despite excellent age-specific health. The US 2000 Standard Population is the reference for most community health assessments.</w:t>
      </w:r>
    </w:p>
    <w:p>
      <w:r>
        <w:br w:type="page"/>
      </w:r>
    </w:p>
    <w:p>
      <w:pPr>
        <w:pStyle w:val="Heading1"/>
        <w:spacing w:after="200" w:before="400"/>
      </w:pPr>
      <w:r>
        <w:t xml:space="preserve">Chapter 15: ROC Curve Analysis</w:t>
      </w:r>
    </w:p>
    <w:p>
      <w:pPr>
        <w:spacing w:after="200"/>
      </w:pPr>
      <w:r>
        <w:rPr>
          <w:rFonts w:ascii="Arial" w:cs="Arial" w:eastAsia="Arial" w:hAnsi="Arial"/>
          <w:sz w:val="24"/>
          <w:szCs w:val="24"/>
        </w:rPr>
        <w:t xml:space="preserve">The ROC curve plots sensitivity vs. 1−specificity across all possible cutpoints. The AUC summarizes discriminatory ability: 0.5 (no discrimination) to 1.0 (perfect). The Youden index (J = Sensitivity + Specificity − 1) identifies the optimal cutpoint that maximizes the vertical distance from the diagonal.</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AUC = probability that a random diseased individual has a higher test value than a random non-diseased individual</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Hanley-McNeil SE = √[(AUC(1-AUC) + (n+-1)(Q1-AUC²) + (n--1)(Q2-AUC²)) / (n+×n-)]</w:t>
      </w:r>
    </w:p>
    <w:p>
      <w:pPr>
        <w:spacing w:after="200"/>
      </w:pPr>
      <w:r>
        <w:rPr>
          <w:rFonts w:ascii="Arial" w:cs="Arial" w:eastAsia="Arial" w:hAnsi="Arial"/>
          <w:sz w:val="24"/>
          <w:szCs w:val="24"/>
        </w:rPr>
        <w:t xml:space="preserve">AUC guidelines: 0.5-0.6 fail, 0.6-0.7 poor, 0.7-0.8 fair, 0.8-0.9 good, 0.9-1.0 excellent. In practice, the optimal cutpoint depends on clinical context — screening tests should favor sensitivity; confirmatory tests should favor specificity.</w:t>
      </w:r>
    </w:p>
    <w:p>
      <w:r>
        <w:br w:type="page"/>
      </w:r>
    </w:p>
    <w:p>
      <w:pPr>
        <w:pStyle w:val="Heading1"/>
        <w:spacing w:after="200" w:before="400"/>
      </w:pPr>
      <w:r>
        <w:t xml:space="preserve">Chapter 16: Bayesian Diagnostic Reasoning</w:t>
      </w:r>
    </w:p>
    <w:p>
      <w:pPr>
        <w:spacing w:after="200"/>
      </w:pPr>
      <w:r>
        <w:rPr>
          <w:rFonts w:ascii="Arial" w:cs="Arial" w:eastAsia="Arial" w:hAnsi="Arial"/>
          <w:sz w:val="24"/>
          <w:szCs w:val="24"/>
        </w:rPr>
        <w:t xml:space="preserve">Bayesian diagnostic reasoning updates disease probability as new information becomes available. The pre-test probability is converted to post-test probability using the likelihood ratio. This framework is superior to PPV/NPV because it uses the clinician’s prior estimate and allows sequential updating with multiple tests.</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Post-test odds = Pre-test odds × Likelihood Ratio</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Post-test probability = Post-test odds / (1 + Post-test odds)</w:t>
      </w:r>
    </w:p>
    <w:p>
      <w:pPr>
        <w:pBdr>
          <w:left w:val="single" w:color="D97706" w:sz="12"/>
        </w:pBdr>
        <w:shd w:fill="FEF3C7" w:val="clear"/>
        <w:spacing w:after="240" w:before="240"/>
        <w:ind w:left="360"/>
      </w:pPr>
      <w:r>
        <w:rPr>
          <w:rFonts w:ascii="Arial" w:cs="Arial" w:eastAsia="Arial" w:hAnsi="Arial"/>
          <w:b/>
          <w:bCs/>
          <w:color w:val="D97706"/>
          <w:sz w:val="24"/>
          <w:szCs w:val="24"/>
        </w:rPr>
        <w:t xml:space="preserve">Clinical Pearl: </w:t>
      </w:r>
      <w:r>
        <w:rPr>
          <w:rFonts w:ascii="Arial" w:cs="Arial" w:eastAsia="Arial" w:hAnsi="Arial"/>
          <w:sz w:val="24"/>
          <w:szCs w:val="24"/>
        </w:rPr>
        <w:t xml:space="preserve">In the ED, you perform Bayesian reasoning intuitively. A 25-year-old with atypical chest pain (pre-test probability ~5%) with a positive troponin (LR+ ≈ 10) has a post-test probability of only ~35%. You need confirmatory testing. For a 70-year-old diabetic with typical pain (pre-test ~80%), even a negative troponin (LR− ≈ 0.1) only drops probability to ~30%. The Fagan nomogram makes these calculations visual and instant.</w:t>
      </w:r>
    </w:p>
    <w:p>
      <w:r>
        <w:br w:type="page"/>
      </w:r>
    </w:p>
    <w:p>
      <w:pPr>
        <w:pStyle w:val="Heading1"/>
        <w:spacing w:after="200" w:before="400"/>
      </w:pPr>
      <w:r>
        <w:t xml:space="preserve">Chapter 17: Dose-Response Modeling</w:t>
      </w:r>
    </w:p>
    <w:p>
      <w:pPr>
        <w:spacing w:after="200"/>
      </w:pPr>
      <w:r>
        <w:rPr>
          <w:rFonts w:ascii="Arial" w:cs="Arial" w:eastAsia="Arial" w:hAnsi="Arial"/>
          <w:sz w:val="24"/>
          <w:szCs w:val="24"/>
        </w:rPr>
        <w:t xml:space="preserve">The logistic dose-response model — logit(p) = β0 + β1 × dose — is the standard for characterizing graded exposure-response relationships. The model is fit using IRLS (Newton-Raphson). Key outputs include LD50 (dose for 50% response), LD10, and LD90. A significant dose-response gradient is one of Hill’s criteria for causal inference.</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P(response) = 1 / (1 + exp(−(β0 + β1 × dose)))</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LD50 = −β0/β1</w:t>
      </w:r>
    </w:p>
    <w:p>
      <w:pPr>
        <w:pBdr>
          <w:left w:val="single" w:color="059669" w:sz="12"/>
        </w:pBdr>
        <w:shd w:fill="D1FAE5" w:val="clear"/>
        <w:spacing w:after="240" w:before="240"/>
        <w:ind w:left="360"/>
      </w:pPr>
      <w:r>
        <w:rPr>
          <w:rFonts w:ascii="Arial" w:cs="Arial" w:eastAsia="Arial" w:hAnsi="Arial"/>
          <w:b/>
          <w:bCs/>
          <w:color w:val="059669"/>
          <w:sz w:val="24"/>
          <w:szCs w:val="24"/>
        </w:rPr>
        <w:t xml:space="preserve">Rural Context: </w:t>
      </w:r>
      <w:r>
        <w:rPr>
          <w:rFonts w:ascii="Arial" w:cs="Arial" w:eastAsia="Arial" w:hAnsi="Arial"/>
          <w:sz w:val="24"/>
          <w:szCs w:val="24"/>
        </w:rPr>
        <w:t xml:space="preserve">Dose-response analysis is directly relevant to environmental health investigations in rural settings: pesticide exposure and cancer risk, groundwater contamination and birth outcomes, occupational dust exposure and COPD. Demonstrating a dose-response gradient is powerful evidence for causation.</w:t>
      </w:r>
    </w:p>
    <w:p>
      <w:r>
        <w:br w:type="page"/>
      </w:r>
    </w:p>
    <w:p>
      <w:pPr>
        <w:pStyle w:val="Heading1"/>
        <w:spacing w:after="200" w:before="400"/>
      </w:pPr>
      <w:r>
        <w:t xml:space="preserve">Chapter 18: Interrupted Time Series Analysis</w:t>
      </w:r>
    </w:p>
    <w:p>
      <w:pPr>
        <w:spacing w:after="200"/>
      </w:pPr>
      <w:r>
        <w:rPr>
          <w:rFonts w:ascii="Arial" w:cs="Arial" w:eastAsia="Arial" w:hAnsi="Arial"/>
          <w:sz w:val="24"/>
          <w:szCs w:val="24"/>
        </w:rPr>
        <w:t xml:space="preserve">ITS is the strongest quasi-experimental design for evaluating intervention impacts without randomization. The segmented regression model Y = β0 + β1·T + β2·D + β3·P captures baseline level, pre-intervention trend, immediate level change at intervention, and slope change after intervention. The counterfactual is the extrapolation of the pre-intervention trend.</w:t>
      </w:r>
    </w:p>
    <w:p>
      <w:pPr>
        <w:pBdr>
          <w:top w:val="single" w:color="E5E7EB" w:sz="1"/>
          <w:bottom w:val="single" w:color="E5E7EB" w:sz="1"/>
        </w:pBdr>
        <w:shd w:fill="F9FAFB" w:val="clear"/>
        <w:spacing w:after="200" w:before="200"/>
        <w:ind w:left="720" w:right="720"/>
        <w:jc w:val="center"/>
      </w:pPr>
      <w:r>
        <w:rPr>
          <w:rFonts w:ascii="Courier New" w:cs="Courier New" w:eastAsia="Courier New" w:hAnsi="Courier New"/>
          <w:color w:val="0891B2"/>
          <w:sz w:val="22"/>
          <w:szCs w:val="22"/>
        </w:rPr>
        <w:t xml:space="preserve">Y_t = β0 + β1·T + β2·D + β3·P + ε_t</w:t>
      </w:r>
    </w:p>
    <w:p>
      <w:pPr>
        <w:pBdr>
          <w:left w:val="single" w:color="D97706" w:sz="12"/>
        </w:pBdr>
        <w:shd w:fill="FEF3C7" w:val="clear"/>
        <w:spacing w:after="240" w:before="240"/>
        <w:ind w:left="360"/>
      </w:pPr>
      <w:r>
        <w:rPr>
          <w:rFonts w:ascii="Arial" w:cs="Arial" w:eastAsia="Arial" w:hAnsi="Arial"/>
          <w:b/>
          <w:bCs/>
          <w:color w:val="D97706"/>
          <w:sz w:val="24"/>
          <w:szCs w:val="24"/>
        </w:rPr>
        <w:t xml:space="preserve">Clinical Pearl: </w:t>
      </w:r>
      <w:r>
        <w:rPr>
          <w:rFonts w:ascii="Arial" w:cs="Arial" w:eastAsia="Arial" w:hAnsi="Arial"/>
          <w:sz w:val="24"/>
          <w:szCs w:val="24"/>
        </w:rPr>
        <w:t xml:space="preserve">ITS is ideal for evaluating quality improvement: Did the new sepsis protocol change door-to-antibiotic times? Did a handwashing campaign change infection rates? You need 8-12 data points before and after the intervention. Monthly data over 2+ years is typical.</w:t>
      </w:r>
    </w:p>
    <w:p>
      <w:r>
        <w:br w:type="page"/>
      </w:r>
    </w:p>
    <w:p>
      <w:pPr>
        <w:pStyle w:val="Heading1"/>
        <w:spacing w:after="200" w:before="400"/>
      </w:pPr>
      <w:r>
        <w:t xml:space="preserve">Chapter 19: Monte Carlo Epidemic Simulation</w:t>
      </w:r>
    </w:p>
    <w:p>
      <w:pPr>
        <w:spacing w:after="200"/>
      </w:pPr>
      <w:r>
        <w:rPr>
          <w:rFonts w:ascii="Arial" w:cs="Arial" w:eastAsia="Arial" w:hAnsi="Arial"/>
          <w:sz w:val="24"/>
          <w:szCs w:val="24"/>
        </w:rPr>
        <w:t xml:space="preserve">Deterministic epidemic models produce single trajectories. Monte Carlo simulation runs hundreds of simulations with parameters randomly sampled from uncertainty distributions, producing distributions of possible outcomes. This converts parameter uncertainty into outcome uncertainty, enabling statements like “the peak will be between 800 and 1,800 (90% CI)” rather than a single point estimate.</w:t>
      </w:r>
    </w:p>
    <w:p>
      <w:pPr>
        <w:pBdr>
          <w:left w:val="single" w:color="1E3A5F" w:sz="12"/>
        </w:pBdr>
        <w:shd w:fill="DBEAFE" w:val="clear"/>
        <w:spacing w:after="240" w:before="240"/>
        <w:ind w:left="360"/>
      </w:pPr>
      <w:r>
        <w:rPr>
          <w:rFonts w:ascii="Arial" w:cs="Arial" w:eastAsia="Arial" w:hAnsi="Arial"/>
          <w:b/>
          <w:bCs/>
          <w:color w:val="1E3A5F"/>
          <w:sz w:val="24"/>
          <w:szCs w:val="24"/>
        </w:rPr>
        <w:t xml:space="preserve">Key Concept: </w:t>
      </w:r>
      <w:r>
        <w:rPr>
          <w:rFonts w:ascii="Arial" w:cs="Arial" w:eastAsia="Arial" w:hAnsi="Arial"/>
          <w:sz w:val="24"/>
          <w:szCs w:val="24"/>
        </w:rPr>
        <w:t xml:space="preserve">Monte Carlo simulation is essential for honest pandemic planning. You must prepare for plausible worst cases, not just the median scenario. The 95th percentile peak determines surge capacity needs; the 5th percentile determines when to relax measures.</w:t>
      </w:r>
    </w:p>
    <w:p>
      <w:r>
        <w:br w:type="page"/>
      </w:r>
    </w:p>
    <w:p>
      <w:pPr>
        <w:pStyle w:val="Heading1"/>
        <w:spacing w:after="200" w:before="400"/>
      </w:pPr>
      <w:r>
        <w:t xml:space="preserve">Chapter 20: Directed Acyclic Graphs &amp; Causal Inference</w:t>
      </w:r>
    </w:p>
    <w:p>
      <w:pPr>
        <w:spacing w:after="200"/>
      </w:pPr>
      <w:r>
        <w:rPr>
          <w:rFonts w:ascii="Arial" w:cs="Arial" w:eastAsia="Arial" w:hAnsi="Arial"/>
          <w:sz w:val="24"/>
          <w:szCs w:val="24"/>
        </w:rPr>
        <w:t xml:space="preserve">DAGs are the modern framework for causal reasoning. Nodes represent variables; directed edges represent causal effects. Three key structures: the Fork (X ← C → Y, confounder — adjust), the Chain (X → M → Y, mediator — do NOT adjust), and the Collider (X → C ← Y — do NOT condition on).</w:t>
      </w:r>
    </w:p>
    <w:p>
      <w:pPr>
        <w:pBdr>
          <w:left w:val="single" w:color="DC2626" w:sz="12"/>
        </w:pBdr>
        <w:shd w:fill="FFE4E6" w:val="clear"/>
        <w:spacing w:after="240" w:before="240"/>
        <w:ind w:left="360"/>
      </w:pPr>
      <w:r>
        <w:rPr>
          <w:rFonts w:ascii="Arial" w:cs="Arial" w:eastAsia="Arial" w:hAnsi="Arial"/>
          <w:b/>
          <w:bCs/>
          <w:color w:val="DC2626"/>
          <w:sz w:val="24"/>
          <w:szCs w:val="24"/>
        </w:rPr>
        <w:t xml:space="preserve">Warning: </w:t>
      </w:r>
      <w:r>
        <w:rPr>
          <w:rFonts w:ascii="Arial" w:cs="Arial" w:eastAsia="Arial" w:hAnsi="Arial"/>
          <w:sz w:val="24"/>
          <w:szCs w:val="24"/>
        </w:rPr>
        <w:t xml:space="preserve">Collider Bias: Adjusting for a collider creates spurious associations. If hospital admission is caused by both disease severity and insurance status, restricting analysis to hospitalized patients conditions on the collider, creating a spurious inverse association. This Berkson’s paradox is especially dangerous in hospital-based studies.</w:t>
      </w:r>
    </w:p>
    <w:p>
      <w:pPr>
        <w:pBdr>
          <w:left w:val="single" w:color="059669" w:sz="12"/>
        </w:pBdr>
        <w:shd w:fill="D1FAE5" w:val="clear"/>
        <w:spacing w:after="240" w:before="240"/>
        <w:ind w:left="360"/>
      </w:pPr>
      <w:r>
        <w:rPr>
          <w:rFonts w:ascii="Arial" w:cs="Arial" w:eastAsia="Arial" w:hAnsi="Arial"/>
          <w:b/>
          <w:bCs/>
          <w:color w:val="059669"/>
          <w:sz w:val="24"/>
          <w:szCs w:val="24"/>
        </w:rPr>
        <w:t xml:space="preserve">Rural Context: </w:t>
      </w:r>
      <w:r>
        <w:rPr>
          <w:rFonts w:ascii="Arial" w:cs="Arial" w:eastAsia="Arial" w:hAnsi="Arial"/>
          <w:sz w:val="24"/>
          <w:szCs w:val="24"/>
        </w:rPr>
        <w:t xml:space="preserve">In rural epidemiology, access to care is a common collider. Both disease severity AND insurance/distance may determine who presents to your hospital. DAGs help identify when population-based data is needed versus when hospital-based data introduces collider bias.</w:t>
      </w:r>
    </w:p>
    <w:p>
      <w:r>
        <w:br w:type="page"/>
      </w:r>
    </w:p>
    <w:p>
      <w:pPr>
        <w:pStyle w:val="Heading1"/>
        <w:spacing w:after="200" w:before="400"/>
      </w:pPr>
      <w:r>
        <w:t xml:space="preserve">Appendix B: Advanced Rust/WASM Engine Extensions</w:t>
      </w:r>
    </w:p>
    <w:p>
      <w:pPr>
        <w:spacing w:after="200"/>
      </w:pPr>
      <w:r>
        <w:rPr>
          <w:rFonts w:ascii="Arial" w:cs="Arial" w:eastAsia="Arial" w:hAnsi="Arial"/>
          <w:sz w:val="24"/>
          <w:szCs w:val="24"/>
        </w:rPr>
        <w:t xml:space="preserve">The advanced module (advanced.rs) extends the base epi-engine with seven additional exported functions: mantel_haenszel (stratified analysis with Breslow-Day test), meta_analysis (fixed and random effects with DerSimonian-Laird), age_standardization (direct and indirect with Byar’s CI), roc_analysis (AUC with Hanley-McNeil SE), monte_carlo_sir (stochastic epidemic simulation with xoshiro128+ PRNG), dose_response (logistic IRLS with LD50/LD10/LD90), and interrupted_time_series (segmented regression with counterfactual).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sz w:val="22"/>
                <w:szCs w:val="22"/>
              </w:rPr>
              <w:t xml:space="preserve">Function</w:t>
            </w:r>
          </w:p>
        </w:tc>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sz w:val="22"/>
                <w:szCs w:val="22"/>
              </w:rPr>
              <w:t xml:space="preserve">Key Output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mantel_haenszel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MH pooled OR/RR + Breslow-Day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Adjusted OR, chi2, homogeneity test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meta_analysis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Inverse variance + DerSimonian-Laird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Fixed/random pooled estimates, I², Q</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age_standardization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Direct + Indirect (Chiang)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Adjusted rate, SMR with Byar CI</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roc_analysis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Trapezoidal AUC + Hanley-McNeil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AUC, optimal cutpoint, Youden J</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monte_carlo_sir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RK4 SIR + xoshiro128+ PRNG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Median/percentile peak, attack rate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dose_response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Newton-Raphson IRLS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beta0, beta1, LD50, LD10, LD90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interrupted_time_series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OLS segmented regression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sz w:val="22"/>
                <w:szCs w:val="22"/>
              </w:rPr>
              <w:t xml:space="preserve">Level change, slope change, R²</w:t>
            </w:r>
          </w:p>
        </w:tc>
      </w:tr>
    </w:tbl>
    <w:p>
      <w:r>
        <w:br w:type="page"/>
      </w:r>
    </w:p>
    <w:p>
      <w:pPr>
        <w:pStyle w:val="Heading1"/>
        <w:spacing w:after="200" w:before="400"/>
      </w:pPr>
      <w:r>
        <w:t xml:space="preserve">References</w:t>
      </w:r>
    </w:p>
    <w:p>
      <w:pPr>
        <w:spacing w:after="200"/>
      </w:pPr>
      <w:r>
        <w:rPr>
          <w:rFonts w:ascii="Arial" w:cs="Arial" w:eastAsia="Arial" w:hAnsi="Arial"/>
          <w:sz w:val="24"/>
          <w:szCs w:val="24"/>
        </w:rPr>
        <w:t xml:space="preserve">16. Rothman KJ. Epidemiology: An Introduction. 2nd ed. Oxford University Press; 2012.</w:t>
      </w:r>
    </w:p>
    <w:p>
      <w:pPr>
        <w:spacing w:after="200"/>
      </w:pPr>
      <w:r>
        <w:rPr>
          <w:rFonts w:ascii="Arial" w:cs="Arial" w:eastAsia="Arial" w:hAnsi="Arial"/>
          <w:sz w:val="24"/>
          <w:szCs w:val="24"/>
        </w:rPr>
        <w:t xml:space="preserve">17. Greenland S, Pearl J, Robins JM. Causal Diagrams for Epidemiologic Research. Epidemiology. 1999;10(1):37-48.</w:t>
      </w:r>
    </w:p>
    <w:p>
      <w:pPr>
        <w:spacing w:after="200"/>
      </w:pPr>
      <w:r>
        <w:rPr>
          <w:rFonts w:ascii="Arial" w:cs="Arial" w:eastAsia="Arial" w:hAnsi="Arial"/>
          <w:sz w:val="24"/>
          <w:szCs w:val="24"/>
        </w:rPr>
        <w:t xml:space="preserve">18. DerSimonian R, Laird N. Meta-analysis in Clinical Trials. Controlled Clinical Trials. 1986;7(3):177-188.</w:t>
      </w:r>
    </w:p>
    <w:p>
      <w:pPr>
        <w:spacing w:after="200"/>
      </w:pPr>
      <w:r>
        <w:rPr>
          <w:rFonts w:ascii="Arial" w:cs="Arial" w:eastAsia="Arial" w:hAnsi="Arial"/>
          <w:sz w:val="24"/>
          <w:szCs w:val="24"/>
        </w:rPr>
        <w:t xml:space="preserve">19. Mantel N, Haenszel W. Statistical Aspects of the Analysis of Data from Retrospective Studies of Disease. JNCI. 1959;22(4):719-748.</w:t>
      </w:r>
    </w:p>
    <w:p>
      <w:pPr>
        <w:spacing w:after="200"/>
      </w:pPr>
      <w:r>
        <w:rPr>
          <w:rFonts w:ascii="Arial" w:cs="Arial" w:eastAsia="Arial" w:hAnsi="Arial"/>
          <w:sz w:val="24"/>
          <w:szCs w:val="24"/>
        </w:rPr>
        <w:t xml:space="preserve">20. Breslow NE, Day NE. Statistical Methods in Cancer Research. Vol 1. IARC; 1980.</w:t>
      </w:r>
    </w:p>
    <w:p>
      <w:pPr>
        <w:spacing w:after="200"/>
      </w:pPr>
      <w:r>
        <w:rPr>
          <w:rFonts w:ascii="Arial" w:cs="Arial" w:eastAsia="Arial" w:hAnsi="Arial"/>
          <w:sz w:val="24"/>
          <w:szCs w:val="24"/>
        </w:rPr>
        <w:t xml:space="preserve">21. Hanley JA, McNeil BJ. The Meaning and Use of the Area Under a Receiver Operating Characteristic Curve. Radiology. 1982;143(1):29-36.</w:t>
      </w:r>
    </w:p>
    <w:p>
      <w:pPr>
        <w:spacing w:after="200"/>
      </w:pPr>
      <w:r>
        <w:rPr>
          <w:rFonts w:ascii="Arial" w:cs="Arial" w:eastAsia="Arial" w:hAnsi="Arial"/>
          <w:sz w:val="24"/>
          <w:szCs w:val="24"/>
        </w:rPr>
        <w:t xml:space="preserve">22. Fagan TJ. Nomogram for Bayes Theorem. NEJM. 1975;293(5):257.</w:t>
      </w:r>
    </w:p>
    <w:p>
      <w:pPr>
        <w:spacing w:after="200"/>
      </w:pPr>
      <w:r>
        <w:rPr>
          <w:rFonts w:ascii="Arial" w:cs="Arial" w:eastAsia="Arial" w:hAnsi="Arial"/>
          <w:sz w:val="24"/>
          <w:szCs w:val="24"/>
        </w:rPr>
        <w:t xml:space="preserve">23. Bernal JL, Cummins S, Gasparrini A. Interrupted Time Series Regression for the Evaluation of Public Health Interventions. Int J Epidemiol. 2017;46(1):348-355.</w:t>
      </w:r>
    </w:p>
    <w:p>
      <w:pPr>
        <w:spacing w:after="200"/>
      </w:pPr>
      <w:r>
        <w:rPr>
          <w:rFonts w:ascii="Arial" w:cs="Arial" w:eastAsia="Arial" w:hAnsi="Arial"/>
          <w:sz w:val="24"/>
          <w:szCs w:val="24"/>
        </w:rPr>
        <w:t xml:space="preserve">24. Pearl J. Causality: Models, Reasoning, and Inference. 2nd ed. Cambridge University Press; 2009.</w:t>
      </w:r>
    </w:p>
    <w:p>
      <w:pPr>
        <w:spacing w:after="200"/>
      </w:pPr>
      <w:r>
        <w:rPr>
          <w:rFonts w:ascii="Arial" w:cs="Arial" w:eastAsia="Arial" w:hAnsi="Arial"/>
          <w:sz w:val="24"/>
          <w:szCs w:val="24"/>
        </w:rPr>
        <w:t xml:space="preserve">25. Anderson RM, May RM. Infectious Diseases of Humans. Oxford University Press; 1992.</w:t>
      </w:r>
    </w:p>
    <w:p>
      <w:pPr>
        <w:spacing w:after="200"/>
      </w:pPr>
      <w:r>
        <w:rPr>
          <w:rFonts w:ascii="Arial" w:cs="Arial" w:eastAsia="Arial" w:hAnsi="Arial"/>
          <w:sz w:val="24"/>
          <w:szCs w:val="24"/>
        </w:rPr>
        <w:t xml:space="preserve">26. Higgins JPT, Thompson SG. Quantifying Heterogeneity in a Meta-analysis. Stat Med. 2002;21(11):1539-1558.</w:t>
      </w:r>
    </w:p>
    <w:p>
      <w:pPr>
        <w:spacing w:after="200"/>
      </w:pPr>
      <w:r>
        <w:rPr>
          <w:rFonts w:ascii="Arial" w:cs="Arial" w:eastAsia="Arial" w:hAnsi="Arial"/>
          <w:sz w:val="24"/>
          <w:szCs w:val="24"/>
        </w:rPr>
        <w:t xml:space="preserve">27. Hernan MA, Robins JM. Causal Inference: What If. Chapman &amp; Hall/CRC; 2020.</w:t>
      </w:r>
    </w:p>
    <w:p>
      <w:pPr>
        <w:spacing w:after="200"/>
      </w:pPr>
      <w:r>
        <w:rPr>
          <w:rFonts w:ascii="Arial" w:cs="Arial" w:eastAsia="Arial" w:hAnsi="Arial"/>
          <w:sz w:val="24"/>
          <w:szCs w:val="24"/>
        </w:rPr>
        <w:t xml:space="preserve">28. Byar DP. Assessing Apparent Treatment-Covariate Interactions in Randomized Clinical Trials. Stat Med. 1985;4(3):255-263.</w:t>
      </w:r>
    </w:p>
    <w:p>
      <w:pPr>
        <w:spacing w:after="200"/>
      </w:pPr>
      <w:r>
        <w:rPr>
          <w:rFonts w:ascii="Arial" w:cs="Arial" w:eastAsia="Arial" w:hAnsi="Arial"/>
          <w:sz w:val="24"/>
          <w:szCs w:val="24"/>
        </w:rPr>
        <w:t xml:space="preserve">29. Fleiss JL, Levin B, Paik MC. Statistical Methods for Rates and Proportions. 3rd ed. Wiley; 2003.</w:t>
      </w:r>
    </w:p>
    <w:p>
      <w:pPr>
        <w:spacing w:after="200"/>
      </w:pPr>
      <w:r>
        <w:rPr>
          <w:rFonts w:ascii="Arial" w:cs="Arial" w:eastAsia="Arial" w:hAnsi="Arial"/>
          <w:sz w:val="24"/>
          <w:szCs w:val="24"/>
        </w:rPr>
        <w:t xml:space="preserve">30. Greenland S. Invited Commentary: A Critical Look at Some Popular Meta-Analytic Methods. Am J Epidemiol. 1994;140(3):290-296.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Advanced Epidemiology for the Rural Healthcare Provider — Volume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0891B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2026-03-20T07:32:14.195Z</dcterms:created>
  <dcterms:modified xsi:type="dcterms:W3CDTF">2026-03-20T07:32:14.196Z</dcterms:modified>
</cp:coreProperties>
</file>

<file path=docProps/custom.xml><?xml version="1.0" encoding="utf-8"?>
<Properties xmlns="http://schemas.openxmlformats.org/officeDocument/2006/custom-properties" xmlns:vt="http://schemas.openxmlformats.org/officeDocument/2006/docPropsVTypes"/>
</file>