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1440"/>
              <w:left w:type="dxa" w:w="720"/>
              <w:bottom w:type="dxa" w:w="1440"/>
              <w:right w:type="dxa" w:w="720"/>
            </w:tcMar>
          </w:tcPr>
          <w:p>
            <w:pPr>
              <w:spacing w:after="80" w:before="0"/>
              <w:jc w:val="center"/>
            </w:pPr>
            <w:r>
              <w:rPr>
                <w:rFonts w:ascii="Arial" w:cs="Arial" w:eastAsia="Arial" w:hAnsi="Arial"/>
                <w:b/>
                <w:bCs/>
                <w:color w:val="FFFFFF"/>
                <w:sz w:val="52"/>
                <w:szCs w:val="52"/>
              </w:rPr>
              <w:t xml:space="preserve">EPIDEMIOLOGY FOR RURAL HEALTHCARE PROVIDERS</w:t>
            </w:r>
          </w:p>
          <w:p>
            <w:pPr>
              <w:spacing w:after="160" w:before="0"/>
              <w:jc w:val="center"/>
            </w:pPr>
            <w:r>
              <w:rPr>
                <w:rFonts w:ascii="Arial" w:cs="Arial" w:eastAsia="Arial" w:hAnsi="Arial"/>
                <w:i/>
                <w:iCs/>
                <w:color w:val="B5892A"/>
                <w:sz w:val="28"/>
                <w:szCs w:val="28"/>
              </w:rPr>
              <w:t xml:space="preserve">A Comprehensive Textbook with Interactive Models</w:t>
            </w:r>
          </w:p>
          <w:p>
            <w:pPr>
              <w:spacing w:after="40" w:before="240"/>
              <w:jc w:val="center"/>
            </w:pPr>
            <w:r>
              <w:rPr>
                <w:rFonts w:ascii="Arial" w:cs="Arial" w:eastAsia="Arial" w:hAnsi="Arial"/>
                <w:color w:val="AABFD4"/>
                <w:sz w:val="22"/>
                <w:szCs w:val="22"/>
              </w:rPr>
              <w:t xml:space="preserve">Principles · Applications · Computational Methods</w:t>
            </w:r>
          </w:p>
          <w:p>
            <w:pPr>
              <w:spacing w:after="0" w:before="0"/>
              <w:jc w:val="center"/>
            </w:pPr>
            <w:r>
              <w:rPr>
                <w:rFonts w:ascii="Arial" w:cs="Arial" w:eastAsia="Arial" w:hAnsi="Arial"/>
                <w:color w:val="AABFD4"/>
                <w:sz w:val="20"/>
                <w:szCs w:val="20"/>
              </w:rPr>
              <w:t xml:space="preserve">For Critical Access Hospitals and Rural Emergency Departments</w:t>
            </w:r>
          </w:p>
        </w:tc>
      </w:tr>
    </w:tbl>
    <w:p>
      <w:pPr>
        <w:spacing w:after="60" w:before="0"/>
      </w:pPr>
      <w:r>
        <w:t xml:space="preserve"/>
      </w:r>
    </w:p>
    <w:p>
      <w:pPr>
        <w:spacing w:after="60" w:before="0"/>
      </w:pPr>
      <w:r>
        <w:t xml:space="preserve"/>
      </w:r>
    </w:p>
    <w:p>
      <w:r>
        <w:br w:type="page"/>
      </w:r>
    </w:p>
    <w:p>
      <w:pPr>
        <w:pStyle w:val="Heading1"/>
        <w:spacing w:after="160" w:before="360"/>
      </w:pPr>
      <w:r>
        <w:rPr>
          <w:rFonts w:ascii="Arial" w:cs="Arial" w:eastAsia="Arial" w:hAnsi="Arial"/>
          <w:b/>
          <w:bCs/>
          <w:color w:val="1B3A5C"/>
          <w:sz w:val="36"/>
          <w:szCs w:val="36"/>
        </w:rPr>
        <w:t xml:space="preserve">Preface</w:t>
      </w:r>
    </w:p>
    <w:p>
      <w:pPr>
        <w:spacing w:after="120" w:before="80" w:line="320"/>
      </w:pPr>
      <w:r>
        <w:rPr>
          <w:rFonts w:ascii="Arial" w:cs="Arial" w:eastAsia="Arial" w:hAnsi="Arial"/>
          <w:color w:val="4A5568"/>
          <w:sz w:val="22"/>
          <w:szCs w:val="22"/>
        </w:rPr>
        <w:t xml:space="preserve">Rural healthcare providers occupy a uniquely demanding position in the American healthcare ecosystem. Caring for populations dispersed across vast geographies—often with limited specialist backup, constrained laboratory resources, and patient populations bearing disproportionate burdens of chronic disease—rural clinicians must think epidemiologically as a matter of daily survival. When a cluster of unusual pneumonias appears in a county with one hospital, or when the opioid mortality rate suddenly spikes, there is no metropolitan academic center down the street to call. The rural provider must recognize, investigate, and respond.</w:t>
      </w:r>
    </w:p>
    <w:p>
      <w:pPr>
        <w:spacing w:after="120" w:before="80" w:line="320"/>
      </w:pPr>
      <w:r>
        <w:rPr>
          <w:rFonts w:ascii="Arial" w:cs="Arial" w:eastAsia="Arial" w:hAnsi="Arial"/>
          <w:color w:val="4A5568"/>
          <w:sz w:val="22"/>
          <w:szCs w:val="22"/>
        </w:rPr>
        <w:t xml:space="preserve">This textbook was written specifically for the rural healthcare context: Critical Access Hospitals, Rural Emergency Hospitals, federally qualified health centers, and the solo-practitioner clinics that serve the 46 million Americans who call rural America home. The epidemiology principles presented here are universal, but the applications, examples, case studies, and contextual commentary are rooted in the realities of rural practice.</w:t>
      </w:r>
    </w:p>
    <w:p>
      <w:pPr>
        <w:spacing w:after="120" w:before="80" w:line="320"/>
      </w:pPr>
      <w:r>
        <w:rPr>
          <w:rFonts w:ascii="Arial" w:cs="Arial" w:eastAsia="Arial" w:hAnsi="Arial"/>
          <w:color w:val="4A5568"/>
          <w:sz w:val="22"/>
          <w:szCs w:val="22"/>
        </w:rPr>
        <w:t xml:space="preserve">What distinguishes this text from standard epidemiology references is its computational orientation. Each chapter integrates interactive calculation tools—live models built in Rust and compiled to WebAssembly—that allow the reader to manipulate real disease parameters and observe outcomes in real time. The SIR, SEIR, and SEIRD models embedded in the companion application are not pedagogical simplifications; they are production-grade computational models capable of informing real outbreak response planning.</w:t>
      </w:r>
    </w:p>
    <w:p>
      <w:pPr>
        <w:spacing w:after="120" w:before="80" w:line="320"/>
      </w:pPr>
      <w:r>
        <w:rPr>
          <w:rFonts w:ascii="Arial" w:cs="Arial" w:eastAsia="Arial" w:hAnsi="Arial"/>
          <w:color w:val="4A5568"/>
          <w:sz w:val="22"/>
          <w:szCs w:val="22"/>
        </w:rPr>
        <w:t xml:space="preserve">The text is organized into five parts. Part I establishes the foundational concepts of epidemiological measurement and causal reasoning. Part II describes the major study designs. Part III applies these tools to the specific challenges of infectious disease, chronic disease, environmental exposures, and health disparities in rural communities. Part IV develops the mathematical modeling framework with accompanying Rust implementation. Part V presents applied case studies from rural settings across the United States.</w:t>
      </w:r>
    </w:p>
    <w:p>
      <w:pPr>
        <w:spacing w:after="120" w:before="80" w:line="320"/>
      </w:pPr>
      <w:r>
        <w:rPr>
          <w:rFonts w:ascii="Arial" w:cs="Arial" w:eastAsia="Arial" w:hAnsi="Arial"/>
          <w:color w:val="4A5568"/>
          <w:sz w:val="22"/>
          <w:szCs w:val="22"/>
        </w:rPr>
        <w:t xml:space="preserve">Whether you are a hospitalist at a 25-bed Critical Access Hospital, a family physician covering an emergency department, a public health nurse coordinating a county immunization program, or a hospital administrator interpreting CMS quality metrics, this text will give you the epidemiological vocabulary, quantitative tools, and conceptual frameworks to serve your community more effectively.</w:t>
      </w:r>
    </w:p>
    <w:p>
      <w:pPr>
        <w:spacing w:after="60" w:before="0"/>
      </w:pPr>
      <w:r>
        <w:t xml:space="preserve"/>
      </w:r>
    </w:p>
    <w:p>
      <w:r>
        <w:br w:type="page"/>
      </w:r>
    </w:p>
    <w:p>
      <w:pPr>
        <w:pStyle w:val="Heading1"/>
        <w:spacing w:after="160" w:before="360"/>
      </w:pPr>
      <w:r>
        <w:rPr>
          <w:rFonts w:ascii="Arial" w:cs="Arial" w:eastAsia="Arial" w:hAnsi="Arial"/>
          <w:b/>
          <w:bCs/>
          <w:color w:val="1B3A5C"/>
          <w:sz w:val="36"/>
          <w:szCs w:val="36"/>
        </w:rPr>
        <w:t xml:space="preserve">Table of Contents</w:t>
      </w:r>
    </w:p>
    <w:p>
      <w:pPr>
        <w:spacing w:after="120" w:before="80" w:line="320"/>
      </w:pPr>
      <w:r>
        <w:rPr>
          <w:rFonts w:ascii="Arial" w:cs="Arial" w:eastAsia="Arial" w:hAnsi="Arial"/>
          <w:color w:val="4A5568"/>
          <w:sz w:val="22"/>
          <w:szCs w:val="22"/>
        </w:rPr>
        <w:t xml:space="preserve">This document contains the following chapters and sections:</w:t>
      </w:r>
    </w:p>
    <w:p>
      <w:pPr>
        <w:spacing w:after="60" w:before="0"/>
      </w:pPr>
      <w:r>
        <w:t xml:space="preserve"/>
      </w:r>
    </w:p>
    <w:p>
      <w:pPr>
        <w:spacing w:after="120" w:before="80" w:line="320"/>
      </w:pPr>
      <w:r>
        <w:rPr>
          <w:rFonts w:ascii="Arial" w:cs="Arial" w:eastAsia="Arial" w:hAnsi="Arial"/>
          <w:b/>
          <w:bCs/>
          <w:color w:val="1B3A5C"/>
          <w:sz w:val="22"/>
          <w:szCs w:val="22"/>
        </w:rPr>
        <w:t xml:space="preserve">PART I: FOUNDATIONS OF EPIDEMIOLOGY</w:t>
      </w:r>
    </w:p>
    <w:p>
      <w:pPr>
        <w:pStyle w:val="ListParagraph"/>
        <w:numPr>
          <w:ilvl w:val="0"/>
          <w:numId w:val="2"/>
        </w:numPr>
        <w:spacing w:after="40" w:before="40" w:line="300"/>
      </w:pPr>
      <w:r>
        <w:rPr>
          <w:rFonts w:ascii="Arial" w:cs="Arial" w:eastAsia="Arial" w:hAnsi="Arial"/>
          <w:color w:val="4A5568"/>
          <w:sz w:val="22"/>
          <w:szCs w:val="22"/>
        </w:rPr>
        <w:t xml:space="preserve">Chapter 1: Introduction to Epidemiology and Rural Health</w:t>
      </w:r>
    </w:p>
    <w:p>
      <w:pPr>
        <w:pStyle w:val="ListParagraph"/>
        <w:numPr>
          <w:ilvl w:val="1"/>
          <w:numId w:val="2"/>
        </w:numPr>
        <w:spacing w:after="40" w:before="40" w:line="300"/>
      </w:pPr>
      <w:r>
        <w:rPr>
          <w:rFonts w:ascii="Arial" w:cs="Arial" w:eastAsia="Arial" w:hAnsi="Arial"/>
          <w:color w:val="4A5568"/>
          <w:sz w:val="22"/>
          <w:szCs w:val="22"/>
        </w:rPr>
        <w:t xml:space="preserve">Chapter 2: Measures of Disease Frequency</w:t>
      </w:r>
    </w:p>
    <w:p>
      <w:pPr>
        <w:pStyle w:val="ListParagraph"/>
        <w:numPr>
          <w:ilvl w:val="1"/>
          <w:numId w:val="2"/>
        </w:numPr>
        <w:spacing w:after="40" w:before="40" w:line="300"/>
      </w:pPr>
      <w:r>
        <w:rPr>
          <w:rFonts w:ascii="Arial" w:cs="Arial" w:eastAsia="Arial" w:hAnsi="Arial"/>
          <w:color w:val="4A5568"/>
          <w:sz w:val="22"/>
          <w:szCs w:val="22"/>
        </w:rPr>
        <w:t xml:space="preserve">Chapter 3: Measures of Association and Causal Inference</w:t>
      </w:r>
    </w:p>
    <w:p>
      <w:pPr>
        <w:pStyle w:val="ListParagraph"/>
        <w:numPr>
          <w:ilvl w:val="1"/>
          <w:numId w:val="2"/>
        </w:numPr>
        <w:spacing w:after="40" w:before="40" w:line="300"/>
      </w:pPr>
      <w:r>
        <w:rPr>
          <w:rFonts w:ascii="Arial" w:cs="Arial" w:eastAsia="Arial" w:hAnsi="Arial"/>
          <w:color w:val="4A5568"/>
          <w:sz w:val="22"/>
          <w:szCs w:val="22"/>
        </w:rPr>
        <w:t xml:space="preserve">Chapter 4: Descriptive Epidemiology: Person, Place, and Time</w:t>
      </w:r>
    </w:p>
    <w:p>
      <w:pPr>
        <w:spacing w:after="60" w:before="0"/>
      </w:pPr>
      <w:r>
        <w:t xml:space="preserve"/>
      </w:r>
    </w:p>
    <w:p>
      <w:pPr>
        <w:spacing w:after="120" w:before="80" w:line="320"/>
      </w:pPr>
      <w:r>
        <w:rPr>
          <w:rFonts w:ascii="Arial" w:cs="Arial" w:eastAsia="Arial" w:hAnsi="Arial"/>
          <w:b/>
          <w:bCs/>
          <w:color w:val="1B3A5C"/>
          <w:sz w:val="22"/>
          <w:szCs w:val="22"/>
        </w:rPr>
        <w:t xml:space="preserve">PART II: EPIDEMIOLOGICAL STUDY DESIGNS</w:t>
      </w:r>
    </w:p>
    <w:p>
      <w:pPr>
        <w:pStyle w:val="ListParagraph"/>
        <w:numPr>
          <w:ilvl w:val="0"/>
          <w:numId w:val="2"/>
        </w:numPr>
        <w:spacing w:after="40" w:before="40" w:line="300"/>
      </w:pPr>
      <w:r>
        <w:rPr>
          <w:rFonts w:ascii="Arial" w:cs="Arial" w:eastAsia="Arial" w:hAnsi="Arial"/>
          <w:color w:val="4A5568"/>
          <w:sz w:val="22"/>
          <w:szCs w:val="22"/>
        </w:rPr>
        <w:t xml:space="preserve">Chapter 5: Observational Study Designs</w:t>
      </w:r>
    </w:p>
    <w:p>
      <w:pPr>
        <w:pStyle w:val="ListParagraph"/>
        <w:numPr>
          <w:ilvl w:val="1"/>
          <w:numId w:val="2"/>
        </w:numPr>
        <w:spacing w:after="40" w:before="40" w:line="300"/>
      </w:pPr>
      <w:r>
        <w:rPr>
          <w:rFonts w:ascii="Arial" w:cs="Arial" w:eastAsia="Arial" w:hAnsi="Arial"/>
          <w:color w:val="4A5568"/>
          <w:sz w:val="22"/>
          <w:szCs w:val="22"/>
        </w:rPr>
        <w:t xml:space="preserve">Chapter 6: Experimental and Quasi-Experimental Designs</w:t>
      </w:r>
    </w:p>
    <w:p>
      <w:pPr>
        <w:pStyle w:val="ListParagraph"/>
        <w:numPr>
          <w:ilvl w:val="1"/>
          <w:numId w:val="2"/>
        </w:numPr>
        <w:spacing w:after="40" w:before="40" w:line="300"/>
      </w:pPr>
      <w:r>
        <w:rPr>
          <w:rFonts w:ascii="Arial" w:cs="Arial" w:eastAsia="Arial" w:hAnsi="Arial"/>
          <w:color w:val="4A5568"/>
          <w:sz w:val="22"/>
          <w:szCs w:val="22"/>
        </w:rPr>
        <w:t xml:space="preserve">Chapter 7: Systematic Review and Evidence Synthesis</w:t>
      </w:r>
    </w:p>
    <w:p>
      <w:pPr>
        <w:spacing w:after="60" w:before="0"/>
      </w:pPr>
      <w:r>
        <w:t xml:space="preserve"/>
      </w:r>
    </w:p>
    <w:p>
      <w:pPr>
        <w:spacing w:after="120" w:before="80" w:line="320"/>
      </w:pPr>
      <w:r>
        <w:rPr>
          <w:rFonts w:ascii="Arial" w:cs="Arial" w:eastAsia="Arial" w:hAnsi="Arial"/>
          <w:b/>
          <w:bCs/>
          <w:color w:val="1B3A5C"/>
          <w:sz w:val="22"/>
          <w:szCs w:val="22"/>
        </w:rPr>
        <w:t xml:space="preserve">PART III: APPLIED RURAL EPIDEMIOLOGY</w:t>
      </w:r>
    </w:p>
    <w:p>
      <w:pPr>
        <w:pStyle w:val="ListParagraph"/>
        <w:numPr>
          <w:ilvl w:val="0"/>
          <w:numId w:val="2"/>
        </w:numPr>
        <w:spacing w:after="40" w:before="40" w:line="300"/>
      </w:pPr>
      <w:r>
        <w:rPr>
          <w:rFonts w:ascii="Arial" w:cs="Arial" w:eastAsia="Arial" w:hAnsi="Arial"/>
          <w:color w:val="4A5568"/>
          <w:sz w:val="22"/>
          <w:szCs w:val="22"/>
        </w:rPr>
        <w:t xml:space="preserve">Chapter 8: Infectious Disease Surveillance and Outbreak Investigation</w:t>
      </w:r>
    </w:p>
    <w:p>
      <w:pPr>
        <w:pStyle w:val="ListParagraph"/>
        <w:numPr>
          <w:ilvl w:val="1"/>
          <w:numId w:val="2"/>
        </w:numPr>
        <w:spacing w:after="40" w:before="40" w:line="300"/>
      </w:pPr>
      <w:r>
        <w:rPr>
          <w:rFonts w:ascii="Arial" w:cs="Arial" w:eastAsia="Arial" w:hAnsi="Arial"/>
          <w:color w:val="4A5568"/>
          <w:sz w:val="22"/>
          <w:szCs w:val="22"/>
        </w:rPr>
        <w:t xml:space="preserve">Chapter 9: Chronic Disease Epidemiology in Rural Communities</w:t>
      </w:r>
    </w:p>
    <w:p>
      <w:pPr>
        <w:pStyle w:val="ListParagraph"/>
        <w:numPr>
          <w:ilvl w:val="1"/>
          <w:numId w:val="2"/>
        </w:numPr>
        <w:spacing w:after="40" w:before="40" w:line="300"/>
      </w:pPr>
      <w:r>
        <w:rPr>
          <w:rFonts w:ascii="Arial" w:cs="Arial" w:eastAsia="Arial" w:hAnsi="Arial"/>
          <w:color w:val="4A5568"/>
          <w:sz w:val="22"/>
          <w:szCs w:val="22"/>
        </w:rPr>
        <w:t xml:space="preserve">Chapter 10: Environmental and Occupational Epidemiology</w:t>
      </w:r>
    </w:p>
    <w:p>
      <w:pPr>
        <w:pStyle w:val="ListParagraph"/>
        <w:numPr>
          <w:ilvl w:val="1"/>
          <w:numId w:val="2"/>
        </w:numPr>
        <w:spacing w:after="40" w:before="40" w:line="300"/>
      </w:pPr>
      <w:r>
        <w:rPr>
          <w:rFonts w:ascii="Arial" w:cs="Arial" w:eastAsia="Arial" w:hAnsi="Arial"/>
          <w:color w:val="4A5568"/>
          <w:sz w:val="22"/>
          <w:szCs w:val="22"/>
        </w:rPr>
        <w:t xml:space="preserve">Chapter 11: Social Determinants of Health and Rural Disparities</w:t>
      </w:r>
    </w:p>
    <w:p>
      <w:pPr>
        <w:pStyle w:val="ListParagraph"/>
        <w:numPr>
          <w:ilvl w:val="1"/>
          <w:numId w:val="2"/>
        </w:numPr>
        <w:spacing w:after="40" w:before="40" w:line="300"/>
      </w:pPr>
      <w:r>
        <w:rPr>
          <w:rFonts w:ascii="Arial" w:cs="Arial" w:eastAsia="Arial" w:hAnsi="Arial"/>
          <w:color w:val="4A5568"/>
          <w:sz w:val="22"/>
          <w:szCs w:val="22"/>
        </w:rPr>
        <w:t xml:space="preserve">Chapter 12: Screening Programs and Diagnostic Test Evaluation</w:t>
      </w:r>
    </w:p>
    <w:p>
      <w:pPr>
        <w:spacing w:after="60" w:before="0"/>
      </w:pPr>
      <w:r>
        <w:t xml:space="preserve"/>
      </w:r>
    </w:p>
    <w:p>
      <w:pPr>
        <w:spacing w:after="120" w:before="80" w:line="320"/>
      </w:pPr>
      <w:r>
        <w:rPr>
          <w:rFonts w:ascii="Arial" w:cs="Arial" w:eastAsia="Arial" w:hAnsi="Arial"/>
          <w:b/>
          <w:bCs/>
          <w:color w:val="1B3A5C"/>
          <w:sz w:val="22"/>
          <w:szCs w:val="22"/>
        </w:rPr>
        <w:t xml:space="preserve">PART IV: MATHEMATICAL MODELING</w:t>
      </w:r>
    </w:p>
    <w:p>
      <w:pPr>
        <w:pStyle w:val="ListParagraph"/>
        <w:numPr>
          <w:ilvl w:val="0"/>
          <w:numId w:val="2"/>
        </w:numPr>
        <w:spacing w:after="40" w:before="40" w:line="300"/>
      </w:pPr>
      <w:r>
        <w:rPr>
          <w:rFonts w:ascii="Arial" w:cs="Arial" w:eastAsia="Arial" w:hAnsi="Arial"/>
          <w:color w:val="4A5568"/>
          <w:sz w:val="22"/>
          <w:szCs w:val="22"/>
        </w:rPr>
        <w:t xml:space="preserve">Chapter 13: Compartmental Models of Infectious Disease</w:t>
      </w:r>
    </w:p>
    <w:p>
      <w:pPr>
        <w:pStyle w:val="ListParagraph"/>
        <w:numPr>
          <w:ilvl w:val="1"/>
          <w:numId w:val="2"/>
        </w:numPr>
        <w:spacing w:after="40" w:before="40" w:line="300"/>
      </w:pPr>
      <w:r>
        <w:rPr>
          <w:rFonts w:ascii="Arial" w:cs="Arial" w:eastAsia="Arial" w:hAnsi="Arial"/>
          <w:color w:val="4A5568"/>
          <w:sz w:val="22"/>
          <w:szCs w:val="22"/>
        </w:rPr>
        <w:t xml:space="preserve">Chapter 14: Rust Implementation of the SEIR/SEIRD Framework</w:t>
      </w:r>
    </w:p>
    <w:p>
      <w:pPr>
        <w:pStyle w:val="ListParagraph"/>
        <w:numPr>
          <w:ilvl w:val="1"/>
          <w:numId w:val="2"/>
        </w:numPr>
        <w:spacing w:after="40" w:before="40" w:line="300"/>
      </w:pPr>
      <w:r>
        <w:rPr>
          <w:rFonts w:ascii="Arial" w:cs="Arial" w:eastAsia="Arial" w:hAnsi="Arial"/>
          <w:color w:val="4A5568"/>
          <w:sz w:val="22"/>
          <w:szCs w:val="22"/>
        </w:rPr>
        <w:t xml:space="preserve">Chapter 15: Parameter Estimation and Model Calibration</w:t>
      </w:r>
    </w:p>
    <w:p>
      <w:pPr>
        <w:spacing w:after="60" w:before="0"/>
      </w:pPr>
      <w:r>
        <w:t xml:space="preserve"/>
      </w:r>
    </w:p>
    <w:p>
      <w:pPr>
        <w:spacing w:after="120" w:before="80" w:line="320"/>
      </w:pPr>
      <w:r>
        <w:rPr>
          <w:rFonts w:ascii="Arial" w:cs="Arial" w:eastAsia="Arial" w:hAnsi="Arial"/>
          <w:b/>
          <w:bCs/>
          <w:color w:val="1B3A5C"/>
          <w:sz w:val="22"/>
          <w:szCs w:val="22"/>
        </w:rPr>
        <w:t xml:space="preserve">PART V: RURAL PRACTICE APPLICATIONS</w:t>
      </w:r>
    </w:p>
    <w:p>
      <w:pPr>
        <w:pStyle w:val="ListParagraph"/>
        <w:numPr>
          <w:ilvl w:val="0"/>
          <w:numId w:val="2"/>
        </w:numPr>
        <w:spacing w:after="40" w:before="40" w:line="300"/>
      </w:pPr>
      <w:r>
        <w:rPr>
          <w:rFonts w:ascii="Arial" w:cs="Arial" w:eastAsia="Arial" w:hAnsi="Arial"/>
          <w:color w:val="4A5568"/>
          <w:sz w:val="22"/>
          <w:szCs w:val="22"/>
        </w:rPr>
        <w:t xml:space="preserve">Chapter 16: Building a Rural Surveillance System</w:t>
      </w:r>
    </w:p>
    <w:p>
      <w:pPr>
        <w:pStyle w:val="ListParagraph"/>
        <w:numPr>
          <w:ilvl w:val="1"/>
          <w:numId w:val="2"/>
        </w:numPr>
        <w:spacing w:after="40" w:before="40" w:line="300"/>
      </w:pPr>
      <w:r>
        <w:rPr>
          <w:rFonts w:ascii="Arial" w:cs="Arial" w:eastAsia="Arial" w:hAnsi="Arial"/>
          <w:color w:val="4A5568"/>
          <w:sz w:val="22"/>
          <w:szCs w:val="22"/>
        </w:rPr>
        <w:t xml:space="preserve">Chapter 17: Community Health Assessment in Rural Settings</w:t>
      </w:r>
    </w:p>
    <w:p>
      <w:pPr>
        <w:pStyle w:val="ListParagraph"/>
        <w:numPr>
          <w:ilvl w:val="1"/>
          <w:numId w:val="2"/>
        </w:numPr>
        <w:spacing w:after="40" w:before="40" w:line="300"/>
      </w:pPr>
      <w:r>
        <w:rPr>
          <w:rFonts w:ascii="Arial" w:cs="Arial" w:eastAsia="Arial" w:hAnsi="Arial"/>
          <w:color w:val="4A5568"/>
          <w:sz w:val="22"/>
          <w:szCs w:val="22"/>
        </w:rPr>
        <w:t xml:space="preserve">Chapter 18: Epidemiological Methods in Quality Improvement</w:t>
      </w:r>
    </w:p>
    <w:p>
      <w:pPr>
        <w:pStyle w:val="ListParagraph"/>
        <w:numPr>
          <w:ilvl w:val="1"/>
          <w:numId w:val="2"/>
        </w:numPr>
        <w:spacing w:after="40" w:before="40" w:line="300"/>
      </w:pPr>
      <w:r>
        <w:rPr>
          <w:rFonts w:ascii="Arial" w:cs="Arial" w:eastAsia="Arial" w:hAnsi="Arial"/>
          <w:color w:val="4A5568"/>
          <w:sz w:val="22"/>
          <w:szCs w:val="22"/>
        </w:rPr>
        <w:t xml:space="preserve">Chapter 19: Case Studies in Rural Epidemiology</w:t>
      </w:r>
    </w:p>
    <w:p>
      <w:pPr>
        <w:spacing w:after="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7D6B" w:val="clear"/>
            <w:tcMar>
              <w:top w:type="dxa" w:w="360"/>
              <w:left w:type="dxa" w:w="720"/>
              <w:bottom w:type="dxa" w:w="360"/>
              <w:right w:type="dxa" w:w="720"/>
            </w:tcMar>
          </w:tcPr>
          <w:p>
            <w:pPr>
              <w:jc w:val="center"/>
            </w:pPr>
            <w:r>
              <w:rPr>
                <w:rFonts w:ascii="Arial" w:cs="Arial" w:eastAsia="Arial" w:hAnsi="Arial"/>
                <w:b/>
                <w:bCs/>
                <w:color w:val="FFFFFF"/>
                <w:sz w:val="44"/>
                <w:szCs w:val="44"/>
              </w:rPr>
              <w:t xml:space="preserve">PART I</w:t>
            </w:r>
          </w:p>
          <w:p>
            <w:pPr>
              <w:jc w:val="center"/>
            </w:pPr>
            <w:r>
              <w:rPr>
                <w:rFonts w:ascii="Arial" w:cs="Arial" w:eastAsia="Arial" w:hAnsi="Arial"/>
                <w:i/>
                <w:iCs/>
                <w:color w:val="D4F0EA"/>
                <w:sz w:val="28"/>
                <w:szCs w:val="28"/>
              </w:rPr>
              <w:t xml:space="preserve">Foundations of Epidemiology</w:t>
            </w:r>
          </w:p>
        </w:tc>
      </w:tr>
    </w:tbl>
    <w:p>
      <w:pPr>
        <w:spacing w:after="60" w:before="0"/>
      </w:pPr>
      <w:r>
        <w:t xml:space="preserve"/>
      </w:r>
    </w:p>
    <w:p>
      <w:pPr>
        <w:spacing w:after="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80"/>
              <w:left w:type="dxa" w:w="360"/>
              <w:bottom w:type="dxa" w:w="280"/>
              <w:right w:type="dxa" w:w="360"/>
            </w:tcMar>
          </w:tcPr>
          <w:p>
            <w:pPr>
              <w:spacing w:after="60" w:before="0"/>
            </w:pPr>
            <w:r>
              <w:rPr>
                <w:rFonts w:ascii="Arial" w:cs="Arial" w:eastAsia="Arial" w:hAnsi="Arial"/>
                <w:b/>
                <w:bCs/>
                <w:color w:val="B5892A"/>
                <w:sz w:val="22"/>
                <w:szCs w:val="22"/>
              </w:rPr>
              <w:t xml:space="preserve">CHAPTER 1</w:t>
            </w:r>
          </w:p>
          <w:p>
            <w:pPr>
              <w:spacing w:after="40" w:before="0"/>
            </w:pPr>
            <w:r>
              <w:rPr>
                <w:rFonts w:ascii="Arial" w:cs="Arial" w:eastAsia="Arial" w:hAnsi="Arial"/>
                <w:b/>
                <w:bCs/>
                <w:color w:val="FFFFFF"/>
                <w:sz w:val="38"/>
                <w:szCs w:val="38"/>
              </w:rPr>
              <w:t xml:space="preserve">Introduction to Epidemiology</w:t>
            </w:r>
          </w:p>
          <w:p>
            <w:pPr>
              <w:spacing w:after="0" w:before="0"/>
            </w:pPr>
            <w:r>
              <w:rPr>
                <w:rFonts w:ascii="Arial" w:cs="Arial" w:eastAsia="Arial" w:hAnsi="Arial"/>
                <w:i/>
                <w:iCs/>
                <w:color w:val="AABFD4"/>
                <w:sz w:val="22"/>
                <w:szCs w:val="22"/>
              </w:rPr>
              <w:t xml:space="preserve">Definitions, History, and the Rural Imperative</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1.1 What Is Epidemiology?</w:t>
      </w:r>
    </w:p>
    <w:p>
      <w:pPr>
        <w:spacing w:after="120" w:before="80" w:line="320"/>
      </w:pPr>
      <w:r>
        <w:rPr>
          <w:rFonts w:ascii="Arial" w:cs="Arial" w:eastAsia="Arial" w:hAnsi="Arial"/>
          <w:color w:val="4A5568"/>
          <w:sz w:val="22"/>
          <w:szCs w:val="22"/>
        </w:rPr>
        <w:t xml:space="preserve">Epidemiology is the study of the distribution and determinants of health-related states or events in specified populations, and the application of this study to the control of health problems. This canonical definition, codified by John Last in the Dictionary of Epidemiology, contains three operational components that merit careful unpacking.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6"/>
              <w:left w:val="single" w:color="2E7D6B" w:sz="6"/>
              <w:bottom w:val="single" w:color="2E7D6B" w:sz="6"/>
              <w:right w:val="single" w:color="2E7D6B" w:sz="6"/>
            </w:tcBorders>
            <w:shd w:fill="EEF7F5" w:val="clear"/>
            <w:tcMar>
              <w:top w:type="dxa" w:w="120"/>
              <w:left w:type="dxa" w:w="240"/>
              <w:bottom w:type="dxa" w:w="120"/>
              <w:right w:type="dxa" w:w="240"/>
            </w:tcMar>
          </w:tcPr>
          <w:p>
            <w:pPr>
              <w:spacing w:after="40" w:before="0"/>
            </w:pPr>
            <w:r>
              <w:rPr>
                <w:rFonts w:ascii="Arial" w:cs="Arial" w:eastAsia="Arial" w:hAnsi="Arial"/>
                <w:b/>
                <w:bCs/>
                <w:color w:val="2E7D6B"/>
                <w:sz w:val="22"/>
                <w:szCs w:val="22"/>
              </w:rPr>
              <w:t xml:space="preserve">Distribution</w:t>
            </w:r>
          </w:p>
          <w:p>
            <w:pPr>
              <w:spacing w:after="0" w:before="0" w:line="280"/>
            </w:pPr>
            <w:r>
              <w:rPr>
                <w:rFonts w:ascii="Arial" w:cs="Arial" w:eastAsia="Arial" w:hAnsi="Arial"/>
                <w:color w:val="4A5568"/>
                <w:sz w:val="20"/>
                <w:szCs w:val="20"/>
              </w:rPr>
              <w:t xml:space="preserve">The frequency (how much?) and pattern (who? where? when?) of health events in populations. Distribution describes the epidemiologic burden—how many people are affected, how severely, in what geographic areas, at what times of year, and in which demographic subgroups.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6"/>
              <w:left w:val="single" w:color="2E7D6B" w:sz="6"/>
              <w:bottom w:val="single" w:color="2E7D6B" w:sz="6"/>
              <w:right w:val="single" w:color="2E7D6B" w:sz="6"/>
            </w:tcBorders>
            <w:shd w:fill="EEF7F5" w:val="clear"/>
            <w:tcMar>
              <w:top w:type="dxa" w:w="120"/>
              <w:left w:type="dxa" w:w="240"/>
              <w:bottom w:type="dxa" w:w="120"/>
              <w:right w:type="dxa" w:w="240"/>
            </w:tcMar>
          </w:tcPr>
          <w:p>
            <w:pPr>
              <w:spacing w:after="40" w:before="0"/>
            </w:pPr>
            <w:r>
              <w:rPr>
                <w:rFonts w:ascii="Arial" w:cs="Arial" w:eastAsia="Arial" w:hAnsi="Arial"/>
                <w:b/>
                <w:bCs/>
                <w:color w:val="2E7D6B"/>
                <w:sz w:val="22"/>
                <w:szCs w:val="22"/>
              </w:rPr>
              <w:t xml:space="preserve">Determinants</w:t>
            </w:r>
          </w:p>
          <w:p>
            <w:pPr>
              <w:spacing w:after="0" w:before="0" w:line="280"/>
            </w:pPr>
            <w:r>
              <w:rPr>
                <w:rFonts w:ascii="Arial" w:cs="Arial" w:eastAsia="Arial" w:hAnsi="Arial"/>
                <w:color w:val="4A5568"/>
                <w:sz w:val="20"/>
                <w:szCs w:val="20"/>
              </w:rPr>
              <w:t xml:space="preserve">The factors that influence the occurrence, progression, or resolution of health events. Determinants span the biological (genetic susceptibility, immune status), behavioral (tobacco use, physical inactivity), environmental (air quality, water safety), and social (poverty, educational attainment, social isolation).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6"/>
              <w:left w:val="single" w:color="2E7D6B" w:sz="6"/>
              <w:bottom w:val="single" w:color="2E7D6B" w:sz="6"/>
              <w:right w:val="single" w:color="2E7D6B" w:sz="6"/>
            </w:tcBorders>
            <w:shd w:fill="EEF7F5" w:val="clear"/>
            <w:tcMar>
              <w:top w:type="dxa" w:w="120"/>
              <w:left w:type="dxa" w:w="240"/>
              <w:bottom w:type="dxa" w:w="120"/>
              <w:right w:type="dxa" w:w="240"/>
            </w:tcMar>
          </w:tcPr>
          <w:p>
            <w:pPr>
              <w:spacing w:after="40" w:before="0"/>
            </w:pPr>
            <w:r>
              <w:rPr>
                <w:rFonts w:ascii="Arial" w:cs="Arial" w:eastAsia="Arial" w:hAnsi="Arial"/>
                <w:b/>
                <w:bCs/>
                <w:color w:val="2E7D6B"/>
                <w:sz w:val="22"/>
                <w:szCs w:val="22"/>
              </w:rPr>
              <w:t xml:space="preserve">Populations</w:t>
            </w:r>
          </w:p>
          <w:p>
            <w:pPr>
              <w:spacing w:after="0" w:before="0" w:line="280"/>
            </w:pPr>
            <w:r>
              <w:rPr>
                <w:rFonts w:ascii="Arial" w:cs="Arial" w:eastAsia="Arial" w:hAnsi="Arial"/>
                <w:color w:val="4A5568"/>
                <w:sz w:val="20"/>
                <w:szCs w:val="20"/>
              </w:rPr>
              <w:t xml:space="preserve">Defined groups of people sharing characteristics relevant to the health event under study. Populations may be defined geographically (residents of Scotland County, NC), temporally (patients admitted to Memorial Hospital in 2024), or by shared exposure (agricultural workers using pesticide X).</w:t>
            </w:r>
          </w:p>
        </w:tc>
      </w:tr>
    </w:tbl>
    <w:p>
      <w:pPr>
        <w:spacing w:after="120" w:before="80" w:line="320"/>
      </w:pPr>
      <w:r>
        <w:rPr>
          <w:rFonts w:ascii="Arial" w:cs="Arial" w:eastAsia="Arial" w:hAnsi="Arial"/>
          <w:color w:val="4A5568"/>
          <w:sz w:val="22"/>
          <w:szCs w:val="22"/>
        </w:rPr>
        <w:t xml:space="preserve">The application imperative in the definition distinguishes epidemiology from pure science. Epidemiological knowledge is not an end in itself; it exists to be translated into prevention programs, clinical guidelines, health policy, and public health practice. In rural settings, this translation imperative is especially acute.</w:t>
      </w:r>
    </w:p>
    <w:p>
      <w:pPr>
        <w:pStyle w:val="Heading2"/>
        <w:spacing w:after="120" w:before="280"/>
      </w:pPr>
      <w:r>
        <w:rPr>
          <w:rFonts w:ascii="Arial" w:cs="Arial" w:eastAsia="Arial" w:hAnsi="Arial"/>
          <w:b/>
          <w:bCs/>
          <w:color w:val="2E7D6B"/>
          <w:sz w:val="28"/>
          <w:szCs w:val="28"/>
        </w:rPr>
        <w:t xml:space="preserve">1.2 A Brief History of Epidemiological Thinking</w:t>
      </w:r>
    </w:p>
    <w:p>
      <w:pPr>
        <w:pStyle w:val="Heading3"/>
        <w:spacing w:after="80" w:before="200"/>
      </w:pPr>
      <w:r>
        <w:rPr>
          <w:rFonts w:ascii="Arial" w:cs="Arial" w:eastAsia="Arial" w:hAnsi="Arial"/>
          <w:b/>
          <w:bCs/>
          <w:color w:val="1B3A5C"/>
          <w:sz w:val="24"/>
          <w:szCs w:val="24"/>
        </w:rPr>
        <w:t xml:space="preserve">1.2.1 The Miasma Era and the Birth of Field Epidemiology</w:t>
      </w:r>
    </w:p>
    <w:p>
      <w:pPr>
        <w:spacing w:after="120" w:before="80" w:line="320"/>
      </w:pPr>
      <w:r>
        <w:rPr>
          <w:rFonts w:ascii="Arial" w:cs="Arial" w:eastAsia="Arial" w:hAnsi="Arial"/>
          <w:color w:val="4A5568"/>
          <w:sz w:val="22"/>
          <w:szCs w:val="22"/>
        </w:rPr>
        <w:t xml:space="preserve">Long before germ theory, physicians recognized that disease clustered in particular places and times. The miasma theory—which attributed epidemic disease to 'bad air' arising from rotting organic matter—was scientifically wrong but epidemiologically productive. It motivated sanitary reforms that reduced mortality from cholera, typhoid, and dysentery, even without a correct mechanistic understanding.</w:t>
      </w:r>
    </w:p>
    <w:p>
      <w:pPr>
        <w:spacing w:after="120" w:before="80" w:line="320"/>
      </w:pPr>
      <w:r>
        <w:rPr>
          <w:rFonts w:ascii="Arial" w:cs="Arial" w:eastAsia="Arial" w:hAnsi="Arial"/>
          <w:color w:val="4A5568"/>
          <w:sz w:val="22"/>
          <w:szCs w:val="22"/>
        </w:rPr>
        <w:t xml:space="preserve">John Snow's investigation of the 1854 Broad Street cholera outbreak in London stands as the founding act of modern field epidemiology. Snow, skeptical of miasma theory, mapped 578 cholera deaths against the locations of water pumps and demonstrated a dramatic clustering around the Broad Street pump. His systematic data collection, spatial analysis, and the decisive act of removing the pump handle—before Koch had identified Vibrio cholerae—established the epidemiological method as a tool for disease control independent of mechanistic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5892A" w:sz="6"/>
              <w:bottom w:val="none"/>
              <w:right w:val="none"/>
            </w:tcBorders>
            <w:shd w:fill="FFF8E7" w:val="clear"/>
            <w:tcMar>
              <w:top w:type="dxa" w:w="120"/>
              <w:left w:type="dxa" w:w="280"/>
              <w:bottom w:type="dxa" w:w="40"/>
              <w:right w:type="dxa" w:w="200"/>
            </w:tcMar>
          </w:tcPr>
          <w:p>
            <w:r>
              <w:rPr>
                <w:rFonts w:ascii="Arial" w:cs="Arial" w:eastAsia="Arial" w:hAnsi="Arial"/>
                <w:b/>
                <w:bCs/>
                <w:color w:val="B5892A"/>
                <w:sz w:val="18"/>
                <w:szCs w:val="18"/>
              </w:rPr>
              <w:t xml:space="preserve">◆ CLINICAL PEARL</w:t>
            </w:r>
          </w:p>
        </w:tc>
      </w:tr>
      <w:tr>
        <w:tc>
          <w:tcPr>
            <w:tcW w:type="dxa" w:w="9360"/>
            <w:tcBorders>
              <w:top w:val="none"/>
              <w:left w:val="single" w:color="B5892A" w:sz="6"/>
              <w:bottom w:val="none"/>
              <w:right w:val="none"/>
            </w:tcBorders>
            <w:shd w:fill="FFF8E7"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John Snow's methods—mapping cases geographically, identifying common exposures, and intervening before etiology was confirmed—remain the template for modern outbreak investigation. Rural providers conducting foodborne illness investigations at local festivals use identical logic.</w:t>
            </w:r>
          </w:p>
        </w:tc>
      </w:tr>
    </w:tbl>
    <w:p>
      <w:pPr>
        <w:pStyle w:val="Heading3"/>
        <w:spacing w:after="80" w:before="200"/>
      </w:pPr>
      <w:r>
        <w:rPr>
          <w:rFonts w:ascii="Arial" w:cs="Arial" w:eastAsia="Arial" w:hAnsi="Arial"/>
          <w:b/>
          <w:bCs/>
          <w:color w:val="1B3A5C"/>
          <w:sz w:val="24"/>
          <w:szCs w:val="24"/>
        </w:rPr>
        <w:t xml:space="preserve">1.2.2 The Framingham Heart Study and Chronic Disease Epidemiology</w:t>
      </w:r>
    </w:p>
    <w:p>
      <w:pPr>
        <w:spacing w:after="120" w:before="80" w:line="320"/>
      </w:pPr>
      <w:r>
        <w:rPr>
          <w:rFonts w:ascii="Arial" w:cs="Arial" w:eastAsia="Arial" w:hAnsi="Arial"/>
          <w:color w:val="4A5568"/>
          <w:sz w:val="22"/>
          <w:szCs w:val="22"/>
        </w:rPr>
        <w:t xml:space="preserve">The 1948 launch of the Framingham Heart Study marked the transition from infectious disease epidemiology to the study of chronic, multifactorial conditions. By following a community cohort in Framingham, Massachusetts over decades, investigators identified cholesterol, blood pressure, smoking, and diabetes as risk factors for cardiovascular disease—relationships that now seem obvious but were revolutionary discoveries requiring years of rigorous longitudinal observation.</w:t>
      </w:r>
    </w:p>
    <w:p>
      <w:pPr>
        <w:spacing w:after="120" w:before="80" w:line="320"/>
      </w:pPr>
      <w:r>
        <w:rPr>
          <w:rFonts w:ascii="Arial" w:cs="Arial" w:eastAsia="Arial" w:hAnsi="Arial"/>
          <w:color w:val="4A5568"/>
          <w:sz w:val="22"/>
          <w:szCs w:val="22"/>
        </w:rPr>
        <w:t xml:space="preserve">The Framingham study's methodological innovations—the prospective cohort design, standardized risk factor measurement, and long-term follow-up—became the template for modern chronic disease research. It also established that population-level data, not just clinical intuition, was necessary to understand conditions whose risk factors acted over decades.</w:t>
      </w:r>
    </w:p>
    <w:p>
      <w:pPr>
        <w:pStyle w:val="Heading3"/>
        <w:spacing w:after="80" w:before="200"/>
      </w:pPr>
      <w:r>
        <w:rPr>
          <w:rFonts w:ascii="Arial" w:cs="Arial" w:eastAsia="Arial" w:hAnsi="Arial"/>
          <w:b/>
          <w:bCs/>
          <w:color w:val="1B3A5C"/>
          <w:sz w:val="24"/>
          <w:szCs w:val="24"/>
        </w:rPr>
        <w:t xml:space="preserve">1.2.3 The Hill Criteria and Causal Inference</w:t>
      </w:r>
    </w:p>
    <w:p>
      <w:pPr>
        <w:spacing w:after="120" w:before="80" w:line="320"/>
      </w:pPr>
      <w:r>
        <w:rPr>
          <w:rFonts w:ascii="Arial" w:cs="Arial" w:eastAsia="Arial" w:hAnsi="Arial"/>
          <w:color w:val="4A5568"/>
          <w:sz w:val="22"/>
          <w:szCs w:val="22"/>
        </w:rPr>
        <w:t xml:space="preserve">In 1965, Austin Bradford Hill articulated nine criteria for evaluating whether an observed statistical association between an exposure and an outcome represents a causal relationship. Although frequently misapplied as a checklist, Hill's viewpoints—strength of association, consistency, specificity, temporality, biological gradient, plausibility, coherence, experiment, and analogy—remain the foundational framework for causal reasoning in observational epidemiology.</w:t>
      </w:r>
    </w:p>
    <w:p>
      <w:pPr>
        <w:pStyle w:val="Heading2"/>
        <w:spacing w:after="120" w:before="280"/>
      </w:pPr>
      <w:r>
        <w:rPr>
          <w:rFonts w:ascii="Arial" w:cs="Arial" w:eastAsia="Arial" w:hAnsi="Arial"/>
          <w:b/>
          <w:bCs/>
          <w:color w:val="2E7D6B"/>
          <w:sz w:val="28"/>
          <w:szCs w:val="28"/>
        </w:rPr>
        <w:t xml:space="preserve">1.3 Epidemiology and Rural Health: A Special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63D2F" w:sz="6"/>
              <w:bottom w:val="none"/>
              <w:right w:val="none"/>
            </w:tcBorders>
            <w:shd w:fill="FDF0EE" w:val="clear"/>
            <w:tcMar>
              <w:top w:type="dxa" w:w="120"/>
              <w:left w:type="dxa" w:w="280"/>
              <w:bottom w:type="dxa" w:w="40"/>
              <w:right w:type="dxa" w:w="200"/>
            </w:tcMar>
          </w:tcPr>
          <w:p>
            <w:r>
              <w:rPr>
                <w:rFonts w:ascii="Arial" w:cs="Arial" w:eastAsia="Arial" w:hAnsi="Arial"/>
                <w:b/>
                <w:bCs/>
                <w:color w:val="A63D2F"/>
                <w:sz w:val="18"/>
                <w:szCs w:val="18"/>
              </w:rPr>
              <w:t xml:space="preserve">⬛ RURAL CONTEXT</w:t>
            </w:r>
          </w:p>
        </w:tc>
      </w:tr>
      <w:tr>
        <w:tc>
          <w:tcPr>
            <w:tcW w:type="dxa" w:w="9360"/>
            <w:tcBorders>
              <w:top w:val="none"/>
              <w:left w:val="single" w:color="A63D2F" w:sz="6"/>
              <w:bottom w:val="none"/>
              <w:right w:val="none"/>
            </w:tcBorders>
            <w:shd w:fill="FDF0EE"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Rural America encompasses approximately 97% of the US land mass but only 19.3% of the population. Rural residents have higher age-adjusted mortality from heart disease, cancer, unintentional injury, chronic lower respiratory disease, and stroke compared to urban counterparts. These 'Five Leading Causes' drive a mortality gap that has widened, not narrowed, over the past two decades.</w:t>
            </w:r>
          </w:p>
        </w:tc>
      </w:tr>
    </w:tbl>
    <w:p>
      <w:pPr>
        <w:spacing w:after="120" w:before="80" w:line="320"/>
      </w:pPr>
      <w:r>
        <w:rPr>
          <w:rFonts w:ascii="Arial" w:cs="Arial" w:eastAsia="Arial" w:hAnsi="Arial"/>
          <w:color w:val="4A5568"/>
          <w:sz w:val="22"/>
          <w:szCs w:val="22"/>
        </w:rPr>
        <w:t xml:space="preserve">Rural providers face distinctive epidemiological challenges that urban-centric textbooks often fail to address:</w:t>
      </w:r>
    </w:p>
    <w:p>
      <w:pPr>
        <w:pStyle w:val="ListParagraph"/>
        <w:numPr>
          <w:ilvl w:val="0"/>
          <w:numId w:val="2"/>
        </w:numPr>
        <w:spacing w:after="40" w:before="40" w:line="300"/>
      </w:pPr>
      <w:r>
        <w:rPr>
          <w:rFonts w:ascii="Arial" w:cs="Arial" w:eastAsia="Arial" w:hAnsi="Arial"/>
          <w:b/>
          <w:bCs/>
          <w:color w:val="1B3A5C"/>
          <w:sz w:val="22"/>
          <w:szCs w:val="22"/>
        </w:rPr>
        <w:t xml:space="preserve">Small-number instability: </w:t>
      </w:r>
      <w:r>
        <w:rPr>
          <w:rFonts w:ascii="Arial" w:cs="Arial" w:eastAsia="Arial" w:hAnsi="Arial"/>
          <w:color w:val="4A5568"/>
          <w:sz w:val="22"/>
          <w:szCs w:val="22"/>
        </w:rPr>
        <w:t xml:space="preserve">When a county has 8,000 residents, a single unusual death can drive dramatic shifts in crude mortality rates. Statistical methods designed for large populations require modification in rural settings.</w:t>
      </w:r>
    </w:p>
    <w:p>
      <w:pPr>
        <w:pStyle w:val="ListParagraph"/>
        <w:numPr>
          <w:ilvl w:val="0"/>
          <w:numId w:val="2"/>
        </w:numPr>
        <w:spacing w:after="40" w:before="40" w:line="300"/>
      </w:pPr>
      <w:r>
        <w:rPr>
          <w:rFonts w:ascii="Arial" w:cs="Arial" w:eastAsia="Arial" w:hAnsi="Arial"/>
          <w:b/>
          <w:bCs/>
          <w:color w:val="1B3A5C"/>
          <w:sz w:val="22"/>
          <w:szCs w:val="22"/>
        </w:rPr>
        <w:t xml:space="preserve">Surveillance gaps: </w:t>
      </w:r>
      <w:r>
        <w:rPr>
          <w:rFonts w:ascii="Arial" w:cs="Arial" w:eastAsia="Arial" w:hAnsi="Arial"/>
          <w:color w:val="4A5568"/>
          <w:sz w:val="22"/>
          <w:szCs w:val="22"/>
        </w:rPr>
        <w:t xml:space="preserve">Rural counties are often underrepresented in national surveillance databases. National Health Interview Survey data from rural communities may have sample sizes too small for reliable subgroup analysis.</w:t>
      </w:r>
    </w:p>
    <w:p>
      <w:pPr>
        <w:pStyle w:val="ListParagraph"/>
        <w:numPr>
          <w:ilvl w:val="0"/>
          <w:numId w:val="2"/>
        </w:numPr>
        <w:spacing w:after="40" w:before="40" w:line="300"/>
      </w:pPr>
      <w:r>
        <w:rPr>
          <w:rFonts w:ascii="Arial" w:cs="Arial" w:eastAsia="Arial" w:hAnsi="Arial"/>
          <w:b/>
          <w:bCs/>
          <w:color w:val="1B3A5C"/>
          <w:sz w:val="22"/>
          <w:szCs w:val="22"/>
        </w:rPr>
        <w:t xml:space="preserve">Extended catchment areas: </w:t>
      </w:r>
      <w:r>
        <w:rPr>
          <w:rFonts w:ascii="Arial" w:cs="Arial" w:eastAsia="Arial" w:hAnsi="Arial"/>
          <w:color w:val="4A5568"/>
          <w:sz w:val="22"/>
          <w:szCs w:val="22"/>
        </w:rPr>
        <w:t xml:space="preserve">Patients may drive 90 minutes to reach a rural hospital, meaning that the hospital's patient population does not correspond neatly to any administrative boundary.</w:t>
      </w:r>
    </w:p>
    <w:p>
      <w:pPr>
        <w:pStyle w:val="ListParagraph"/>
        <w:numPr>
          <w:ilvl w:val="0"/>
          <w:numId w:val="2"/>
        </w:numPr>
        <w:spacing w:after="40" w:before="40" w:line="300"/>
      </w:pPr>
      <w:r>
        <w:rPr>
          <w:rFonts w:ascii="Arial" w:cs="Arial" w:eastAsia="Arial" w:hAnsi="Arial"/>
          <w:b/>
          <w:bCs/>
          <w:color w:val="1B3A5C"/>
          <w:sz w:val="22"/>
          <w:szCs w:val="22"/>
        </w:rPr>
        <w:t xml:space="preserve">Workforce constraints: </w:t>
      </w:r>
      <w:r>
        <w:rPr>
          <w:rFonts w:ascii="Arial" w:cs="Arial" w:eastAsia="Arial" w:hAnsi="Arial"/>
          <w:color w:val="4A5568"/>
          <w:sz w:val="22"/>
          <w:szCs w:val="22"/>
        </w:rPr>
        <w:t xml:space="preserve">A rural hospital may have a single infection preventionist, no epidemiologist, and a public health department operating with one full-time staff member. The rural clinician must serve as frontline epidemiologist by necessity.</w:t>
      </w:r>
    </w:p>
    <w:p>
      <w:pPr>
        <w:pStyle w:val="ListParagraph"/>
        <w:numPr>
          <w:ilvl w:val="0"/>
          <w:numId w:val="2"/>
        </w:numPr>
        <w:spacing w:after="40" w:before="40" w:line="300"/>
      </w:pPr>
      <w:r>
        <w:rPr>
          <w:rFonts w:ascii="Arial" w:cs="Arial" w:eastAsia="Arial" w:hAnsi="Arial"/>
          <w:b/>
          <w:bCs/>
          <w:color w:val="1B3A5C"/>
          <w:sz w:val="22"/>
          <w:szCs w:val="22"/>
        </w:rPr>
        <w:t xml:space="preserve">Social network density: </w:t>
      </w:r>
      <w:r>
        <w:rPr>
          <w:rFonts w:ascii="Arial" w:cs="Arial" w:eastAsia="Arial" w:hAnsi="Arial"/>
          <w:color w:val="4A5568"/>
          <w:sz w:val="22"/>
          <w:szCs w:val="22"/>
        </w:rPr>
        <w:t xml:space="preserve">Rural communities have tightly interconnected social networks where a single superspreader event—a church potluck, a county fair, a school sporting event—can expose a significant fraction of the community simultaneously.</w:t>
      </w:r>
    </w:p>
    <w:p>
      <w:r>
        <w:br w:type="page"/>
      </w:r>
    </w:p>
    <w:p>
      <w:pPr>
        <w:pStyle w:val="Heading2"/>
        <w:spacing w:after="120" w:before="280"/>
      </w:pPr>
      <w:r>
        <w:rPr>
          <w:rFonts w:ascii="Arial" w:cs="Arial" w:eastAsia="Arial" w:hAnsi="Arial"/>
          <w:b/>
          <w:bCs/>
          <w:color w:val="2E7D6B"/>
          <w:sz w:val="28"/>
          <w:szCs w:val="28"/>
        </w:rPr>
        <w:t xml:space="preserve">1.4 The Epidemiological Triad</w:t>
      </w:r>
    </w:p>
    <w:p>
      <w:pPr>
        <w:spacing w:after="120" w:before="80" w:line="320"/>
      </w:pPr>
      <w:r>
        <w:rPr>
          <w:rFonts w:ascii="Arial" w:cs="Arial" w:eastAsia="Arial" w:hAnsi="Arial"/>
          <w:color w:val="4A5568"/>
          <w:sz w:val="22"/>
          <w:szCs w:val="22"/>
        </w:rPr>
        <w:t xml:space="preserve">The epidemiological triad conceptualizes disease as the product of three interacting components: the agent (the cause of disease), the host (the person who can develop disease), and the environment (the conditions that facilitate agent-host interaction). Originally developed for infectious disease, the triad has been extended to chronic and injury epidemiology.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576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Attributes</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Agent</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Biological (bacteria, virus, parasite), Chemical (toxin, drug), Physical (radiation, heat), Nutritional (deficiency, excess)</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Host</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Age, sex, immune status, genetic susceptibility, nutritional status, behavioral risk factors, comorbidities</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Environment</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Physical (geography, climate, housing), Biological (vectors, reservoir animals), Social (poverty, education, crowding), Occupational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63D2F" w:sz="6"/>
              <w:bottom w:val="none"/>
              <w:right w:val="none"/>
            </w:tcBorders>
            <w:shd w:fill="FDF0EE" w:val="clear"/>
            <w:tcMar>
              <w:top w:type="dxa" w:w="120"/>
              <w:left w:type="dxa" w:w="280"/>
              <w:bottom w:type="dxa" w:w="40"/>
              <w:right w:type="dxa" w:w="200"/>
            </w:tcMar>
          </w:tcPr>
          <w:p>
            <w:r>
              <w:rPr>
                <w:rFonts w:ascii="Arial" w:cs="Arial" w:eastAsia="Arial" w:hAnsi="Arial"/>
                <w:b/>
                <w:bCs/>
                <w:color w:val="A63D2F"/>
                <w:sz w:val="18"/>
                <w:szCs w:val="18"/>
              </w:rPr>
              <w:t xml:space="preserve">⬛ RURAL CONTEXT</w:t>
            </w:r>
          </w:p>
        </w:tc>
      </w:tr>
      <w:tr>
        <w:tc>
          <w:tcPr>
            <w:tcW w:type="dxa" w:w="9360"/>
            <w:tcBorders>
              <w:top w:val="none"/>
              <w:left w:val="single" w:color="A63D2F" w:sz="6"/>
              <w:bottom w:val="none"/>
              <w:right w:val="none"/>
            </w:tcBorders>
            <w:shd w:fill="FDF0EE"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In rural settings, the environment component often includes unique occupational exposures (agricultural chemicals, confined animal feeding operations), geographic barriers (distance from care, poor roads), and social structures (mobile home parks, migrant worker camps) that create disease-facilitating conditions not seen in urban epidemiology.</w:t>
            </w:r>
          </w:p>
        </w:tc>
      </w:tr>
    </w:tbl>
    <w:p>
      <w:pPr>
        <w:pStyle w:val="Heading2"/>
        <w:spacing w:after="120" w:before="280"/>
      </w:pPr>
      <w:r>
        <w:rPr>
          <w:rFonts w:ascii="Arial" w:cs="Arial" w:eastAsia="Arial" w:hAnsi="Arial"/>
          <w:b/>
          <w:bCs/>
          <w:color w:val="2E7D6B"/>
          <w:sz w:val="28"/>
          <w:szCs w:val="28"/>
        </w:rPr>
        <w:t xml:space="preserve">1.5 Levels of Prevention</w:t>
      </w:r>
    </w:p>
    <w:p>
      <w:pPr>
        <w:spacing w:after="120" w:before="80" w:line="320"/>
      </w:pPr>
      <w:r>
        <w:rPr>
          <w:rFonts w:ascii="Arial" w:cs="Arial" w:eastAsia="Arial" w:hAnsi="Arial"/>
          <w:color w:val="4A5568"/>
          <w:sz w:val="22"/>
          <w:szCs w:val="22"/>
        </w:rPr>
        <w:t xml:space="preserve">Geoffrey Rose's landmark insight—that shifting the entire population distribution of a risk factor achieves greater absolute risk reduction than high-intensity intervention on the highest-risk individuals—has profound implications for rural communities where screening and treatment resources are scarce.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Level</w:t>
            </w:r>
          </w:p>
        </w:tc>
        <w:tc>
          <w:tcPr>
            <w:tcW w:type="dxa" w:w="312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c>
          <w:tcPr>
            <w:tcW w:type="dxa" w:w="312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Rural Example</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Primary</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Prevent disease before it occurs</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Childhood immunization, agricultural injury prevention, water fluoridation</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Secondary</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Detect and treat disease in early stages</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Colorectal cancer screening, hypertension screening at rural health fairs</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Tertiary</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Minimize complications of established disease</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Cardiac rehab at Critical Access Hospital, diabetes education programs</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Quaternary</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Prevent over-medicalization and iatrogenic harm</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Appropriate use criteria, de-prescribing opioids in chronic pain</w:t>
            </w:r>
          </w:p>
        </w:tc>
      </w:tr>
    </w:tbl>
    <w:p>
      <w:pPr>
        <w:spacing w:after="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80"/>
              <w:left w:type="dxa" w:w="360"/>
              <w:bottom w:type="dxa" w:w="280"/>
              <w:right w:type="dxa" w:w="360"/>
            </w:tcMar>
          </w:tcPr>
          <w:p>
            <w:pPr>
              <w:spacing w:after="60" w:before="0"/>
            </w:pPr>
            <w:r>
              <w:rPr>
                <w:rFonts w:ascii="Arial" w:cs="Arial" w:eastAsia="Arial" w:hAnsi="Arial"/>
                <w:b/>
                <w:bCs/>
                <w:color w:val="B5892A"/>
                <w:sz w:val="22"/>
                <w:szCs w:val="22"/>
              </w:rPr>
              <w:t xml:space="preserve">CHAPTER 2</w:t>
            </w:r>
          </w:p>
          <w:p>
            <w:pPr>
              <w:spacing w:after="40" w:before="0"/>
            </w:pPr>
            <w:r>
              <w:rPr>
                <w:rFonts w:ascii="Arial" w:cs="Arial" w:eastAsia="Arial" w:hAnsi="Arial"/>
                <w:b/>
                <w:bCs/>
                <w:color w:val="FFFFFF"/>
                <w:sz w:val="38"/>
                <w:szCs w:val="38"/>
              </w:rPr>
              <w:t xml:space="preserve">Measures of Disease Frequency</w:t>
            </w:r>
          </w:p>
          <w:p>
            <w:pPr>
              <w:spacing w:after="0" w:before="0"/>
            </w:pPr>
            <w:r>
              <w:rPr>
                <w:rFonts w:ascii="Arial" w:cs="Arial" w:eastAsia="Arial" w:hAnsi="Arial"/>
                <w:i/>
                <w:iCs/>
                <w:color w:val="AABFD4"/>
                <w:sz w:val="22"/>
                <w:szCs w:val="22"/>
              </w:rPr>
              <w:t xml:space="preserve">Counts, Rates, Ratios, and Their Limitations</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2.1 From Counts to Rates</w:t>
      </w:r>
    </w:p>
    <w:p>
      <w:pPr>
        <w:spacing w:after="120" w:before="80" w:line="320"/>
      </w:pPr>
      <w:r>
        <w:rPr>
          <w:rFonts w:ascii="Arial" w:cs="Arial" w:eastAsia="Arial" w:hAnsi="Arial"/>
          <w:color w:val="4A5568"/>
          <w:sz w:val="22"/>
          <w:szCs w:val="22"/>
        </w:rPr>
        <w:t xml:space="preserve">The most fundamental epidemiological measurement is the count—the number of persons experiencing a health event in a defined population during a defined time period. Counts are essential but insufficient. A county with 5,000 cases of influenza may have lower disease burden than one with 500 cases if the former has 500,000 residents and the latter has 10,000. To make meaningful comparisons, we must express counts relative to the populations at risk.</w:t>
      </w:r>
    </w:p>
    <w:p>
      <w:pPr>
        <w:spacing w:after="120" w:before="80" w:line="320"/>
      </w:pPr>
      <w:r>
        <w:rPr>
          <w:rFonts w:ascii="Arial" w:cs="Arial" w:eastAsia="Arial" w:hAnsi="Arial"/>
          <w:color w:val="4A5568"/>
          <w:sz w:val="22"/>
          <w:szCs w:val="22"/>
        </w:rPr>
        <w:t xml:space="preserve">A rate expresses the frequency of an event relative to the size of the population at risk, often incorporating a time dimension. The generic form of an epidemiological rate is:</w:t>
      </w:r>
    </w:p>
    <w:p>
      <w:pPr>
        <w:shd w:fill="F2F4F7" w:val="clear"/>
        <w:spacing w:after="160" w:before="160"/>
        <w:jc w:val="center"/>
      </w:pPr>
      <w:r>
        <w:rPr>
          <w:rFonts w:ascii="Courier New" w:cs="Courier New" w:eastAsia="Courier New" w:hAnsi="Courier New"/>
          <w:b/>
          <w:bCs/>
          <w:color w:val="1B3A5C"/>
          <w:sz w:val="22"/>
          <w:szCs w:val="22"/>
        </w:rPr>
        <w:t xml:space="preserve">Rate = (Number of events / Population at risk) × Multiplier</w:t>
      </w:r>
    </w:p>
    <w:p>
      <w:pPr>
        <w:spacing w:after="120" w:before="80" w:line="320"/>
      </w:pPr>
      <w:r>
        <w:rPr>
          <w:rFonts w:ascii="Arial" w:cs="Arial" w:eastAsia="Arial" w:hAnsi="Arial"/>
          <w:color w:val="4A5568"/>
          <w:sz w:val="22"/>
          <w:szCs w:val="22"/>
        </w:rPr>
        <w:t xml:space="preserve">The multiplier (10², 10³, 10⁴, or 10⁵) is chosen to produce a convenient whole number for communication. Reporting 0.000247 annual deaths per person is mathematically equivalent to 24.7 deaths per 100,000 per year—but the latter is far more interpretable.</w:t>
      </w:r>
    </w:p>
    <w:p>
      <w:pPr>
        <w:pStyle w:val="Heading2"/>
        <w:spacing w:after="120" w:before="280"/>
      </w:pPr>
      <w:r>
        <w:rPr>
          <w:rFonts w:ascii="Arial" w:cs="Arial" w:eastAsia="Arial" w:hAnsi="Arial"/>
          <w:b/>
          <w:bCs/>
          <w:color w:val="2E7D6B"/>
          <w:sz w:val="28"/>
          <w:szCs w:val="28"/>
        </w:rPr>
        <w:t xml:space="preserve">2.2 Incidence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6"/>
              <w:left w:val="single" w:color="2E7D6B" w:sz="6"/>
              <w:bottom w:val="single" w:color="2E7D6B" w:sz="6"/>
              <w:right w:val="single" w:color="2E7D6B" w:sz="6"/>
            </w:tcBorders>
            <w:shd w:fill="EEF7F5" w:val="clear"/>
            <w:tcMar>
              <w:top w:type="dxa" w:w="120"/>
              <w:left w:type="dxa" w:w="240"/>
              <w:bottom w:type="dxa" w:w="120"/>
              <w:right w:type="dxa" w:w="240"/>
            </w:tcMar>
          </w:tcPr>
          <w:p>
            <w:pPr>
              <w:spacing w:after="40" w:before="0"/>
            </w:pPr>
            <w:r>
              <w:rPr>
                <w:rFonts w:ascii="Arial" w:cs="Arial" w:eastAsia="Arial" w:hAnsi="Arial"/>
                <w:b/>
                <w:bCs/>
                <w:color w:val="2E7D6B"/>
                <w:sz w:val="22"/>
                <w:szCs w:val="22"/>
              </w:rPr>
              <w:t xml:space="preserve">Incidence</w:t>
            </w:r>
          </w:p>
          <w:p>
            <w:pPr>
              <w:spacing w:after="0" w:before="0" w:line="280"/>
            </w:pPr>
            <w:r>
              <w:rPr>
                <w:rFonts w:ascii="Arial" w:cs="Arial" w:eastAsia="Arial" w:hAnsi="Arial"/>
                <w:color w:val="4A5568"/>
                <w:sz w:val="20"/>
                <w:szCs w:val="20"/>
              </w:rPr>
              <w:t xml:space="preserve">The rate at which new cases of a disease occur in a population during a specified time period. Incidence measures the risk of transitioning from a disease-free to a diseased state and is therefore fundamental to understanding disease causation.</w:t>
            </w:r>
          </w:p>
        </w:tc>
      </w:tr>
    </w:tbl>
    <w:p>
      <w:pPr>
        <w:pStyle w:val="Heading3"/>
        <w:spacing w:after="80" w:before="200"/>
      </w:pPr>
      <w:r>
        <w:rPr>
          <w:rFonts w:ascii="Arial" w:cs="Arial" w:eastAsia="Arial" w:hAnsi="Arial"/>
          <w:b/>
          <w:bCs/>
          <w:color w:val="1B3A5C"/>
          <w:sz w:val="24"/>
          <w:szCs w:val="24"/>
        </w:rPr>
        <w:t xml:space="preserve">2.2.1 Cumulative Incidence (Risk)</w:t>
      </w:r>
    </w:p>
    <w:p>
      <w:pPr>
        <w:spacing w:after="120" w:before="80" w:line="320"/>
      </w:pPr>
      <w:r>
        <w:rPr>
          <w:rFonts w:ascii="Arial" w:cs="Arial" w:eastAsia="Arial" w:hAnsi="Arial"/>
          <w:color w:val="4A5568"/>
          <w:sz w:val="22"/>
          <w:szCs w:val="22"/>
        </w:rPr>
        <w:t xml:space="preserve">Cumulative incidence (also called incidence proportion or attack rate) is the proportion of a defined, disease-free population that develops the disease during a specified time period. It estimates the probability—the risk—that an individual in the population will develop the disease.</w:t>
      </w:r>
    </w:p>
    <w:p>
      <w:pPr>
        <w:shd w:fill="F2F4F7" w:val="clear"/>
        <w:spacing w:after="160" w:before="160"/>
        <w:jc w:val="center"/>
      </w:pPr>
      <w:r>
        <w:rPr>
          <w:rFonts w:ascii="Courier New" w:cs="Courier New" w:eastAsia="Courier New" w:hAnsi="Courier New"/>
          <w:b/>
          <w:bCs/>
          <w:color w:val="1B3A5C"/>
          <w:sz w:val="22"/>
          <w:szCs w:val="22"/>
        </w:rPr>
        <w:t xml:space="preserve">Cumulative Incidence = New cases in period / Population at risk at start of period</w:t>
      </w:r>
    </w:p>
    <w:p>
      <w:pPr>
        <w:spacing w:after="120" w:before="80" w:line="320"/>
      </w:pPr>
      <w:r>
        <w:rPr>
          <w:rFonts w:ascii="Arial" w:cs="Arial" w:eastAsia="Arial" w:hAnsi="Arial"/>
          <w:color w:val="4A5568"/>
          <w:sz w:val="22"/>
          <w:szCs w:val="22"/>
        </w:rPr>
        <w:t xml:space="preserve">Cumulative incidence is dimensionless—a pure probability ranging from 0 to 1 (or 0% to 100%). It requires that all members of the denominator population be disease-free at the start of the period and remain under observation for the entire period. When these assumptions are violated (due to deaths, loss to follow-up, or immigration of new susceptibles), the incidence rate is a more appropriate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5892A" w:sz="6"/>
              <w:bottom w:val="none"/>
              <w:right w:val="none"/>
            </w:tcBorders>
            <w:shd w:fill="FFF8E7" w:val="clear"/>
            <w:tcMar>
              <w:top w:type="dxa" w:w="120"/>
              <w:left w:type="dxa" w:w="280"/>
              <w:bottom w:type="dxa" w:w="40"/>
              <w:right w:type="dxa" w:w="200"/>
            </w:tcMar>
          </w:tcPr>
          <w:p>
            <w:r>
              <w:rPr>
                <w:rFonts w:ascii="Arial" w:cs="Arial" w:eastAsia="Arial" w:hAnsi="Arial"/>
                <w:b/>
                <w:bCs/>
                <w:color w:val="B5892A"/>
                <w:sz w:val="18"/>
                <w:szCs w:val="18"/>
              </w:rPr>
              <w:t xml:space="preserve">◆ CLINICAL PEARL</w:t>
            </w:r>
          </w:p>
        </w:tc>
      </w:tr>
      <w:tr>
        <w:tc>
          <w:tcPr>
            <w:tcW w:type="dxa" w:w="9360"/>
            <w:tcBorders>
              <w:top w:val="none"/>
              <w:left w:val="single" w:color="B5892A" w:sz="6"/>
              <w:bottom w:val="none"/>
              <w:right w:val="none"/>
            </w:tcBorders>
            <w:shd w:fill="FFF8E7"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In a foodborne outbreak at a rural county fair, the attack rate (cumulative incidence) among attendees who ate potato salad was 87/143 = 60.8%. This is interpreted as: 'A person who ate the potato salad had a 60.8% probability of developing gastrointestinal illness during the defined outbreak period.' This risk estimate is central to identifying the vehicle food.</w:t>
            </w:r>
          </w:p>
        </w:tc>
      </w:tr>
    </w:tbl>
    <w:p>
      <w:pPr>
        <w:pStyle w:val="Heading3"/>
        <w:spacing w:after="80" w:before="200"/>
      </w:pPr>
      <w:r>
        <w:rPr>
          <w:rFonts w:ascii="Arial" w:cs="Arial" w:eastAsia="Arial" w:hAnsi="Arial"/>
          <w:b/>
          <w:bCs/>
          <w:color w:val="1B3A5C"/>
          <w:sz w:val="24"/>
          <w:szCs w:val="24"/>
        </w:rPr>
        <w:t xml:space="preserve">2.2.2 Incidence Rate (Incidence Density)</w:t>
      </w:r>
    </w:p>
    <w:p>
      <w:pPr>
        <w:spacing w:after="120" w:before="80" w:line="320"/>
      </w:pPr>
      <w:r>
        <w:rPr>
          <w:rFonts w:ascii="Arial" w:cs="Arial" w:eastAsia="Arial" w:hAnsi="Arial"/>
          <w:color w:val="4A5568"/>
          <w:sz w:val="22"/>
          <w:szCs w:val="22"/>
        </w:rPr>
        <w:t xml:space="preserve">The incidence rate accounts for the fact that individual persons contribute varying amounts of observation time to the denominator—due to late entry, early exit (death, emigration, loss to follow-up), or development of the disease itself. The denominator is expressed as person-time (person-years, person-months, person-days).</w:t>
      </w:r>
    </w:p>
    <w:p>
      <w:pPr>
        <w:shd w:fill="F2F4F7" w:val="clear"/>
        <w:spacing w:after="160" w:before="160"/>
        <w:jc w:val="center"/>
      </w:pPr>
      <w:r>
        <w:rPr>
          <w:rFonts w:ascii="Courier New" w:cs="Courier New" w:eastAsia="Courier New" w:hAnsi="Courier New"/>
          <w:b/>
          <w:bCs/>
          <w:color w:val="1B3A5C"/>
          <w:sz w:val="22"/>
          <w:szCs w:val="22"/>
        </w:rPr>
        <w:t xml:space="preserve">Incidence Rate = New cases / Total person-time at risk</w:t>
      </w:r>
    </w:p>
    <w:p>
      <w:pPr>
        <w:spacing w:after="120" w:before="80" w:line="320"/>
      </w:pPr>
      <w:r>
        <w:rPr>
          <w:rFonts w:ascii="Arial" w:cs="Arial" w:eastAsia="Arial" w:hAnsi="Arial"/>
          <w:color w:val="4A5568"/>
          <w:sz w:val="22"/>
          <w:szCs w:val="22"/>
        </w:rPr>
        <w:t xml:space="preserve">Person-time is calculated by summing the time each individual spent in the at-risk state. A cohort of 1,000 individuals followed for an average of 3.4 years contributes 3,400 person-years. If 34 develop the outcome, the incidence rate is 34/3,400 = 0.01 per person-year = 10 per 1,000 person-years.</w:t>
      </w:r>
    </w:p>
    <w:p>
      <w:pPr>
        <w:pStyle w:val="Heading2"/>
        <w:spacing w:after="120" w:before="280"/>
      </w:pPr>
      <w:r>
        <w:rPr>
          <w:rFonts w:ascii="Arial" w:cs="Arial" w:eastAsia="Arial" w:hAnsi="Arial"/>
          <w:b/>
          <w:bCs/>
          <w:color w:val="2E7D6B"/>
          <w:sz w:val="28"/>
          <w:szCs w:val="28"/>
        </w:rPr>
        <w:t xml:space="preserve">2.3 Prevalence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6"/>
              <w:left w:val="single" w:color="2E7D6B" w:sz="6"/>
              <w:bottom w:val="single" w:color="2E7D6B" w:sz="6"/>
              <w:right w:val="single" w:color="2E7D6B" w:sz="6"/>
            </w:tcBorders>
            <w:shd w:fill="EEF7F5" w:val="clear"/>
            <w:tcMar>
              <w:top w:type="dxa" w:w="120"/>
              <w:left w:type="dxa" w:w="240"/>
              <w:bottom w:type="dxa" w:w="120"/>
              <w:right w:type="dxa" w:w="240"/>
            </w:tcMar>
          </w:tcPr>
          <w:p>
            <w:pPr>
              <w:spacing w:after="40" w:before="0"/>
            </w:pPr>
            <w:r>
              <w:rPr>
                <w:rFonts w:ascii="Arial" w:cs="Arial" w:eastAsia="Arial" w:hAnsi="Arial"/>
                <w:b/>
                <w:bCs/>
                <w:color w:val="2E7D6B"/>
                <w:sz w:val="22"/>
                <w:szCs w:val="22"/>
              </w:rPr>
              <w:t xml:space="preserve">Prevalence</w:t>
            </w:r>
          </w:p>
          <w:p>
            <w:pPr>
              <w:spacing w:after="0" w:before="0" w:line="280"/>
            </w:pPr>
            <w:r>
              <w:rPr>
                <w:rFonts w:ascii="Arial" w:cs="Arial" w:eastAsia="Arial" w:hAnsi="Arial"/>
                <w:color w:val="4A5568"/>
                <w:sz w:val="20"/>
                <w:szCs w:val="20"/>
              </w:rPr>
              <w:t xml:space="preserve">The proportion of a defined population that has a condition at a specific point in time (point prevalence) or during a specified period (period prevalence). Prevalence measures the burden of existing disease, not the rate of new disease occurrence.</w:t>
            </w:r>
          </w:p>
        </w:tc>
      </w:tr>
    </w:tbl>
    <w:p>
      <w:pPr>
        <w:shd w:fill="F2F4F7" w:val="clear"/>
        <w:spacing w:after="160" w:before="160"/>
        <w:jc w:val="center"/>
      </w:pPr>
      <w:r>
        <w:rPr>
          <w:rFonts w:ascii="Courier New" w:cs="Courier New" w:eastAsia="Courier New" w:hAnsi="Courier New"/>
          <w:b/>
          <w:bCs/>
          <w:color w:val="1B3A5C"/>
          <w:sz w:val="22"/>
          <w:szCs w:val="22"/>
        </w:rPr>
        <w:t xml:space="preserve">Point Prevalence = Existing cases at one point in time / Total population at that time</w:t>
      </w:r>
    </w:p>
    <w:p>
      <w:pPr>
        <w:spacing w:after="120" w:before="80" w:line="320"/>
      </w:pPr>
      <w:r>
        <w:rPr>
          <w:rFonts w:ascii="Arial" w:cs="Arial" w:eastAsia="Arial" w:hAnsi="Arial"/>
          <w:color w:val="4A5568"/>
          <w:sz w:val="22"/>
          <w:szCs w:val="22"/>
        </w:rPr>
        <w:t xml:space="preserve">The relationship between prevalence, incidence, and disease duration is captured by the prevalence equation:</w:t>
      </w:r>
    </w:p>
    <w:p>
      <w:pPr>
        <w:shd w:fill="F2F4F7" w:val="clear"/>
        <w:spacing w:after="160" w:before="160"/>
        <w:jc w:val="center"/>
      </w:pPr>
      <w:r>
        <w:rPr>
          <w:rFonts w:ascii="Courier New" w:cs="Courier New" w:eastAsia="Courier New" w:hAnsi="Courier New"/>
          <w:b/>
          <w:bCs/>
          <w:color w:val="1B3A5C"/>
          <w:sz w:val="22"/>
          <w:szCs w:val="22"/>
        </w:rPr>
        <w:t xml:space="preserve">Prevalence ≈ Incidence × Average Duration of Disease</w:t>
      </w:r>
    </w:p>
    <w:p>
      <w:pPr>
        <w:spacing w:after="120" w:before="80" w:line="320"/>
      </w:pPr>
      <w:r>
        <w:rPr>
          <w:rFonts w:ascii="Arial" w:cs="Arial" w:eastAsia="Arial" w:hAnsi="Arial"/>
          <w:color w:val="4A5568"/>
          <w:sz w:val="22"/>
          <w:szCs w:val="22"/>
        </w:rPr>
        <w:t xml:space="preserve">This relationship has profound practical implications. A disease with low incidence but long duration (e.g., well-controlled HIV infection) will have high prevalence. A disease with high incidence but short duration (e.g., the common cold) will have low prevalence. Treatment that extends survival without curing disease increases prevalence even as incidence 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63D2F" w:sz="6"/>
              <w:bottom w:val="none"/>
              <w:right w:val="none"/>
            </w:tcBorders>
            <w:shd w:fill="FDF0EE" w:val="clear"/>
            <w:tcMar>
              <w:top w:type="dxa" w:w="120"/>
              <w:left w:type="dxa" w:w="280"/>
              <w:bottom w:type="dxa" w:w="40"/>
              <w:right w:type="dxa" w:w="200"/>
            </w:tcMar>
          </w:tcPr>
          <w:p>
            <w:r>
              <w:rPr>
                <w:rFonts w:ascii="Arial" w:cs="Arial" w:eastAsia="Arial" w:hAnsi="Arial"/>
                <w:b/>
                <w:bCs/>
                <w:color w:val="A63D2F"/>
                <w:sz w:val="18"/>
                <w:szCs w:val="18"/>
              </w:rPr>
              <w:t xml:space="preserve">⬛ RURAL CONTEXT</w:t>
            </w:r>
          </w:p>
        </w:tc>
      </w:tr>
      <w:tr>
        <w:tc>
          <w:tcPr>
            <w:tcW w:type="dxa" w:w="9360"/>
            <w:tcBorders>
              <w:top w:val="none"/>
              <w:left w:val="single" w:color="A63D2F" w:sz="6"/>
              <w:bottom w:val="none"/>
              <w:right w:val="none"/>
            </w:tcBorders>
            <w:shd w:fill="FDF0EE"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Rural populations have higher prevalence of several chronic conditions—hypertension (38% rural vs. 33% urban), obesity (36.5% vs. 27.7%), diabetes (13.5% vs. 10.4%), and COPD (9.2% vs. 5.4%)—reflecting both higher incidence and longer duration of these conditions in rural settings with limited management resources.</w:t>
            </w:r>
          </w:p>
        </w:tc>
      </w:tr>
    </w:tbl>
    <w:p>
      <w:pPr>
        <w:pStyle w:val="Heading2"/>
        <w:spacing w:after="120" w:before="280"/>
      </w:pPr>
      <w:r>
        <w:rPr>
          <w:rFonts w:ascii="Arial" w:cs="Arial" w:eastAsia="Arial" w:hAnsi="Arial"/>
          <w:b/>
          <w:bCs/>
          <w:color w:val="2E7D6B"/>
          <w:sz w:val="28"/>
          <w:szCs w:val="28"/>
        </w:rPr>
        <w:t xml:space="preserve">2.4 Special Measures for Rural Practice</w:t>
      </w:r>
    </w:p>
    <w:p>
      <w:pPr>
        <w:pStyle w:val="Heading3"/>
        <w:spacing w:after="80" w:before="200"/>
      </w:pPr>
      <w:r>
        <w:rPr>
          <w:rFonts w:ascii="Arial" w:cs="Arial" w:eastAsia="Arial" w:hAnsi="Arial"/>
          <w:b/>
          <w:bCs/>
          <w:color w:val="1B3A5C"/>
          <w:sz w:val="24"/>
          <w:szCs w:val="24"/>
        </w:rPr>
        <w:t xml:space="preserve">2.4.1 Crude, Specific, and Standardized Rates</w:t>
      </w:r>
    </w:p>
    <w:p>
      <w:pPr>
        <w:spacing w:after="120" w:before="80" w:line="320"/>
      </w:pPr>
      <w:r>
        <w:rPr>
          <w:rFonts w:ascii="Arial" w:cs="Arial" w:eastAsia="Arial" w:hAnsi="Arial"/>
          <w:color w:val="4A5568"/>
          <w:sz w:val="22"/>
          <w:szCs w:val="22"/>
        </w:rPr>
        <w:t xml:space="preserve">Crude rates apply to an entire population without adjustment. Age-specific rates apply to defined age strata. Standardized rates (age-adjusted) allow fair comparisons between populations with different age distributions by applying a common standard population.</w:t>
      </w:r>
    </w:p>
    <w:p>
      <w:pPr>
        <w:spacing w:after="120" w:before="80" w:line="320"/>
      </w:pPr>
      <w:r>
        <w:rPr>
          <w:rFonts w:ascii="Arial" w:cs="Arial" w:eastAsia="Arial" w:hAnsi="Arial"/>
          <w:color w:val="4A5568"/>
          <w:sz w:val="22"/>
          <w:szCs w:val="22"/>
        </w:rPr>
        <w:t xml:space="preserve">Age standardization is especially important in rural epidemiology because rural populations are generally older than urban populations. Crude mortality rates in rural counties are often higher than urban rates partly because rural populations are older, not (only) because rural people are less healthy age-for-age. Direct age standardization using the 2000 US Standard Population reveals the age-adjusted mortality gap between rural and urban America—a gap that persists even after removing the confounding effect of age structure.</w:t>
      </w:r>
    </w:p>
    <w:p>
      <w:pPr>
        <w:shd w:fill="F2F4F7" w:val="clear"/>
        <w:spacing w:after="160" w:before="160"/>
        <w:jc w:val="center"/>
      </w:pPr>
      <w:r>
        <w:rPr>
          <w:rFonts w:ascii="Courier New" w:cs="Courier New" w:eastAsia="Courier New" w:hAnsi="Courier New"/>
          <w:b/>
          <w:bCs/>
          <w:color w:val="1B3A5C"/>
          <w:sz w:val="22"/>
          <w:szCs w:val="22"/>
        </w:rPr>
        <w:t xml:space="preserve">Age-Adjusted Rate = Σ(Age-specific rate × Standard population proportion)</w:t>
      </w:r>
    </w:p>
    <w:p>
      <w:pPr>
        <w:pStyle w:val="Heading3"/>
        <w:spacing w:after="80" w:before="200"/>
      </w:pPr>
      <w:r>
        <w:rPr>
          <w:rFonts w:ascii="Arial" w:cs="Arial" w:eastAsia="Arial" w:hAnsi="Arial"/>
          <w:b/>
          <w:bCs/>
          <w:color w:val="1B3A5C"/>
          <w:sz w:val="24"/>
          <w:szCs w:val="24"/>
        </w:rPr>
        <w:t xml:space="preserve">2.4.2 Years of Potential Life Lost (YPLL)</w:t>
      </w:r>
    </w:p>
    <w:p>
      <w:pPr>
        <w:spacing w:after="120" w:before="80" w:line="320"/>
      </w:pPr>
      <w:r>
        <w:rPr>
          <w:rFonts w:ascii="Arial" w:cs="Arial" w:eastAsia="Arial" w:hAnsi="Arial"/>
          <w:color w:val="4A5568"/>
          <w:sz w:val="22"/>
          <w:szCs w:val="22"/>
        </w:rPr>
        <w:t xml:space="preserve">YPLL measures premature mortality by weighting deaths by the number of years lost before a specified age threshold (typically 75 years). A death at age 25 contributes 50 YPLL; a death at age 70 contributes 5 YPLL. YPLL emphasizes early death and is especially informative in rural communities where unintentional injury and opioid overdose drive substantial premature mortality.</w:t>
      </w:r>
    </w:p>
    <w:p>
      <w:pPr>
        <w:shd w:fill="F2F4F7" w:val="clear"/>
        <w:spacing w:after="160" w:before="160"/>
        <w:jc w:val="center"/>
      </w:pPr>
      <w:r>
        <w:rPr>
          <w:rFonts w:ascii="Courier New" w:cs="Courier New" w:eastAsia="Courier New" w:hAnsi="Courier New"/>
          <w:b/>
          <w:bCs/>
          <w:color w:val="1B3A5C"/>
          <w:sz w:val="22"/>
          <w:szCs w:val="22"/>
        </w:rPr>
        <w:t xml:space="preserve">YPLL = Σ(Reference age − Age at death) for all deaths below reference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5892A" w:sz="6"/>
              <w:bottom w:val="none"/>
              <w:right w:val="none"/>
            </w:tcBorders>
            <w:shd w:fill="FFF8E7" w:val="clear"/>
            <w:tcMar>
              <w:top w:type="dxa" w:w="120"/>
              <w:left w:type="dxa" w:w="280"/>
              <w:bottom w:type="dxa" w:w="40"/>
              <w:right w:type="dxa" w:w="200"/>
            </w:tcMar>
          </w:tcPr>
          <w:p>
            <w:r>
              <w:rPr>
                <w:rFonts w:ascii="Arial" w:cs="Arial" w:eastAsia="Arial" w:hAnsi="Arial"/>
                <w:b/>
                <w:bCs/>
                <w:color w:val="B5892A"/>
                <w:sz w:val="18"/>
                <w:szCs w:val="18"/>
              </w:rPr>
              <w:t xml:space="preserve">◆ CLINICAL PEARL</w:t>
            </w:r>
          </w:p>
        </w:tc>
      </w:tr>
      <w:tr>
        <w:tc>
          <w:tcPr>
            <w:tcW w:type="dxa" w:w="9360"/>
            <w:tcBorders>
              <w:top w:val="none"/>
              <w:left w:val="single" w:color="B5892A" w:sz="6"/>
              <w:bottom w:val="none"/>
              <w:right w:val="none"/>
            </w:tcBorders>
            <w:shd w:fill="FFF8E7"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Rural counties consistently show higher YPLL from unintentional injuries, suicide, and chronic liver disease (including alcohol-associated cirrhosis and opioid-associated hepatitis C) compared to urban areas—even when crude mortality rates appear similar. YPLL analysis reveals the true magnitude of premature death in rural America.</w:t>
            </w:r>
          </w:p>
        </w:tc>
      </w:tr>
    </w:tbl>
    <w:p>
      <w:pPr>
        <w:pStyle w:val="Heading3"/>
        <w:spacing w:after="80" w:before="200"/>
      </w:pPr>
      <w:r>
        <w:rPr>
          <w:rFonts w:ascii="Arial" w:cs="Arial" w:eastAsia="Arial" w:hAnsi="Arial"/>
          <w:b/>
          <w:bCs/>
          <w:color w:val="1B3A5C"/>
          <w:sz w:val="24"/>
          <w:szCs w:val="24"/>
        </w:rPr>
        <w:t xml:space="preserve">2.4.3 Disability-Adjusted Life Years (DALYs)</w:t>
      </w:r>
    </w:p>
    <w:p>
      <w:pPr>
        <w:spacing w:after="120" w:before="80" w:line="320"/>
      </w:pPr>
      <w:r>
        <w:rPr>
          <w:rFonts w:ascii="Arial" w:cs="Arial" w:eastAsia="Arial" w:hAnsi="Arial"/>
          <w:color w:val="4A5568"/>
          <w:sz w:val="22"/>
          <w:szCs w:val="22"/>
        </w:rPr>
        <w:t xml:space="preserve">DALYs combine years of life lost (YLL) from premature death with years lived with disability (YLD) weighted by severity into a single metric of disease burden. One DALY equals one year of healthy life lost. DALYs are the currency of the Global Burden of Disease Study and are increasingly used in rural health planning.</w:t>
      </w:r>
    </w:p>
    <w:p>
      <w:pPr>
        <w:shd w:fill="F2F4F7" w:val="clear"/>
        <w:spacing w:after="160" w:before="160"/>
        <w:jc w:val="center"/>
      </w:pPr>
      <w:r>
        <w:rPr>
          <w:rFonts w:ascii="Courier New" w:cs="Courier New" w:eastAsia="Courier New" w:hAnsi="Courier New"/>
          <w:b/>
          <w:bCs/>
          <w:color w:val="1B3A5C"/>
          <w:sz w:val="22"/>
          <w:szCs w:val="22"/>
        </w:rPr>
        <w:t xml:space="preserve">DALYs = YLL + YLD = (Deaths × Years lost per death) + (Cases × Duration × Disability weight)</w:t>
      </w:r>
    </w:p>
    <w:p>
      <w:pPr>
        <w:pStyle w:val="Heading2"/>
        <w:spacing w:after="120" w:before="280"/>
      </w:pPr>
      <w:r>
        <w:rPr>
          <w:rFonts w:ascii="Arial" w:cs="Arial" w:eastAsia="Arial" w:hAnsi="Arial"/>
          <w:b/>
          <w:bCs/>
          <w:color w:val="2E7D6B"/>
          <w:sz w:val="28"/>
          <w:szCs w:val="28"/>
        </w:rPr>
        <w:t xml:space="preserve">2.5 Confidence Intervals and Small-Number Problems</w:t>
      </w:r>
    </w:p>
    <w:p>
      <w:pPr>
        <w:spacing w:after="120" w:before="80" w:line="320"/>
      </w:pPr>
      <w:r>
        <w:rPr>
          <w:rFonts w:ascii="Arial" w:cs="Arial" w:eastAsia="Arial" w:hAnsi="Arial"/>
          <w:color w:val="4A5568"/>
          <w:sz w:val="22"/>
          <w:szCs w:val="22"/>
        </w:rPr>
        <w:t xml:space="preserve">In rural epidemiology, small populations create statistical instability. A county with 6,000 residents and 3 deaths from a specific cause has a crude mortality rate of 50 per 100,000. A single additional death in the next year raises the rate to 66.7 per 100,000—a 33% 'increase' that is entirely consistent with random variation.</w:t>
      </w:r>
    </w:p>
    <w:p>
      <w:pPr>
        <w:spacing w:after="120" w:before="80" w:line="320"/>
      </w:pPr>
      <w:r>
        <w:rPr>
          <w:rFonts w:ascii="Arial" w:cs="Arial" w:eastAsia="Arial" w:hAnsi="Arial"/>
          <w:color w:val="4A5568"/>
          <w:sz w:val="22"/>
          <w:szCs w:val="22"/>
        </w:rPr>
        <w:t xml:space="preserve">The 95% confidence interval for a count of events following a Poisson distribution is approximated by:</w:t>
      </w:r>
    </w:p>
    <w:p>
      <w:pPr>
        <w:shd w:fill="F2F4F7" w:val="clear"/>
        <w:spacing w:after="160" w:before="160"/>
        <w:jc w:val="center"/>
      </w:pPr>
      <w:r>
        <w:rPr>
          <w:rFonts w:ascii="Courier New" w:cs="Courier New" w:eastAsia="Courier New" w:hAnsi="Courier New"/>
          <w:b/>
          <w:bCs/>
          <w:color w:val="1B3A5C"/>
          <w:sz w:val="22"/>
          <w:szCs w:val="22"/>
        </w:rPr>
        <w:t xml:space="preserve">Lower 95% CI = n × (1 − 1/(9n) − 1.96/√(9n))³</w:t>
      </w:r>
    </w:p>
    <w:p>
      <w:pPr>
        <w:shd w:fill="F2F4F7" w:val="clear"/>
        <w:spacing w:after="160" w:before="160"/>
        <w:jc w:val="center"/>
      </w:pPr>
      <w:r>
        <w:rPr>
          <w:rFonts w:ascii="Courier New" w:cs="Courier New" w:eastAsia="Courier New" w:hAnsi="Courier New"/>
          <w:b/>
          <w:bCs/>
          <w:color w:val="1B3A5C"/>
          <w:sz w:val="22"/>
          <w:szCs w:val="22"/>
        </w:rPr>
        <w:t xml:space="preserve">Upper 95% CI = (n+1) × (1 − 1/(9(n+1)) + 1.96/√(9(n+1)))³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63D2F" w:sz="6"/>
              <w:bottom w:val="none"/>
              <w:right w:val="none"/>
            </w:tcBorders>
            <w:shd w:fill="FDF0EE" w:val="clear"/>
            <w:tcMar>
              <w:top w:type="dxa" w:w="120"/>
              <w:left w:type="dxa" w:w="280"/>
              <w:bottom w:type="dxa" w:w="40"/>
              <w:right w:type="dxa" w:w="200"/>
            </w:tcMar>
          </w:tcPr>
          <w:p>
            <w:r>
              <w:rPr>
                <w:rFonts w:ascii="Arial" w:cs="Arial" w:eastAsia="Arial" w:hAnsi="Arial"/>
                <w:b/>
                <w:bCs/>
                <w:color w:val="A63D2F"/>
                <w:sz w:val="18"/>
                <w:szCs w:val="18"/>
              </w:rPr>
              <w:t xml:space="preserve">⬛ RURAL CONTEXT</w:t>
            </w:r>
          </w:p>
        </w:tc>
      </w:tr>
      <w:tr>
        <w:tc>
          <w:tcPr>
            <w:tcW w:type="dxa" w:w="9360"/>
            <w:tcBorders>
              <w:top w:val="none"/>
              <w:left w:val="single" w:color="A63D2F" w:sz="6"/>
              <w:bottom w:val="none"/>
              <w:right w:val="none"/>
            </w:tcBorders>
            <w:shd w:fill="FDF0EE"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The CDC recommends suppressing rates based on fewer than 20 events for publication to avoid creating misleading impressions of precision. For rural health departments routinely working with counts under 10, rolling multi-year averages (3-year or 5-year) are essential for generating stable, interpretable rates.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80"/>
              <w:left w:type="dxa" w:w="360"/>
              <w:bottom w:type="dxa" w:w="280"/>
              <w:right w:type="dxa" w:w="360"/>
            </w:tcMar>
          </w:tcPr>
          <w:p>
            <w:pPr>
              <w:spacing w:after="60" w:before="0"/>
            </w:pPr>
            <w:r>
              <w:rPr>
                <w:rFonts w:ascii="Arial" w:cs="Arial" w:eastAsia="Arial" w:hAnsi="Arial"/>
                <w:b/>
                <w:bCs/>
                <w:color w:val="B5892A"/>
                <w:sz w:val="22"/>
                <w:szCs w:val="22"/>
              </w:rPr>
              <w:t xml:space="preserve">CHAPTER 3</w:t>
            </w:r>
          </w:p>
          <w:p>
            <w:pPr>
              <w:spacing w:after="40" w:before="0"/>
            </w:pPr>
            <w:r>
              <w:rPr>
                <w:rFonts w:ascii="Arial" w:cs="Arial" w:eastAsia="Arial" w:hAnsi="Arial"/>
                <w:b/>
                <w:bCs/>
                <w:color w:val="FFFFFF"/>
                <w:sz w:val="38"/>
                <w:szCs w:val="38"/>
              </w:rPr>
              <w:t xml:space="preserve">Measures of Association and Causal Inference</w:t>
            </w:r>
          </w:p>
          <w:p>
            <w:pPr>
              <w:spacing w:after="0" w:before="0"/>
            </w:pPr>
            <w:r>
              <w:rPr>
                <w:rFonts w:ascii="Arial" w:cs="Arial" w:eastAsia="Arial" w:hAnsi="Arial"/>
                <w:i/>
                <w:iCs/>
                <w:color w:val="AABFD4"/>
                <w:sz w:val="22"/>
                <w:szCs w:val="22"/>
              </w:rPr>
              <w:t xml:space="preserve">Quantifying the Exposure-Outcome Relationship</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3.1 Relative Measures of Association</w:t>
      </w:r>
    </w:p>
    <w:p>
      <w:pPr>
        <w:pStyle w:val="Heading3"/>
        <w:spacing w:after="80" w:before="200"/>
      </w:pPr>
      <w:r>
        <w:rPr>
          <w:rFonts w:ascii="Arial" w:cs="Arial" w:eastAsia="Arial" w:hAnsi="Arial"/>
          <w:b/>
          <w:bCs/>
          <w:color w:val="1B3A5C"/>
          <w:sz w:val="24"/>
          <w:szCs w:val="24"/>
        </w:rPr>
        <w:t xml:space="preserve">3.1.1 Risk Ratio (Relative Risk)</w:t>
      </w:r>
    </w:p>
    <w:p>
      <w:pPr>
        <w:spacing w:after="120" w:before="80" w:line="320"/>
      </w:pPr>
      <w:r>
        <w:rPr>
          <w:rFonts w:ascii="Arial" w:cs="Arial" w:eastAsia="Arial" w:hAnsi="Arial"/>
          <w:color w:val="4A5568"/>
          <w:sz w:val="22"/>
          <w:szCs w:val="22"/>
        </w:rPr>
        <w:t xml:space="preserve">The risk ratio compares the risk (cumulative incidence) of an outcome among exposed persons to the risk among unexposed persons. It is the most intuitive measure of association for cohort studies and experimental designs.</w:t>
      </w:r>
    </w:p>
    <w:p>
      <w:pPr>
        <w:shd w:fill="F2F4F7" w:val="clear"/>
        <w:spacing w:after="160" w:before="160"/>
        <w:jc w:val="center"/>
      </w:pPr>
      <w:r>
        <w:rPr>
          <w:rFonts w:ascii="Courier New" w:cs="Courier New" w:eastAsia="Courier New" w:hAnsi="Courier New"/>
          <w:b/>
          <w:bCs/>
          <w:color w:val="1B3A5C"/>
          <w:sz w:val="22"/>
          <w:szCs w:val="22"/>
        </w:rPr>
        <w:t xml:space="preserve">RR = Cumulative Incidence (Exposed) / Cumulative Incidence (Unexposed)</w:t>
      </w:r>
    </w:p>
    <w:p>
      <w:pPr>
        <w:spacing w:after="120" w:before="80" w:line="320"/>
      </w:pPr>
      <w:r>
        <w:rPr>
          <w:rFonts w:ascii="Arial" w:cs="Arial" w:eastAsia="Arial" w:hAnsi="Arial"/>
          <w:color w:val="4A5568"/>
          <w:sz w:val="22"/>
          <w:szCs w:val="22"/>
        </w:rPr>
        <w:t xml:space="preserve">Interpretation: An RR of 1.0 indicates no association. RR &gt; 1.0 indicates increased risk in the exposed group (positive association). RR &lt; 1.0 indicates decreased risk in the exposed group (protective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RR Value</w:t>
            </w:r>
          </w:p>
        </w:tc>
        <w:tc>
          <w:tcPr>
            <w:tcW w:type="dxa" w:w="576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Interpretation</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RR = 1.0</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No association between exposure and outcome</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RR = 2.0</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Exposed group has twice the risk of unexposed group</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RR = 0.5</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Exposed group has half the risk of unexposed group (protective)</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RR = 5.0</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Strong positive association; exposed group 5× more likely to develop outcome</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RR = 10.0+</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Very strong association; implies major causal role for exposure</w:t>
            </w:r>
          </w:p>
        </w:tc>
      </w:tr>
    </w:tbl>
    <w:p>
      <w:pPr>
        <w:spacing w:after="60" w:before="0"/>
      </w:pPr>
      <w:r>
        <w:t xml:space="preserve"/>
      </w:r>
    </w:p>
    <w:p>
      <w:pPr>
        <w:pStyle w:val="Heading3"/>
        <w:spacing w:after="80" w:before="200"/>
      </w:pPr>
      <w:r>
        <w:rPr>
          <w:rFonts w:ascii="Arial" w:cs="Arial" w:eastAsia="Arial" w:hAnsi="Arial"/>
          <w:b/>
          <w:bCs/>
          <w:color w:val="1B3A5C"/>
          <w:sz w:val="24"/>
          <w:szCs w:val="24"/>
        </w:rPr>
        <w:t xml:space="preserve">3.1.2 Rate Ratio</w:t>
      </w:r>
    </w:p>
    <w:p>
      <w:pPr>
        <w:spacing w:after="120" w:before="80" w:line="320"/>
      </w:pPr>
      <w:r>
        <w:rPr>
          <w:rFonts w:ascii="Arial" w:cs="Arial" w:eastAsia="Arial" w:hAnsi="Arial"/>
          <w:color w:val="4A5568"/>
          <w:sz w:val="22"/>
          <w:szCs w:val="22"/>
        </w:rPr>
        <w:t xml:space="preserve">When incidence rates (rather than cumulative incidence) are the measure of disease frequency, the rate ratio (incidence rate ratio, IRR) is the analogous measure of association. The IRR compares the incidence rates in exposed vs. unexposed groups and is preferred when person-time denominators are available.</w:t>
      </w:r>
    </w:p>
    <w:p>
      <w:pPr>
        <w:shd w:fill="F2F4F7" w:val="clear"/>
        <w:spacing w:after="160" w:before="160"/>
        <w:jc w:val="center"/>
      </w:pPr>
      <w:r>
        <w:rPr>
          <w:rFonts w:ascii="Courier New" w:cs="Courier New" w:eastAsia="Courier New" w:hAnsi="Courier New"/>
          <w:b/>
          <w:bCs/>
          <w:color w:val="1B3A5C"/>
          <w:sz w:val="22"/>
          <w:szCs w:val="22"/>
        </w:rPr>
        <w:t xml:space="preserve">IRR = Incidence Rate (Exposed) / Incidence Rate (Unexposed)</w:t>
      </w:r>
    </w:p>
    <w:p>
      <w:pPr>
        <w:pStyle w:val="Heading3"/>
        <w:spacing w:after="80" w:before="200"/>
      </w:pPr>
      <w:r>
        <w:rPr>
          <w:rFonts w:ascii="Arial" w:cs="Arial" w:eastAsia="Arial" w:hAnsi="Arial"/>
          <w:b/>
          <w:bCs/>
          <w:color w:val="1B3A5C"/>
          <w:sz w:val="24"/>
          <w:szCs w:val="24"/>
        </w:rPr>
        <w:t xml:space="preserve">3.1.3 Odds Ratio</w:t>
      </w:r>
    </w:p>
    <w:p>
      <w:pPr>
        <w:spacing w:after="120" w:before="80" w:line="320"/>
      </w:pPr>
      <w:r>
        <w:rPr>
          <w:rFonts w:ascii="Arial" w:cs="Arial" w:eastAsia="Arial" w:hAnsi="Arial"/>
          <w:color w:val="4A5568"/>
          <w:sz w:val="22"/>
          <w:szCs w:val="22"/>
        </w:rPr>
        <w:t xml:space="preserve">The odds ratio compares the odds of exposure among cases to the odds of exposure among controls. It is the natural measure of association for case-control studies and logistic regression models.</w:t>
      </w:r>
    </w:p>
    <w:p>
      <w:pPr>
        <w:shd w:fill="F2F4F7" w:val="clear"/>
        <w:spacing w:after="160" w:before="160"/>
        <w:jc w:val="center"/>
      </w:pPr>
      <w:r>
        <w:rPr>
          <w:rFonts w:ascii="Courier New" w:cs="Courier New" w:eastAsia="Courier New" w:hAnsi="Courier New"/>
          <w:b/>
          <w:bCs/>
          <w:color w:val="1B3A5C"/>
          <w:sz w:val="22"/>
          <w:szCs w:val="22"/>
        </w:rPr>
        <w:t xml:space="preserve">OR = (a/c) / (b/d) = ad / bc</w:t>
      </w:r>
    </w:p>
    <w:p>
      <w:pPr>
        <w:spacing w:after="120" w:before="80" w:line="320"/>
      </w:pPr>
      <w:r>
        <w:rPr>
          <w:rFonts w:ascii="Arial" w:cs="Arial" w:eastAsia="Arial" w:hAnsi="Arial"/>
          <w:color w:val="4A5568"/>
          <w:sz w:val="22"/>
          <w:szCs w:val="22"/>
        </w:rPr>
        <w:t xml:space="preserve">Where in a 2×2 table: a = exposed cases, b = unexposed cases, c = exposed controls, d = unexposed controls.</w:t>
      </w:r>
    </w:p>
    <w:p>
      <w:pPr>
        <w:spacing w:after="120" w:before="80" w:line="320"/>
      </w:pPr>
      <w:r>
        <w:rPr>
          <w:rFonts w:ascii="Arial" w:cs="Arial" w:eastAsia="Arial" w:hAnsi="Arial"/>
          <w:color w:val="4A5568"/>
          <w:sz w:val="22"/>
          <w:szCs w:val="22"/>
        </w:rPr>
        <w:t xml:space="preserve">The OR approximates the RR when the outcome is rare (the rare disease assumption—prevalence &lt;10%). When the outcome is common, the OR will overestimate the RR if OR &gt; 1, and underestimate it if OR &lt;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5892A" w:sz="6"/>
              <w:bottom w:val="none"/>
              <w:right w:val="none"/>
            </w:tcBorders>
            <w:shd w:fill="FFF8E7" w:val="clear"/>
            <w:tcMar>
              <w:top w:type="dxa" w:w="120"/>
              <w:left w:type="dxa" w:w="280"/>
              <w:bottom w:type="dxa" w:w="40"/>
              <w:right w:type="dxa" w:w="200"/>
            </w:tcMar>
          </w:tcPr>
          <w:p>
            <w:r>
              <w:rPr>
                <w:rFonts w:ascii="Arial" w:cs="Arial" w:eastAsia="Arial" w:hAnsi="Arial"/>
                <w:b/>
                <w:bCs/>
                <w:color w:val="B5892A"/>
                <w:sz w:val="18"/>
                <w:szCs w:val="18"/>
              </w:rPr>
              <w:t xml:space="preserve">◆ CLINICAL PEARL</w:t>
            </w:r>
          </w:p>
        </w:tc>
      </w:tr>
      <w:tr>
        <w:tc>
          <w:tcPr>
            <w:tcW w:type="dxa" w:w="9360"/>
            <w:tcBorders>
              <w:top w:val="none"/>
              <w:left w:val="single" w:color="B5892A" w:sz="6"/>
              <w:bottom w:val="none"/>
              <w:right w:val="none"/>
            </w:tcBorders>
            <w:shd w:fill="FFF8E7"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For case-control studies of common conditions (hypertension, diabetes), the OR is not a good approximation of the RR. Adjusted prevalence ratios estimated via log-binomial or modified Poisson regression are more interpretable. This matters in rural health research where chronic disease case-control studies are common.</w:t>
            </w:r>
          </w:p>
        </w:tc>
      </w:tr>
    </w:tbl>
    <w:p>
      <w:pPr>
        <w:pStyle w:val="Heading3"/>
        <w:spacing w:after="80" w:before="200"/>
      </w:pPr>
      <w:r>
        <w:rPr>
          <w:rFonts w:ascii="Arial" w:cs="Arial" w:eastAsia="Arial" w:hAnsi="Arial"/>
          <w:b/>
          <w:bCs/>
          <w:color w:val="1B3A5C"/>
          <w:sz w:val="24"/>
          <w:szCs w:val="24"/>
        </w:rPr>
        <w:t xml:space="preserve">3.1.4 Prevalence Ratio</w:t>
      </w:r>
    </w:p>
    <w:p>
      <w:pPr>
        <w:spacing w:after="120" w:before="80" w:line="320"/>
      </w:pPr>
      <w:r>
        <w:rPr>
          <w:rFonts w:ascii="Arial" w:cs="Arial" w:eastAsia="Arial" w:hAnsi="Arial"/>
          <w:color w:val="4A5568"/>
          <w:sz w:val="22"/>
          <w:szCs w:val="22"/>
        </w:rPr>
        <w:t xml:space="preserve">In cross-sectional studies, the prevalence ratio (PR) is the ratio of prevalence in exposed vs. unexposed groups. It is analogous to the risk ratio but uses prevalence rather than incidence as the measure of disease frequency.</w:t>
      </w:r>
    </w:p>
    <w:p>
      <w:pPr>
        <w:shd w:fill="F2F4F7" w:val="clear"/>
        <w:spacing w:after="160" w:before="160"/>
        <w:jc w:val="center"/>
      </w:pPr>
      <w:r>
        <w:rPr>
          <w:rFonts w:ascii="Courier New" w:cs="Courier New" w:eastAsia="Courier New" w:hAnsi="Courier New"/>
          <w:b/>
          <w:bCs/>
          <w:color w:val="1B3A5C"/>
          <w:sz w:val="22"/>
          <w:szCs w:val="22"/>
        </w:rPr>
        <w:t xml:space="preserve">PR = Prevalence (Exposed) / Prevalence (Unexposed)</w:t>
      </w:r>
    </w:p>
    <w:p>
      <w:pPr>
        <w:pStyle w:val="Heading2"/>
        <w:spacing w:after="120" w:before="280"/>
      </w:pPr>
      <w:r>
        <w:rPr>
          <w:rFonts w:ascii="Arial" w:cs="Arial" w:eastAsia="Arial" w:hAnsi="Arial"/>
          <w:b/>
          <w:bCs/>
          <w:color w:val="2E7D6B"/>
          <w:sz w:val="28"/>
          <w:szCs w:val="28"/>
        </w:rPr>
        <w:t xml:space="preserve">3.2 Absolute Measures of Association</w:t>
      </w:r>
    </w:p>
    <w:p>
      <w:pPr>
        <w:pStyle w:val="Heading3"/>
        <w:spacing w:after="80" w:before="200"/>
      </w:pPr>
      <w:r>
        <w:rPr>
          <w:rFonts w:ascii="Arial" w:cs="Arial" w:eastAsia="Arial" w:hAnsi="Arial"/>
          <w:b/>
          <w:bCs/>
          <w:color w:val="1B3A5C"/>
          <w:sz w:val="24"/>
          <w:szCs w:val="24"/>
        </w:rPr>
        <w:t xml:space="preserve">3.2.1 Risk Difference (Attributable Risk)</w:t>
      </w:r>
    </w:p>
    <w:p>
      <w:pPr>
        <w:spacing w:after="120" w:before="80" w:line="320"/>
      </w:pPr>
      <w:r>
        <w:rPr>
          <w:rFonts w:ascii="Arial" w:cs="Arial" w:eastAsia="Arial" w:hAnsi="Arial"/>
          <w:color w:val="4A5568"/>
          <w:sz w:val="22"/>
          <w:szCs w:val="22"/>
        </w:rPr>
        <w:t xml:space="preserve">While relative measures tell us how much more likely an exposed person is to develop disease, absolute measures tell us how many more cases of disease occur per 100 (or 1,000) exposed persons. The risk difference—also called attributable risk or excess risk—is the absolute difference in disease frequency between exposed and unexposed groups.</w:t>
      </w:r>
    </w:p>
    <w:p>
      <w:pPr>
        <w:shd w:fill="F2F4F7" w:val="clear"/>
        <w:spacing w:after="160" w:before="160"/>
        <w:jc w:val="center"/>
      </w:pPr>
      <w:r>
        <w:rPr>
          <w:rFonts w:ascii="Courier New" w:cs="Courier New" w:eastAsia="Courier New" w:hAnsi="Courier New"/>
          <w:b/>
          <w:bCs/>
          <w:color w:val="1B3A5C"/>
          <w:sz w:val="22"/>
          <w:szCs w:val="22"/>
        </w:rPr>
        <w:t xml:space="preserve">RD = Risk (Exposed) − Risk (Unexposed)</w:t>
      </w:r>
    </w:p>
    <w:p>
      <w:pPr>
        <w:spacing w:after="120" w:before="80" w:line="320"/>
      </w:pPr>
      <w:r>
        <w:rPr>
          <w:rFonts w:ascii="Arial" w:cs="Arial" w:eastAsia="Arial" w:hAnsi="Arial"/>
          <w:color w:val="4A5568"/>
          <w:sz w:val="22"/>
          <w:szCs w:val="22"/>
        </w:rPr>
        <w:t xml:space="preserve">The risk difference is more informative than the relative risk for public health decision-making because it reflects the absolute burden of disease attributable to the exposure. A risk difference of 5 per 1,000 has very different implications for intervention planning depending on whether it arises from a common exposure (affecting 80% of the population) or a rare one (affecting 0.1%).</w:t>
      </w:r>
    </w:p>
    <w:p>
      <w:pPr>
        <w:pStyle w:val="Heading3"/>
        <w:spacing w:after="80" w:before="200"/>
      </w:pPr>
      <w:r>
        <w:rPr>
          <w:rFonts w:ascii="Arial" w:cs="Arial" w:eastAsia="Arial" w:hAnsi="Arial"/>
          <w:b/>
          <w:bCs/>
          <w:color w:val="1B3A5C"/>
          <w:sz w:val="24"/>
          <w:szCs w:val="24"/>
        </w:rPr>
        <w:t xml:space="preserve">3.2.2 Attributable Fraction and Population Attributable Fraction</w:t>
      </w:r>
    </w:p>
    <w:p>
      <w:pPr>
        <w:spacing w:after="120" w:before="80" w:line="320"/>
      </w:pPr>
      <w:r>
        <w:rPr>
          <w:rFonts w:ascii="Arial" w:cs="Arial" w:eastAsia="Arial" w:hAnsi="Arial"/>
          <w:color w:val="4A5568"/>
          <w:sz w:val="22"/>
          <w:szCs w:val="22"/>
        </w:rPr>
        <w:t xml:space="preserve">The attributable fraction (AF) in the exposed group—sometimes called the etiologic fraction—estimates the proportion of disease in exposed persons that is attributable to the exposure, assuming causality.</w:t>
      </w:r>
    </w:p>
    <w:p>
      <w:pPr>
        <w:shd w:fill="F2F4F7" w:val="clear"/>
        <w:spacing w:after="160" w:before="160"/>
        <w:jc w:val="center"/>
      </w:pPr>
      <w:r>
        <w:rPr>
          <w:rFonts w:ascii="Courier New" w:cs="Courier New" w:eastAsia="Courier New" w:hAnsi="Courier New"/>
          <w:b/>
          <w:bCs/>
          <w:color w:val="1B3A5C"/>
          <w:sz w:val="22"/>
          <w:szCs w:val="22"/>
        </w:rPr>
        <w:t xml:space="preserve">AF (Exposed) = (Risk_exposed − Risk_unexposed) / Risk_exposed = (RR − 1) / RR</w:t>
      </w:r>
    </w:p>
    <w:p>
      <w:pPr>
        <w:spacing w:after="120" w:before="80" w:line="320"/>
      </w:pPr>
      <w:r>
        <w:rPr>
          <w:rFonts w:ascii="Arial" w:cs="Arial" w:eastAsia="Arial" w:hAnsi="Arial"/>
          <w:color w:val="4A5568"/>
          <w:sz w:val="22"/>
          <w:szCs w:val="22"/>
        </w:rPr>
        <w:t xml:space="preserve">The population attributable fraction (PAF) estimates the proportion of all disease in the total population (exposed + unexposed) that could be prevented if the exposure were eliminated entirely.</w:t>
      </w:r>
    </w:p>
    <w:p>
      <w:pPr>
        <w:shd w:fill="F2F4F7" w:val="clear"/>
        <w:spacing w:after="160" w:before="160"/>
        <w:jc w:val="center"/>
      </w:pPr>
      <w:r>
        <w:rPr>
          <w:rFonts w:ascii="Courier New" w:cs="Courier New" w:eastAsia="Courier New" w:hAnsi="Courier New"/>
          <w:b/>
          <w:bCs/>
          <w:color w:val="1B3A5C"/>
          <w:sz w:val="22"/>
          <w:szCs w:val="22"/>
        </w:rPr>
        <w:t xml:space="preserve">PAF = (Risk_total − Risk_unexposed) / Risk_total = p(RR − 1) / [1 + p(RR − 1)]</w:t>
      </w:r>
    </w:p>
    <w:p>
      <w:pPr>
        <w:spacing w:after="120" w:before="80" w:line="320"/>
      </w:pPr>
      <w:r>
        <w:rPr>
          <w:rFonts w:ascii="Arial" w:cs="Arial" w:eastAsia="Arial" w:hAnsi="Arial"/>
          <w:color w:val="4A5568"/>
          <w:sz w:val="22"/>
          <w:szCs w:val="22"/>
        </w:rPr>
        <w:t xml:space="preserve">Where p is the prevalence of exposure in the population. PAF is the key metric for assessing the public health impact of potential interventions—it tells us how much disease would disappear if we eliminated the exposure.</w:t>
      </w:r>
    </w:p>
    <w:p>
      <w:pPr>
        <w:pStyle w:val="Heading2"/>
        <w:spacing w:after="120" w:before="280"/>
      </w:pPr>
      <w:r>
        <w:rPr>
          <w:rFonts w:ascii="Arial" w:cs="Arial" w:eastAsia="Arial" w:hAnsi="Arial"/>
          <w:b/>
          <w:bCs/>
          <w:color w:val="2E7D6B"/>
          <w:sz w:val="28"/>
          <w:szCs w:val="28"/>
        </w:rPr>
        <w:t xml:space="preserve">3.3 Number Needed to Treat and Number Needed to Harm</w:t>
      </w:r>
    </w:p>
    <w:p>
      <w:pPr>
        <w:spacing w:after="120" w:before="80" w:line="320"/>
      </w:pPr>
      <w:r>
        <w:rPr>
          <w:rFonts w:ascii="Arial" w:cs="Arial" w:eastAsia="Arial" w:hAnsi="Arial"/>
          <w:color w:val="4A5568"/>
          <w:sz w:val="22"/>
          <w:szCs w:val="22"/>
        </w:rPr>
        <w:t xml:space="preserve">In clinical and public health practice, the absolute risk difference is most intuitively expressed as the number needed to treat (NNT)—the number of persons who must receive an intervention for one additional person to benefit—or the number needed to harm (NNH).</w:t>
      </w:r>
    </w:p>
    <w:p>
      <w:pPr>
        <w:shd w:fill="F2F4F7" w:val="clear"/>
        <w:spacing w:after="160" w:before="160"/>
        <w:jc w:val="center"/>
      </w:pPr>
      <w:r>
        <w:rPr>
          <w:rFonts w:ascii="Courier New" w:cs="Courier New" w:eastAsia="Courier New" w:hAnsi="Courier New"/>
          <w:b/>
          <w:bCs/>
          <w:color w:val="1B3A5C"/>
          <w:sz w:val="22"/>
          <w:szCs w:val="22"/>
        </w:rPr>
        <w:t xml:space="preserve">NNT = 1 / |Risk Difference| = 1 / |ARD|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63D2F" w:sz="6"/>
              <w:bottom w:val="none"/>
              <w:right w:val="none"/>
            </w:tcBorders>
            <w:shd w:fill="FDF0EE" w:val="clear"/>
            <w:tcMar>
              <w:top w:type="dxa" w:w="120"/>
              <w:left w:type="dxa" w:w="280"/>
              <w:bottom w:type="dxa" w:w="40"/>
              <w:right w:type="dxa" w:w="200"/>
            </w:tcMar>
          </w:tcPr>
          <w:p>
            <w:r>
              <w:rPr>
                <w:rFonts w:ascii="Arial" w:cs="Arial" w:eastAsia="Arial" w:hAnsi="Arial"/>
                <w:b/>
                <w:bCs/>
                <w:color w:val="A63D2F"/>
                <w:sz w:val="18"/>
                <w:szCs w:val="18"/>
              </w:rPr>
              <w:t xml:space="preserve">⬛ RURAL CONTEXT</w:t>
            </w:r>
          </w:p>
        </w:tc>
      </w:tr>
      <w:tr>
        <w:tc>
          <w:tcPr>
            <w:tcW w:type="dxa" w:w="9360"/>
            <w:tcBorders>
              <w:top w:val="none"/>
              <w:left w:val="single" w:color="A63D2F" w:sz="6"/>
              <w:bottom w:val="none"/>
              <w:right w:val="none"/>
            </w:tcBorders>
            <w:shd w:fill="FDF0EE"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In rural settings with scarce resources, NNT is a critical metric for prioritizing preventive interventions. A screening program with NNT = 500 to prevent one death requires treating 499 persons who would not have benefited—a resource calculation that directly affects whether a Critical Access Hospital can sustain the program.</w:t>
            </w:r>
          </w:p>
        </w:tc>
      </w:tr>
    </w:tbl>
    <w:p>
      <w:pPr>
        <w:pStyle w:val="Heading2"/>
        <w:spacing w:after="120" w:before="280"/>
      </w:pPr>
      <w:r>
        <w:rPr>
          <w:rFonts w:ascii="Arial" w:cs="Arial" w:eastAsia="Arial" w:hAnsi="Arial"/>
          <w:b/>
          <w:bCs/>
          <w:color w:val="2E7D6B"/>
          <w:sz w:val="28"/>
          <w:szCs w:val="28"/>
        </w:rPr>
        <w:t xml:space="preserve">3.4 Causal Inference in Epidemiology</w:t>
      </w:r>
    </w:p>
    <w:p>
      <w:pPr>
        <w:pStyle w:val="Heading3"/>
        <w:spacing w:after="80" w:before="200"/>
      </w:pPr>
      <w:r>
        <w:rPr>
          <w:rFonts w:ascii="Arial" w:cs="Arial" w:eastAsia="Arial" w:hAnsi="Arial"/>
          <w:b/>
          <w:bCs/>
          <w:color w:val="1B3A5C"/>
          <w:sz w:val="24"/>
          <w:szCs w:val="24"/>
        </w:rPr>
        <w:t xml:space="preserve">3.4.1 Confounding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6"/>
              <w:left w:val="single" w:color="2E7D6B" w:sz="6"/>
              <w:bottom w:val="single" w:color="2E7D6B" w:sz="6"/>
              <w:right w:val="single" w:color="2E7D6B" w:sz="6"/>
            </w:tcBorders>
            <w:shd w:fill="EEF7F5" w:val="clear"/>
            <w:tcMar>
              <w:top w:type="dxa" w:w="120"/>
              <w:left w:type="dxa" w:w="240"/>
              <w:bottom w:type="dxa" w:w="120"/>
              <w:right w:type="dxa" w:w="240"/>
            </w:tcMar>
          </w:tcPr>
          <w:p>
            <w:pPr>
              <w:spacing w:after="40" w:before="0"/>
            </w:pPr>
            <w:r>
              <w:rPr>
                <w:rFonts w:ascii="Arial" w:cs="Arial" w:eastAsia="Arial" w:hAnsi="Arial"/>
                <w:b/>
                <w:bCs/>
                <w:color w:val="2E7D6B"/>
                <w:sz w:val="22"/>
                <w:szCs w:val="22"/>
              </w:rPr>
              <w:t xml:space="preserve">Confounding</w:t>
            </w:r>
          </w:p>
          <w:p>
            <w:pPr>
              <w:spacing w:after="0" w:before="0" w:line="280"/>
            </w:pPr>
            <w:r>
              <w:rPr>
                <w:rFonts w:ascii="Arial" w:cs="Arial" w:eastAsia="Arial" w:hAnsi="Arial"/>
                <w:color w:val="4A5568"/>
                <w:sz w:val="20"/>
                <w:szCs w:val="20"/>
              </w:rPr>
              <w:t xml:space="preserve">Distortion of the apparent association between an exposure and an outcome by a third variable (confounder) that is associated with both the exposure and the outcome independently, and is not an intermediate step in the causal pathway between exposure and outcome.</w:t>
            </w:r>
          </w:p>
        </w:tc>
      </w:tr>
    </w:tbl>
    <w:p>
      <w:pPr>
        <w:spacing w:after="120" w:before="80" w:line="320"/>
      </w:pPr>
      <w:r>
        <w:rPr>
          <w:rFonts w:ascii="Arial" w:cs="Arial" w:eastAsia="Arial" w:hAnsi="Arial"/>
          <w:color w:val="4A5568"/>
          <w:sz w:val="22"/>
          <w:szCs w:val="22"/>
        </w:rPr>
        <w:t xml:space="preserve">Classic example: Studies show that coffee drinking is associated with lung cancer. Smokers drink more coffee than non-smokers. Smoking causes lung cancer. Smoking is a confounder of the coffee-lung cancer association. After adjusting for smoking, the coffee-lung cancer association disappears.</w:t>
      </w:r>
    </w:p>
    <w:p>
      <w:pPr>
        <w:spacing w:after="120" w:before="80" w:line="320"/>
      </w:pPr>
      <w:r>
        <w:rPr>
          <w:rFonts w:ascii="Arial" w:cs="Arial" w:eastAsia="Arial" w:hAnsi="Arial"/>
          <w:color w:val="4A5568"/>
          <w:sz w:val="22"/>
          <w:szCs w:val="22"/>
        </w:rPr>
        <w:t xml:space="preserve">Confounding can be controlled in study design (restriction, matching, randomization) or in analysis (stratification, multivariable adjustment, propensity scores).</w:t>
      </w:r>
    </w:p>
    <w:p>
      <w:pPr>
        <w:pStyle w:val="Heading3"/>
        <w:spacing w:after="80" w:before="200"/>
      </w:pPr>
      <w:r>
        <w:rPr>
          <w:rFonts w:ascii="Arial" w:cs="Arial" w:eastAsia="Arial" w:hAnsi="Arial"/>
          <w:b/>
          <w:bCs/>
          <w:color w:val="1B3A5C"/>
          <w:sz w:val="24"/>
          <w:szCs w:val="24"/>
        </w:rPr>
        <w:t xml:space="preserve">3.4.2 The Bradford Hill Criteria</w:t>
      </w:r>
    </w:p>
    <w:p>
      <w:pPr>
        <w:spacing w:after="120" w:before="80" w:line="320"/>
      </w:pPr>
      <w:r>
        <w:rPr>
          <w:rFonts w:ascii="Arial" w:cs="Arial" w:eastAsia="Arial" w:hAnsi="Arial"/>
          <w:color w:val="4A5568"/>
          <w:sz w:val="22"/>
          <w:szCs w:val="22"/>
        </w:rPr>
        <w:t xml:space="preserve">Austin Bradford Hill articulated nine viewpoints for evaluating causal relationships from observational data. These are not a checklist to be satisfied mechanically, but conceptual tools for structured causal reasoning:</w:t>
      </w:r>
    </w:p>
    <w:p>
      <w:pPr>
        <w:pStyle w:val="ListParagraph"/>
        <w:numPr>
          <w:ilvl w:val="0"/>
          <w:numId w:val="3"/>
        </w:numPr>
        <w:spacing w:after="40" w:before="40" w:line="300"/>
      </w:pPr>
      <w:r>
        <w:rPr>
          <w:rFonts w:ascii="Arial" w:cs="Arial" w:eastAsia="Arial" w:hAnsi="Arial"/>
          <w:color w:val="4A5568"/>
          <w:sz w:val="22"/>
          <w:szCs w:val="22"/>
        </w:rPr>
        <w:t xml:space="preserve">Strength: Stronger associations (higher RR/OR) are less likely to be explained by confounding alone. RR &gt; 5 warrants high causal confidence if well-designed.</w:t>
      </w:r>
    </w:p>
    <w:p>
      <w:pPr>
        <w:pStyle w:val="ListParagraph"/>
        <w:numPr>
          <w:ilvl w:val="0"/>
          <w:numId w:val="3"/>
        </w:numPr>
        <w:spacing w:after="40" w:before="40" w:line="300"/>
      </w:pPr>
      <w:r>
        <w:rPr>
          <w:rFonts w:ascii="Arial" w:cs="Arial" w:eastAsia="Arial" w:hAnsi="Arial"/>
          <w:color w:val="4A5568"/>
          <w:sz w:val="22"/>
          <w:szCs w:val="22"/>
        </w:rPr>
        <w:t xml:space="preserve">Consistency: Replication across different populations, study designs, and investigative teams strengthens causal inference.</w:t>
      </w:r>
    </w:p>
    <w:p>
      <w:pPr>
        <w:pStyle w:val="ListParagraph"/>
        <w:numPr>
          <w:ilvl w:val="0"/>
          <w:numId w:val="3"/>
        </w:numPr>
        <w:spacing w:after="40" w:before="40" w:line="300"/>
      </w:pPr>
      <w:r>
        <w:rPr>
          <w:rFonts w:ascii="Arial" w:cs="Arial" w:eastAsia="Arial" w:hAnsi="Arial"/>
          <w:color w:val="4A5568"/>
          <w:sz w:val="22"/>
          <w:szCs w:val="22"/>
        </w:rPr>
        <w:t xml:space="preserve">Specificity: When a specific exposure produces a specific outcome in a specific population, causality is more plausible (though many exposures have multiple effects).</w:t>
      </w:r>
    </w:p>
    <w:p>
      <w:pPr>
        <w:pStyle w:val="ListParagraph"/>
        <w:numPr>
          <w:ilvl w:val="0"/>
          <w:numId w:val="3"/>
        </w:numPr>
        <w:spacing w:after="40" w:before="40" w:line="300"/>
      </w:pPr>
      <w:r>
        <w:rPr>
          <w:rFonts w:ascii="Arial" w:cs="Arial" w:eastAsia="Arial" w:hAnsi="Arial"/>
          <w:color w:val="4A5568"/>
          <w:sz w:val="22"/>
          <w:szCs w:val="22"/>
        </w:rPr>
        <w:t xml:space="preserve">Temporality: Cause must precede effect. This is the only Hill criterion that is absolutely required for causation.</w:t>
      </w:r>
    </w:p>
    <w:p>
      <w:pPr>
        <w:pStyle w:val="ListParagraph"/>
        <w:numPr>
          <w:ilvl w:val="0"/>
          <w:numId w:val="3"/>
        </w:numPr>
        <w:spacing w:after="40" w:before="40" w:line="300"/>
      </w:pPr>
      <w:r>
        <w:rPr>
          <w:rFonts w:ascii="Arial" w:cs="Arial" w:eastAsia="Arial" w:hAnsi="Arial"/>
          <w:color w:val="4A5568"/>
          <w:sz w:val="22"/>
          <w:szCs w:val="22"/>
        </w:rPr>
        <w:t xml:space="preserve">Biological gradient: A dose-response relationship (more exposure → more disease) supports causality.</w:t>
      </w:r>
    </w:p>
    <w:p>
      <w:pPr>
        <w:pStyle w:val="ListParagraph"/>
        <w:numPr>
          <w:ilvl w:val="0"/>
          <w:numId w:val="3"/>
        </w:numPr>
        <w:spacing w:after="40" w:before="40" w:line="300"/>
      </w:pPr>
      <w:r>
        <w:rPr>
          <w:rFonts w:ascii="Arial" w:cs="Arial" w:eastAsia="Arial" w:hAnsi="Arial"/>
          <w:color w:val="4A5568"/>
          <w:sz w:val="22"/>
          <w:szCs w:val="22"/>
        </w:rPr>
        <w:t xml:space="preserve">Plausibility: The association should be consistent with known biological mechanisms (though absence of known mechanism does not rule out causation).</w:t>
      </w:r>
    </w:p>
    <w:p>
      <w:pPr>
        <w:pStyle w:val="ListParagraph"/>
        <w:numPr>
          <w:ilvl w:val="0"/>
          <w:numId w:val="3"/>
        </w:numPr>
        <w:spacing w:after="40" w:before="40" w:line="300"/>
      </w:pPr>
      <w:r>
        <w:rPr>
          <w:rFonts w:ascii="Arial" w:cs="Arial" w:eastAsia="Arial" w:hAnsi="Arial"/>
          <w:color w:val="4A5568"/>
          <w:sz w:val="22"/>
          <w:szCs w:val="22"/>
        </w:rPr>
        <w:t xml:space="preserve">Coherence: The association should not seriously conflict with the natural history and biology of the disease.</w:t>
      </w:r>
    </w:p>
    <w:p>
      <w:pPr>
        <w:pStyle w:val="ListParagraph"/>
        <w:numPr>
          <w:ilvl w:val="0"/>
          <w:numId w:val="3"/>
        </w:numPr>
        <w:spacing w:after="40" w:before="40" w:line="300"/>
      </w:pPr>
      <w:r>
        <w:rPr>
          <w:rFonts w:ascii="Arial" w:cs="Arial" w:eastAsia="Arial" w:hAnsi="Arial"/>
          <w:color w:val="4A5568"/>
          <w:sz w:val="22"/>
          <w:szCs w:val="22"/>
        </w:rPr>
        <w:t xml:space="preserve">Experiment: Removal of the putative cause reduces disease (experimental evidence is strongest, but often unavailable in humans for ethical reasons).</w:t>
      </w:r>
    </w:p>
    <w:p>
      <w:pPr>
        <w:pStyle w:val="ListParagraph"/>
        <w:numPr>
          <w:ilvl w:val="0"/>
          <w:numId w:val="3"/>
        </w:numPr>
        <w:spacing w:after="40" w:before="40" w:line="300"/>
      </w:pPr>
      <w:r>
        <w:rPr>
          <w:rFonts w:ascii="Arial" w:cs="Arial" w:eastAsia="Arial" w:hAnsi="Arial"/>
          <w:color w:val="4A5568"/>
          <w:sz w:val="22"/>
          <w:szCs w:val="22"/>
        </w:rPr>
        <w:t xml:space="preserve">Analogy: Similar exposures causing similar diseases increases plausibility.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5892A" w:sz="6"/>
              <w:bottom w:val="none"/>
              <w:right w:val="none"/>
            </w:tcBorders>
            <w:shd w:fill="FFF8E7" w:val="clear"/>
            <w:tcMar>
              <w:top w:type="dxa" w:w="120"/>
              <w:left w:type="dxa" w:w="280"/>
              <w:bottom w:type="dxa" w:w="40"/>
              <w:right w:type="dxa" w:w="200"/>
            </w:tcMar>
          </w:tcPr>
          <w:p>
            <w:r>
              <w:rPr>
                <w:rFonts w:ascii="Arial" w:cs="Arial" w:eastAsia="Arial" w:hAnsi="Arial"/>
                <w:b/>
                <w:bCs/>
                <w:color w:val="B5892A"/>
                <w:sz w:val="18"/>
                <w:szCs w:val="18"/>
              </w:rPr>
              <w:t xml:space="preserve">◆ CLINICAL PEARL</w:t>
            </w:r>
          </w:p>
        </w:tc>
      </w:tr>
      <w:tr>
        <w:tc>
          <w:tcPr>
            <w:tcW w:type="dxa" w:w="9360"/>
            <w:tcBorders>
              <w:top w:val="none"/>
              <w:left w:val="single" w:color="B5892A" w:sz="6"/>
              <w:bottom w:val="none"/>
              <w:right w:val="none"/>
            </w:tcBorders>
            <w:shd w:fill="FFF8E7"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In rural outbreak investigations, rapid causal inference is necessary before etiologic confirmation. Applying Hill's criteria informally—strong association, plausible mechanism, dose-response, temporal precedence—allows the rural epidemiologist to act appropriately while laboratory confirmation is pending.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80"/>
              <w:left w:type="dxa" w:w="360"/>
              <w:bottom w:type="dxa" w:w="280"/>
              <w:right w:type="dxa" w:w="360"/>
            </w:tcMar>
          </w:tcPr>
          <w:p>
            <w:pPr>
              <w:spacing w:after="60" w:before="0"/>
            </w:pPr>
            <w:r>
              <w:rPr>
                <w:rFonts w:ascii="Arial" w:cs="Arial" w:eastAsia="Arial" w:hAnsi="Arial"/>
                <w:b/>
                <w:bCs/>
                <w:color w:val="B5892A"/>
                <w:sz w:val="22"/>
                <w:szCs w:val="22"/>
              </w:rPr>
              <w:t xml:space="preserve">CHAPTER 4</w:t>
            </w:r>
          </w:p>
          <w:p>
            <w:pPr>
              <w:spacing w:after="40" w:before="0"/>
            </w:pPr>
            <w:r>
              <w:rPr>
                <w:rFonts w:ascii="Arial" w:cs="Arial" w:eastAsia="Arial" w:hAnsi="Arial"/>
                <w:b/>
                <w:bCs/>
                <w:color w:val="FFFFFF"/>
                <w:sz w:val="38"/>
                <w:szCs w:val="38"/>
              </w:rPr>
              <w:t xml:space="preserve">Descriptive Epidemiology</w:t>
            </w:r>
          </w:p>
          <w:p>
            <w:pPr>
              <w:spacing w:after="0" w:before="0"/>
            </w:pPr>
            <w:r>
              <w:rPr>
                <w:rFonts w:ascii="Arial" w:cs="Arial" w:eastAsia="Arial" w:hAnsi="Arial"/>
                <w:i/>
                <w:iCs/>
                <w:color w:val="AABFD4"/>
                <w:sz w:val="22"/>
                <w:szCs w:val="22"/>
              </w:rPr>
              <w:t xml:space="preserve">Person, Place, and Time</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4.1 The Triad of Descriptive Epidemiology</w:t>
      </w:r>
    </w:p>
    <w:p>
      <w:pPr>
        <w:spacing w:after="120" w:before="80" w:line="320"/>
      </w:pPr>
      <w:r>
        <w:rPr>
          <w:rFonts w:ascii="Arial" w:cs="Arial" w:eastAsia="Arial" w:hAnsi="Arial"/>
          <w:color w:val="4A5568"/>
          <w:sz w:val="22"/>
          <w:szCs w:val="22"/>
        </w:rPr>
        <w:t xml:space="preserve">Descriptive epidemiology characterizes health events by three fundamental dimensions: the characteristics of affected persons, the geographic distribution of events, and the temporal pattern of occurrence. These dimensions—person, place, and time—define the epidemiological portrait of a health event and generate hypotheses about its determinants.</w:t>
      </w:r>
    </w:p>
    <w:p>
      <w:pPr>
        <w:pStyle w:val="Heading2"/>
        <w:spacing w:after="120" w:before="280"/>
      </w:pPr>
      <w:r>
        <w:rPr>
          <w:rFonts w:ascii="Arial" w:cs="Arial" w:eastAsia="Arial" w:hAnsi="Arial"/>
          <w:b/>
          <w:bCs/>
          <w:color w:val="2E7D6B"/>
          <w:sz w:val="28"/>
          <w:szCs w:val="28"/>
        </w:rPr>
        <w:t xml:space="preserve">4.2 Person: Who Gets the Disease?</w:t>
      </w:r>
    </w:p>
    <w:p>
      <w:pPr>
        <w:pStyle w:val="Heading3"/>
        <w:spacing w:after="80" w:before="200"/>
      </w:pPr>
      <w:r>
        <w:rPr>
          <w:rFonts w:ascii="Arial" w:cs="Arial" w:eastAsia="Arial" w:hAnsi="Arial"/>
          <w:b/>
          <w:bCs/>
          <w:color w:val="1B3A5C"/>
          <w:sz w:val="24"/>
          <w:szCs w:val="24"/>
        </w:rPr>
        <w:t xml:space="preserve">4.2.1 Age</w:t>
      </w:r>
    </w:p>
    <w:p>
      <w:pPr>
        <w:spacing w:after="120" w:before="80" w:line="320"/>
      </w:pPr>
      <w:r>
        <w:rPr>
          <w:rFonts w:ascii="Arial" w:cs="Arial" w:eastAsia="Arial" w:hAnsi="Arial"/>
          <w:color w:val="4A5568"/>
          <w:sz w:val="22"/>
          <w:szCs w:val="22"/>
        </w:rPr>
        <w:t xml:space="preserve">Age is the strongest and most consistent predictor of disease frequency in most epidemiological studies. Age-specific rates allow detection of patterns obscured in crude rates: bimodal age distributions (diseases striking both the very young and the elderly), peak incidence in working-age adults (occupational disease), or sharp cutoffs at specific developmental stages.</w:t>
      </w:r>
    </w:p>
    <w:p>
      <w:pPr>
        <w:spacing w:after="120" w:before="80" w:line="320"/>
      </w:pPr>
      <w:r>
        <w:rPr>
          <w:rFonts w:ascii="Arial" w:cs="Arial" w:eastAsia="Arial" w:hAnsi="Arial"/>
          <w:color w:val="4A5568"/>
          <w:sz w:val="22"/>
          <w:szCs w:val="22"/>
        </w:rPr>
        <w:t xml:space="preserve">In rural populations, the age distribution is older than the national average and skewed toward the elderly—reflecting both younger out-migration and older in-migration, as well as higher fertility rates in earlier generations. Age-stratified analysis is essential in rural epidemiology.</w:t>
      </w:r>
    </w:p>
    <w:p>
      <w:pPr>
        <w:pStyle w:val="Heading3"/>
        <w:spacing w:after="80" w:before="200"/>
      </w:pPr>
      <w:r>
        <w:rPr>
          <w:rFonts w:ascii="Arial" w:cs="Arial" w:eastAsia="Arial" w:hAnsi="Arial"/>
          <w:b/>
          <w:bCs/>
          <w:color w:val="1B3A5C"/>
          <w:sz w:val="24"/>
          <w:szCs w:val="24"/>
        </w:rPr>
        <w:t xml:space="preserve">4.2.2 Sex and Gender</w:t>
      </w:r>
    </w:p>
    <w:p>
      <w:pPr>
        <w:spacing w:after="120" w:before="80" w:line="320"/>
      </w:pPr>
      <w:r>
        <w:rPr>
          <w:rFonts w:ascii="Arial" w:cs="Arial" w:eastAsia="Arial" w:hAnsi="Arial"/>
          <w:color w:val="4A5568"/>
          <w:sz w:val="22"/>
          <w:szCs w:val="22"/>
        </w:rPr>
        <w:t xml:space="preserve">Biological sex affects disease frequency through hormonal mechanisms, immune function, and occupational exposure patterns. Social gender affects disease through risk behavior patterns, healthcare-seeking behavior, and social roles. In rural communities, gender differences in occupational exposures (agriculture, mining, logging) drive major disparities in injury epidemiology.</w:t>
      </w:r>
    </w:p>
    <w:p>
      <w:pPr>
        <w:pStyle w:val="Heading3"/>
        <w:spacing w:after="80" w:before="200"/>
      </w:pPr>
      <w:r>
        <w:rPr>
          <w:rFonts w:ascii="Arial" w:cs="Arial" w:eastAsia="Arial" w:hAnsi="Arial"/>
          <w:b/>
          <w:bCs/>
          <w:color w:val="1B3A5C"/>
          <w:sz w:val="24"/>
          <w:szCs w:val="24"/>
        </w:rPr>
        <w:t xml:space="preserve">4.2.3 Race and Ethnicity</w:t>
      </w:r>
    </w:p>
    <w:p>
      <w:pPr>
        <w:spacing w:after="120" w:before="80" w:line="320"/>
      </w:pPr>
      <w:r>
        <w:rPr>
          <w:rFonts w:ascii="Arial" w:cs="Arial" w:eastAsia="Arial" w:hAnsi="Arial"/>
          <w:color w:val="4A5568"/>
          <w:sz w:val="22"/>
          <w:szCs w:val="22"/>
        </w:rPr>
        <w:t xml:space="preserve">Race and ethnicity are social constructs that serve as proxies for lived experience, structural racism, cultural practices, and historical patterns of discrimination rather than biological categories. Racial disparities in health outcomes in rural areas reflect the complex intersection of poverty, geographic isolation, historical patterns of healthcare access, and cultural factors.</w:t>
      </w:r>
    </w:p>
    <w:p>
      <w:pPr>
        <w:pStyle w:val="Heading3"/>
        <w:spacing w:after="80" w:before="200"/>
      </w:pPr>
      <w:r>
        <w:rPr>
          <w:rFonts w:ascii="Arial" w:cs="Arial" w:eastAsia="Arial" w:hAnsi="Arial"/>
          <w:b/>
          <w:bCs/>
          <w:color w:val="1B3A5C"/>
          <w:sz w:val="24"/>
          <w:szCs w:val="24"/>
        </w:rPr>
        <w:t xml:space="preserve">4.2.4 Socioeconomic Position</w:t>
      </w:r>
    </w:p>
    <w:p>
      <w:pPr>
        <w:spacing w:after="120" w:before="80" w:line="320"/>
      </w:pPr>
      <w:r>
        <w:rPr>
          <w:rFonts w:ascii="Arial" w:cs="Arial" w:eastAsia="Arial" w:hAnsi="Arial"/>
          <w:color w:val="4A5568"/>
          <w:sz w:val="22"/>
          <w:szCs w:val="22"/>
        </w:rPr>
        <w:t xml:space="preserve">Across virtually every health outcome studied, socioeconomic position (as measured by income, education, wealth, or occupational status) is inversely associated with morbidity and mortality. Rural America has persistently higher poverty rates, lower median incomes, and lower educational attainment than urban America, and these socioeconomic factors explain a substantial fraction of the rural-urban health gap.</w:t>
      </w:r>
    </w:p>
    <w:p>
      <w:pPr>
        <w:pStyle w:val="Heading2"/>
        <w:spacing w:after="120" w:before="280"/>
      </w:pPr>
      <w:r>
        <w:rPr>
          <w:rFonts w:ascii="Arial" w:cs="Arial" w:eastAsia="Arial" w:hAnsi="Arial"/>
          <w:b/>
          <w:bCs/>
          <w:color w:val="2E7D6B"/>
          <w:sz w:val="28"/>
          <w:szCs w:val="28"/>
        </w:rPr>
        <w:t xml:space="preserve">4.3 Place: Where Does Disease Occur?</w:t>
      </w:r>
    </w:p>
    <w:p>
      <w:pPr>
        <w:pStyle w:val="Heading3"/>
        <w:spacing w:after="80" w:before="200"/>
      </w:pPr>
      <w:r>
        <w:rPr>
          <w:rFonts w:ascii="Arial" w:cs="Arial" w:eastAsia="Arial" w:hAnsi="Arial"/>
          <w:b/>
          <w:bCs/>
          <w:color w:val="1B3A5C"/>
          <w:sz w:val="24"/>
          <w:szCs w:val="24"/>
        </w:rPr>
        <w:t xml:space="preserve">4.3.1 Geographic Units in Rural Epidemiology</w:t>
      </w:r>
    </w:p>
    <w:p>
      <w:pPr>
        <w:spacing w:after="120" w:before="80" w:line="320"/>
      </w:pPr>
      <w:r>
        <w:rPr>
          <w:rFonts w:ascii="Arial" w:cs="Arial" w:eastAsia="Arial" w:hAnsi="Arial"/>
          <w:color w:val="4A5568"/>
          <w:sz w:val="22"/>
          <w:szCs w:val="22"/>
        </w:rPr>
        <w:t xml:space="preserve">The choice of geographic unit profoundly affects the patterns observed. Data aggregated at the national or state level masks enormous within-state variation. County-level analysis is standard in US public health surveillance, but county geography does not always correspond to meaningful epidemiological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63D2F" w:sz="6"/>
              <w:bottom w:val="none"/>
              <w:right w:val="none"/>
            </w:tcBorders>
            <w:shd w:fill="FDF0EE" w:val="clear"/>
            <w:tcMar>
              <w:top w:type="dxa" w:w="120"/>
              <w:left w:type="dxa" w:w="280"/>
              <w:bottom w:type="dxa" w:w="40"/>
              <w:right w:type="dxa" w:w="200"/>
            </w:tcMar>
          </w:tcPr>
          <w:p>
            <w:r>
              <w:rPr>
                <w:rFonts w:ascii="Arial" w:cs="Arial" w:eastAsia="Arial" w:hAnsi="Arial"/>
                <w:b/>
                <w:bCs/>
                <w:color w:val="A63D2F"/>
                <w:sz w:val="18"/>
                <w:szCs w:val="18"/>
              </w:rPr>
              <w:t xml:space="preserve">⬛ RURAL CONTEXT</w:t>
            </w:r>
          </w:p>
        </w:tc>
      </w:tr>
      <w:tr>
        <w:tc>
          <w:tcPr>
            <w:tcW w:type="dxa" w:w="9360"/>
            <w:tcBorders>
              <w:top w:val="none"/>
              <w:left w:val="single" w:color="A63D2F" w:sz="6"/>
              <w:bottom w:val="none"/>
              <w:right w:val="none"/>
            </w:tcBorders>
            <w:shd w:fill="FDF0EE"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In sparsely populated rural counties, using county-level data creates the ecological fallacy risk—attributing county-level associations to individuals. A county may have high poverty and high mortality rates, but the high-poverty individuals and the high-mortality individuals are not necessarily the same people.</w:t>
            </w:r>
          </w:p>
        </w:tc>
      </w:tr>
    </w:tbl>
    <w:p>
      <w:pPr>
        <w:pStyle w:val="Heading3"/>
        <w:spacing w:after="80" w:before="200"/>
      </w:pPr>
      <w:r>
        <w:rPr>
          <w:rFonts w:ascii="Arial" w:cs="Arial" w:eastAsia="Arial" w:hAnsi="Arial"/>
          <w:b/>
          <w:bCs/>
          <w:color w:val="1B3A5C"/>
          <w:sz w:val="24"/>
          <w:szCs w:val="24"/>
        </w:rPr>
        <w:t xml:space="preserve">4.3.2 Spot Maps and Case Clusters</w:t>
      </w:r>
    </w:p>
    <w:p>
      <w:pPr>
        <w:spacing w:after="120" w:before="80" w:line="320"/>
      </w:pPr>
      <w:r>
        <w:rPr>
          <w:rFonts w:ascii="Arial" w:cs="Arial" w:eastAsia="Arial" w:hAnsi="Arial"/>
          <w:color w:val="4A5568"/>
          <w:sz w:val="22"/>
          <w:szCs w:val="22"/>
        </w:rPr>
        <w:t xml:space="preserve">Spot maps—geographic display of individual case locations—are the first tool in outbreak spatial analysis. In a foodborne outbreak, spot maps of cases relative to potential exposure sites (restaurants, catering venues, shared food sources) immediately reveal spatial clustering. Geographic information systems (GIS) have transformed spot mapping from a manual cartographic exercise to a rapid automated analysis.</w:t>
      </w:r>
    </w:p>
    <w:p>
      <w:pPr>
        <w:spacing w:after="120" w:before="80" w:line="320"/>
      </w:pPr>
      <w:r>
        <w:rPr>
          <w:rFonts w:ascii="Arial" w:cs="Arial" w:eastAsia="Arial" w:hAnsi="Arial"/>
          <w:color w:val="4A5568"/>
          <w:sz w:val="22"/>
          <w:szCs w:val="22"/>
        </w:rPr>
        <w:t xml:space="preserve">True spatial clustering (non-random case distribution) can be tested statistically. Kulldorff's spatial scan statistic implements a likelihood ratio test for circular clusters that adjusts for population density, detecting areas with excess disease incidence relative to background rates.</w:t>
      </w:r>
    </w:p>
    <w:p>
      <w:pPr>
        <w:pStyle w:val="Heading2"/>
        <w:spacing w:after="120" w:before="280"/>
      </w:pPr>
      <w:r>
        <w:rPr>
          <w:rFonts w:ascii="Arial" w:cs="Arial" w:eastAsia="Arial" w:hAnsi="Arial"/>
          <w:b/>
          <w:bCs/>
          <w:color w:val="2E7D6B"/>
          <w:sz w:val="28"/>
          <w:szCs w:val="28"/>
        </w:rPr>
        <w:t xml:space="preserve">4.4 Time: When Does Disease Occur?</w:t>
      </w:r>
    </w:p>
    <w:p>
      <w:pPr>
        <w:pStyle w:val="Heading3"/>
        <w:spacing w:after="80" w:before="200"/>
      </w:pPr>
      <w:r>
        <w:rPr>
          <w:rFonts w:ascii="Arial" w:cs="Arial" w:eastAsia="Arial" w:hAnsi="Arial"/>
          <w:b/>
          <w:bCs/>
          <w:color w:val="1B3A5C"/>
          <w:sz w:val="24"/>
          <w:szCs w:val="24"/>
        </w:rPr>
        <w:t xml:space="preserve">4.4.1 The Epidemic Curve</w:t>
      </w:r>
    </w:p>
    <w:p>
      <w:pPr>
        <w:spacing w:after="120" w:before="80" w:line="320"/>
      </w:pPr>
      <w:r>
        <w:rPr>
          <w:rFonts w:ascii="Arial" w:cs="Arial" w:eastAsia="Arial" w:hAnsi="Arial"/>
          <w:color w:val="4A5568"/>
          <w:sz w:val="22"/>
          <w:szCs w:val="22"/>
        </w:rPr>
        <w:t xml:space="preserve">The epidemic curve (epi curve) plots the number of new cases over time. Its shape reveals the mode of disease transmission and the likely timing of exposure, and guides outbreak investigation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Epi Curve Shape</w:t>
            </w:r>
          </w:p>
        </w:tc>
        <w:tc>
          <w:tcPr>
            <w:tcW w:type="dxa" w:w="312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Transmission Pattern</w:t>
            </w:r>
          </w:p>
        </w:tc>
        <w:tc>
          <w:tcPr>
            <w:tcW w:type="dxa" w:w="312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Rural Example</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Single sharp peak, narrow base</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Point-source exposure (all exposed at one time)</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Food poisoning at county fair; all cases develop within one incubation period</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Progressive rise over multiple incubation periods</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Propagated transmission (person-to-person spread)</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Norovirus spreading through school—each wave of cases infects the next</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Multiple peaks separated by incubation periods</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Mixed: point source followed by secondary spread</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Salmonella in potato salad triggers secondary household transmission</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Sustained plateau</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Continuous common source (ongoing exposure)</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Contaminated water supply; cases continue as long as exposure persists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5892A" w:sz="6"/>
              <w:bottom w:val="none"/>
              <w:right w:val="none"/>
            </w:tcBorders>
            <w:shd w:fill="FFF8E7" w:val="clear"/>
            <w:tcMar>
              <w:top w:type="dxa" w:w="120"/>
              <w:left w:type="dxa" w:w="280"/>
              <w:bottom w:type="dxa" w:w="40"/>
              <w:right w:type="dxa" w:w="200"/>
            </w:tcMar>
          </w:tcPr>
          <w:p>
            <w:r>
              <w:rPr>
                <w:rFonts w:ascii="Arial" w:cs="Arial" w:eastAsia="Arial" w:hAnsi="Arial"/>
                <w:b/>
                <w:bCs/>
                <w:color w:val="B5892A"/>
                <w:sz w:val="18"/>
                <w:szCs w:val="18"/>
              </w:rPr>
              <w:t xml:space="preserve">◆ CLINICAL PEARL</w:t>
            </w:r>
          </w:p>
        </w:tc>
      </w:tr>
      <w:tr>
        <w:tc>
          <w:tcPr>
            <w:tcW w:type="dxa" w:w="9360"/>
            <w:tcBorders>
              <w:top w:val="none"/>
              <w:left w:val="single" w:color="B5892A" w:sz="6"/>
              <w:bottom w:val="none"/>
              <w:right w:val="none"/>
            </w:tcBorders>
            <w:shd w:fill="FFF8E7"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The shape of the epidemic curve is your first diagnostic hypothesis. Before laboratory results return, the epi curve tells you whether you are dealing with a point-source foodborne event (narrow peak), a person-to-person respiratory pathogen (progressive rise), or a persistent environmental exposure (plateau). Act accordingly.</w:t>
            </w:r>
          </w:p>
        </w:tc>
      </w:tr>
    </w:tbl>
    <w:p>
      <w:pPr>
        <w:pStyle w:val="Heading3"/>
        <w:spacing w:after="80" w:before="200"/>
      </w:pPr>
      <w:r>
        <w:rPr>
          <w:rFonts w:ascii="Arial" w:cs="Arial" w:eastAsia="Arial" w:hAnsi="Arial"/>
          <w:b/>
          <w:bCs/>
          <w:color w:val="1B3A5C"/>
          <w:sz w:val="24"/>
          <w:szCs w:val="24"/>
        </w:rPr>
        <w:t xml:space="preserve">4.4.2 Secular Trends and Seasonality</w:t>
      </w:r>
    </w:p>
    <w:p>
      <w:pPr>
        <w:spacing w:after="120" w:before="80" w:line="320"/>
      </w:pPr>
      <w:r>
        <w:rPr>
          <w:rFonts w:ascii="Arial" w:cs="Arial" w:eastAsia="Arial" w:hAnsi="Arial"/>
          <w:color w:val="4A5568"/>
          <w:sz w:val="22"/>
          <w:szCs w:val="22"/>
        </w:rPr>
        <w:t xml:space="preserve">Secular trends describe long-term changes in disease frequency over years or decades. Declining tuberculosis incidence throughout the 20th century (before effective antibiotics), rising opioid overdose mortality since 1999, and the dramatic decline in tobacco-associated cancer mortality after smoking prevalence peaked in the 1960s—all represent secular trends with major public health significance.</w:t>
      </w:r>
    </w:p>
    <w:p>
      <w:pPr>
        <w:spacing w:after="120" w:before="80" w:line="320"/>
      </w:pPr>
      <w:r>
        <w:rPr>
          <w:rFonts w:ascii="Arial" w:cs="Arial" w:eastAsia="Arial" w:hAnsi="Arial"/>
          <w:color w:val="4A5568"/>
          <w:sz w:val="22"/>
          <w:szCs w:val="22"/>
        </w:rPr>
        <w:t xml:space="preserve">Seasonality describes regular annual cycles in disease incidence. Influenza peaks in winter. Lyme disease cases peak in late spring/early summer (corresponding to nymphal tick activity). Foodborne illness from Campylobacter peaks in summer (barbecue season). Recognizing seasonal patterns helps rural providers anticipate disease burden and prepare resources appropriately.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A63D2F" w:val="clear"/>
            <w:tcMar>
              <w:top w:type="dxa" w:w="360"/>
              <w:left w:type="dxa" w:w="720"/>
              <w:bottom w:type="dxa" w:w="360"/>
              <w:right w:type="dxa" w:w="720"/>
            </w:tcMar>
          </w:tcPr>
          <w:p>
            <w:pPr>
              <w:jc w:val="center"/>
            </w:pPr>
            <w:r>
              <w:rPr>
                <w:rFonts w:ascii="Arial" w:cs="Arial" w:eastAsia="Arial" w:hAnsi="Arial"/>
                <w:b/>
                <w:bCs/>
                <w:color w:val="FFFFFF"/>
                <w:sz w:val="44"/>
                <w:szCs w:val="44"/>
              </w:rPr>
              <w:t xml:space="preserve">PART II</w:t>
            </w:r>
          </w:p>
          <w:p>
            <w:pPr>
              <w:jc w:val="center"/>
            </w:pPr>
            <w:r>
              <w:rPr>
                <w:rFonts w:ascii="Arial" w:cs="Arial" w:eastAsia="Arial" w:hAnsi="Arial"/>
                <w:i/>
                <w:iCs/>
                <w:color w:val="F5D5CF"/>
                <w:sz w:val="28"/>
                <w:szCs w:val="28"/>
              </w:rPr>
              <w:t xml:space="preserve">Epidemiological Study Designs</w:t>
            </w:r>
          </w:p>
        </w:tc>
      </w:tr>
    </w:tbl>
    <w:p>
      <w:pPr>
        <w:spacing w:after="60" w:before="0"/>
      </w:pPr>
      <w:r>
        <w:t xml:space="preserve"/>
      </w:r>
    </w:p>
    <w:p>
      <w:pPr>
        <w:spacing w:after="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80"/>
              <w:left w:type="dxa" w:w="360"/>
              <w:bottom w:type="dxa" w:w="280"/>
              <w:right w:type="dxa" w:w="360"/>
            </w:tcMar>
          </w:tcPr>
          <w:p>
            <w:pPr>
              <w:spacing w:after="60" w:before="0"/>
            </w:pPr>
            <w:r>
              <w:rPr>
                <w:rFonts w:ascii="Arial" w:cs="Arial" w:eastAsia="Arial" w:hAnsi="Arial"/>
                <w:b/>
                <w:bCs/>
                <w:color w:val="B5892A"/>
                <w:sz w:val="22"/>
                <w:szCs w:val="22"/>
              </w:rPr>
              <w:t xml:space="preserve">CHAPTER 5</w:t>
            </w:r>
          </w:p>
          <w:p>
            <w:pPr>
              <w:spacing w:after="40" w:before="0"/>
            </w:pPr>
            <w:r>
              <w:rPr>
                <w:rFonts w:ascii="Arial" w:cs="Arial" w:eastAsia="Arial" w:hAnsi="Arial"/>
                <w:b/>
                <w:bCs/>
                <w:color w:val="FFFFFF"/>
                <w:sz w:val="38"/>
                <w:szCs w:val="38"/>
              </w:rPr>
              <w:t xml:space="preserve">Observational Study Designs</w:t>
            </w:r>
          </w:p>
          <w:p>
            <w:pPr>
              <w:spacing w:after="0" w:before="0"/>
            </w:pPr>
            <w:r>
              <w:rPr>
                <w:rFonts w:ascii="Arial" w:cs="Arial" w:eastAsia="Arial" w:hAnsi="Arial"/>
                <w:i/>
                <w:iCs/>
                <w:color w:val="AABFD4"/>
                <w:sz w:val="22"/>
                <w:szCs w:val="22"/>
              </w:rPr>
              <w:t xml:space="preserve">Cross-Sectional, Case-Control, and Cohort Studies</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5.1 The Hierarchy of Evidence</w:t>
      </w:r>
    </w:p>
    <w:p>
      <w:pPr>
        <w:spacing w:after="120" w:before="80" w:line="320"/>
      </w:pPr>
      <w:r>
        <w:rPr>
          <w:rFonts w:ascii="Arial" w:cs="Arial" w:eastAsia="Arial" w:hAnsi="Arial"/>
          <w:color w:val="4A5568"/>
          <w:sz w:val="22"/>
          <w:szCs w:val="22"/>
        </w:rPr>
        <w:t xml:space="preserve">Epidemiological study designs form a rough hierarchy of evidence quality, from randomized controlled trials (highest internal validity) to expert opinion (lowest). However, this hierarchy is not absolute: a well-designed prospective cohort study of an irreversible exposure may provide stronger evidence than a poorly conducted RCT. Understanding the strengths and limitations of each design is essential for critical appraisal and for selecting the appropriate design for a given research question.</w:t>
      </w:r>
    </w:p>
    <w:p>
      <w:pPr>
        <w:pStyle w:val="Heading2"/>
        <w:spacing w:after="120" w:before="280"/>
      </w:pPr>
      <w:r>
        <w:rPr>
          <w:rFonts w:ascii="Arial" w:cs="Arial" w:eastAsia="Arial" w:hAnsi="Arial"/>
          <w:b/>
          <w:bCs/>
          <w:color w:val="2E7D6B"/>
          <w:sz w:val="28"/>
          <w:szCs w:val="28"/>
        </w:rPr>
        <w:t xml:space="preserve">5.2 Cross-Sectional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6"/>
              <w:left w:val="single" w:color="2E7D6B" w:sz="6"/>
              <w:bottom w:val="single" w:color="2E7D6B" w:sz="6"/>
              <w:right w:val="single" w:color="2E7D6B" w:sz="6"/>
            </w:tcBorders>
            <w:shd w:fill="EEF7F5" w:val="clear"/>
            <w:tcMar>
              <w:top w:type="dxa" w:w="120"/>
              <w:left w:type="dxa" w:w="240"/>
              <w:bottom w:type="dxa" w:w="120"/>
              <w:right w:type="dxa" w:w="240"/>
            </w:tcMar>
          </w:tcPr>
          <w:p>
            <w:pPr>
              <w:spacing w:after="40" w:before="0"/>
            </w:pPr>
            <w:r>
              <w:rPr>
                <w:rFonts w:ascii="Arial" w:cs="Arial" w:eastAsia="Arial" w:hAnsi="Arial"/>
                <w:b/>
                <w:bCs/>
                <w:color w:val="2E7D6B"/>
                <w:sz w:val="22"/>
                <w:szCs w:val="22"/>
              </w:rPr>
              <w:t xml:space="preserve">Cross-Sectional Study</w:t>
            </w:r>
          </w:p>
          <w:p>
            <w:pPr>
              <w:spacing w:after="0" w:before="0" w:line="280"/>
            </w:pPr>
            <w:r>
              <w:rPr>
                <w:rFonts w:ascii="Arial" w:cs="Arial" w:eastAsia="Arial" w:hAnsi="Arial"/>
                <w:color w:val="4A5568"/>
                <w:sz w:val="20"/>
                <w:szCs w:val="20"/>
              </w:rPr>
              <w:t xml:space="preserve">A study design that simultaneously measures exposure and outcome in a defined population at a single point in time (or over a brief period). Also called a prevalence study or survey.</w:t>
            </w:r>
          </w:p>
        </w:tc>
      </w:tr>
    </w:tbl>
    <w:p>
      <w:pPr>
        <w:pStyle w:val="Heading3"/>
        <w:spacing w:after="80" w:before="200"/>
      </w:pPr>
      <w:r>
        <w:rPr>
          <w:rFonts w:ascii="Arial" w:cs="Arial" w:eastAsia="Arial" w:hAnsi="Arial"/>
          <w:b/>
          <w:bCs/>
          <w:color w:val="1B3A5C"/>
          <w:sz w:val="24"/>
          <w:szCs w:val="24"/>
        </w:rPr>
        <w:t xml:space="preserve">5.2.1 Design and Application</w:t>
      </w:r>
    </w:p>
    <w:p>
      <w:pPr>
        <w:spacing w:after="120" w:before="80" w:line="320"/>
      </w:pPr>
      <w:r>
        <w:rPr>
          <w:rFonts w:ascii="Arial" w:cs="Arial" w:eastAsia="Arial" w:hAnsi="Arial"/>
          <w:color w:val="4A5568"/>
          <w:sz w:val="22"/>
          <w:szCs w:val="22"/>
        </w:rPr>
        <w:t xml:space="preserve">Cross-sectional studies are the workhorses of descriptive epidemiology and health surveillance. The National Health and Nutrition Examination Survey (NHANES), the Behavioral Risk Factor Surveillance System (BRFSS), and the Rural Health Information Hub surveys are all cross-sectional designs that characterize the burden of disease and risk factors in defined populations.</w:t>
      </w:r>
    </w:p>
    <w:p>
      <w:pPr>
        <w:pStyle w:val="Heading3"/>
        <w:spacing w:after="80" w:before="200"/>
      </w:pPr>
      <w:r>
        <w:rPr>
          <w:rFonts w:ascii="Arial" w:cs="Arial" w:eastAsia="Arial" w:hAnsi="Arial"/>
          <w:b/>
          <w:bCs/>
          <w:color w:val="1B3A5C"/>
          <w:sz w:val="24"/>
          <w:szCs w:val="24"/>
        </w:rPr>
        <w:t xml:space="preserve">5.2.2 Strengths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Strengths</w:t>
            </w:r>
          </w:p>
        </w:tc>
        <w:tc>
          <w:tcPr>
            <w:tcW w:type="dxa" w:w="576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Limitations</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Efficient: Data collected at one time point</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Cannot establish temporality (exposure before outcome)</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Relatively inexpensive</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Prevalence-incidence bias: missing fatal and recovered cases</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Can examine multiple exposures simultaneously</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Ecological fallacy if data are aggregated</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Foundation for surveillance and hypothesis generation</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Cannot calculate incidence or relative risk directly</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Appropriate for stable, prevalent conditions</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Subject to recall bias if exposure assessed retrospectively</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5.3 Case-Control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6"/>
              <w:left w:val="single" w:color="2E7D6B" w:sz="6"/>
              <w:bottom w:val="single" w:color="2E7D6B" w:sz="6"/>
              <w:right w:val="single" w:color="2E7D6B" w:sz="6"/>
            </w:tcBorders>
            <w:shd w:fill="EEF7F5" w:val="clear"/>
            <w:tcMar>
              <w:top w:type="dxa" w:w="120"/>
              <w:left w:type="dxa" w:w="240"/>
              <w:bottom w:type="dxa" w:w="120"/>
              <w:right w:type="dxa" w:w="240"/>
            </w:tcMar>
          </w:tcPr>
          <w:p>
            <w:pPr>
              <w:spacing w:after="40" w:before="0"/>
            </w:pPr>
            <w:r>
              <w:rPr>
                <w:rFonts w:ascii="Arial" w:cs="Arial" w:eastAsia="Arial" w:hAnsi="Arial"/>
                <w:b/>
                <w:bCs/>
                <w:color w:val="2E7D6B"/>
                <w:sz w:val="22"/>
                <w:szCs w:val="22"/>
              </w:rPr>
              <w:t xml:space="preserve">Case-Control Study</w:t>
            </w:r>
          </w:p>
          <w:p>
            <w:pPr>
              <w:spacing w:after="0" w:before="0" w:line="280"/>
            </w:pPr>
            <w:r>
              <w:rPr>
                <w:rFonts w:ascii="Arial" w:cs="Arial" w:eastAsia="Arial" w:hAnsi="Arial"/>
                <w:color w:val="4A5568"/>
                <w:sz w:val="20"/>
                <w:szCs w:val="20"/>
              </w:rPr>
              <w:t xml:space="preserve">A study design that identifies persons with the outcome of interest (cases) and persons without the outcome (controls), then looks backward in time to compare the frequency of prior exposures between the two groups.</w:t>
            </w:r>
          </w:p>
        </w:tc>
      </w:tr>
    </w:tbl>
    <w:p>
      <w:pPr>
        <w:pStyle w:val="Heading3"/>
        <w:spacing w:after="80" w:before="200"/>
      </w:pPr>
      <w:r>
        <w:rPr>
          <w:rFonts w:ascii="Arial" w:cs="Arial" w:eastAsia="Arial" w:hAnsi="Arial"/>
          <w:b/>
          <w:bCs/>
          <w:color w:val="1B3A5C"/>
          <w:sz w:val="24"/>
          <w:szCs w:val="24"/>
        </w:rPr>
        <w:t xml:space="preserve">5.3.1 Design Logic</w:t>
      </w:r>
    </w:p>
    <w:p>
      <w:pPr>
        <w:spacing w:after="120" w:before="80" w:line="320"/>
      </w:pPr>
      <w:r>
        <w:rPr>
          <w:rFonts w:ascii="Arial" w:cs="Arial" w:eastAsia="Arial" w:hAnsi="Arial"/>
          <w:color w:val="4A5568"/>
          <w:sz w:val="22"/>
          <w:szCs w:val="22"/>
        </w:rPr>
        <w:t xml:space="preserve">Case-control studies are particularly valuable for: (1) rare diseases where prospective follow-up would require impossibly large cohorts; (2) diseases with long latency periods where prospective follow-up is impractical; and (3) outbreak investigations where rapid answers are needed.</w:t>
      </w:r>
    </w:p>
    <w:p>
      <w:pPr>
        <w:spacing w:after="120" w:before="80" w:line="320"/>
      </w:pPr>
      <w:r>
        <w:rPr>
          <w:rFonts w:ascii="Arial" w:cs="Arial" w:eastAsia="Arial" w:hAnsi="Arial"/>
          <w:color w:val="4A5568"/>
          <w:sz w:val="22"/>
          <w:szCs w:val="22"/>
        </w:rPr>
        <w:t xml:space="preserve">The selection of appropriate controls is the greatest methodological challenge in case-control design. Controls should be sampled from the same source population that gave rise to the cases—meaning that if the same exposure had caused disease in a control, they would have been identified as a case. Violations of this principle (selection bias) are a major source of spurious associations in case-control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5892A" w:sz="6"/>
              <w:bottom w:val="none"/>
              <w:right w:val="none"/>
            </w:tcBorders>
            <w:shd w:fill="FFF8E7" w:val="clear"/>
            <w:tcMar>
              <w:top w:type="dxa" w:w="120"/>
              <w:left w:type="dxa" w:w="280"/>
              <w:bottom w:type="dxa" w:w="40"/>
              <w:right w:type="dxa" w:w="200"/>
            </w:tcMar>
          </w:tcPr>
          <w:p>
            <w:r>
              <w:rPr>
                <w:rFonts w:ascii="Arial" w:cs="Arial" w:eastAsia="Arial" w:hAnsi="Arial"/>
                <w:b/>
                <w:bCs/>
                <w:color w:val="B5892A"/>
                <w:sz w:val="18"/>
                <w:szCs w:val="18"/>
              </w:rPr>
              <w:t xml:space="preserve">◆ CLINICAL PEARL</w:t>
            </w:r>
          </w:p>
        </w:tc>
      </w:tr>
      <w:tr>
        <w:tc>
          <w:tcPr>
            <w:tcW w:type="dxa" w:w="9360"/>
            <w:tcBorders>
              <w:top w:val="none"/>
              <w:left w:val="single" w:color="B5892A" w:sz="6"/>
              <w:bottom w:val="none"/>
              <w:right w:val="none"/>
            </w:tcBorders>
            <w:shd w:fill="FFF8E7"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In a foodborne outbreak at a rural event, cases are persons who developed illness and controls are attendees who did not. The exposure of interest is consumption of specific foods. The odds ratio for each food item identifies the most likely vehicle. This nested case-control design within a defined outbreak population is among the most powerful epidemiological tools available to rural providers.</w:t>
            </w:r>
          </w:p>
        </w:tc>
      </w:tr>
    </w:tbl>
    <w:p>
      <w:pPr>
        <w:pStyle w:val="Heading2"/>
        <w:spacing w:after="120" w:before="280"/>
      </w:pPr>
      <w:r>
        <w:rPr>
          <w:rFonts w:ascii="Arial" w:cs="Arial" w:eastAsia="Arial" w:hAnsi="Arial"/>
          <w:b/>
          <w:bCs/>
          <w:color w:val="2E7D6B"/>
          <w:sz w:val="28"/>
          <w:szCs w:val="28"/>
        </w:rPr>
        <w:t xml:space="preserve">5.4 Cohort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6"/>
              <w:left w:val="single" w:color="2E7D6B" w:sz="6"/>
              <w:bottom w:val="single" w:color="2E7D6B" w:sz="6"/>
              <w:right w:val="single" w:color="2E7D6B" w:sz="6"/>
            </w:tcBorders>
            <w:shd w:fill="EEF7F5" w:val="clear"/>
            <w:tcMar>
              <w:top w:type="dxa" w:w="120"/>
              <w:left w:type="dxa" w:w="240"/>
              <w:bottom w:type="dxa" w:w="120"/>
              <w:right w:type="dxa" w:w="240"/>
            </w:tcMar>
          </w:tcPr>
          <w:p>
            <w:pPr>
              <w:spacing w:after="40" w:before="0"/>
            </w:pPr>
            <w:r>
              <w:rPr>
                <w:rFonts w:ascii="Arial" w:cs="Arial" w:eastAsia="Arial" w:hAnsi="Arial"/>
                <w:b/>
                <w:bCs/>
                <w:color w:val="2E7D6B"/>
                <w:sz w:val="22"/>
                <w:szCs w:val="22"/>
              </w:rPr>
              <w:t xml:space="preserve">Cohort Study</w:t>
            </w:r>
          </w:p>
          <w:p>
            <w:pPr>
              <w:spacing w:after="0" w:before="0" w:line="280"/>
            </w:pPr>
            <w:r>
              <w:rPr>
                <w:rFonts w:ascii="Arial" w:cs="Arial" w:eastAsia="Arial" w:hAnsi="Arial"/>
                <w:color w:val="4A5568"/>
                <w:sz w:val="20"/>
                <w:szCs w:val="20"/>
              </w:rPr>
              <w:t xml:space="preserve">A study design that identifies a group of persons defined by a common characteristic (a shared exposure, membership in a defined population, or birth in a defined period), follows them over time, and compares the incidence of disease in exposed vs. unexposed subgroups.</w:t>
            </w:r>
          </w:p>
        </w:tc>
      </w:tr>
    </w:tbl>
    <w:p>
      <w:pPr>
        <w:pStyle w:val="Heading3"/>
        <w:spacing w:after="80" w:before="200"/>
      </w:pPr>
      <w:r>
        <w:rPr>
          <w:rFonts w:ascii="Arial" w:cs="Arial" w:eastAsia="Arial" w:hAnsi="Arial"/>
          <w:b/>
          <w:bCs/>
          <w:color w:val="1B3A5C"/>
          <w:sz w:val="24"/>
          <w:szCs w:val="24"/>
        </w:rPr>
        <w:t xml:space="preserve">5.4.1 Prospective vs. Retrospective Cohorts</w:t>
      </w:r>
    </w:p>
    <w:p>
      <w:pPr>
        <w:spacing w:after="120" w:before="80" w:line="320"/>
      </w:pPr>
      <w:r>
        <w:rPr>
          <w:rFonts w:ascii="Arial" w:cs="Arial" w:eastAsia="Arial" w:hAnsi="Arial"/>
          <w:color w:val="4A5568"/>
          <w:sz w:val="22"/>
          <w:szCs w:val="22"/>
        </w:rPr>
        <w:t xml:space="preserve">Prospective cohort studies (also called concurrent cohorts) enroll participants in the present and follow them into the future. They allow direct measurement of exposures at baseline before disease development, minimizing recall bias. The Framingham Heart Study, the Nurses' Health Study, and the Agricultural Health Study (studying farm-related exposures) are landmark prospective cohort studies.</w:t>
      </w:r>
    </w:p>
    <w:p>
      <w:pPr>
        <w:spacing w:after="120" w:before="80" w:line="320"/>
      </w:pPr>
      <w:r>
        <w:rPr>
          <w:rFonts w:ascii="Arial" w:cs="Arial" w:eastAsia="Arial" w:hAnsi="Arial"/>
          <w:color w:val="4A5568"/>
          <w:sz w:val="22"/>
          <w:szCs w:val="22"/>
        </w:rPr>
        <w:t xml:space="preserve">Retrospective cohort studies (also called historical cohorts) identify an exposure-defined cohort from historical records and reconstruct the follow-up period from historical data. They are faster and cheaper than prospective studies but dependent on the completeness and accuracy of historical records.</w:t>
      </w:r>
    </w:p>
    <w:p>
      <w:pPr>
        <w:pStyle w:val="Heading3"/>
        <w:spacing w:after="80" w:before="200"/>
      </w:pPr>
      <w:r>
        <w:rPr>
          <w:rFonts w:ascii="Arial" w:cs="Arial" w:eastAsia="Arial" w:hAnsi="Arial"/>
          <w:b/>
          <w:bCs/>
          <w:color w:val="1B3A5C"/>
          <w:sz w:val="24"/>
          <w:szCs w:val="24"/>
        </w:rPr>
        <w:t xml:space="preserve">5.4.2 Strengths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Strengths</w:t>
            </w:r>
          </w:p>
        </w:tc>
        <w:tc>
          <w:tcPr>
            <w:tcW w:type="dxa" w:w="576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Limitations</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Can directly calculate incidence rates and risk ratios</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Expensive and time-consuming (prospective)</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Temporal precedence is established (exposure before outcome)</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Subject to differential loss to follow-up</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Can study multiple outcomes of one exposure</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Inefficient for rare outcomes</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Allows assessment of exposure changes over time</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Healthy worker effect may bias occupational cohorts</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Gold standard for incidence measurement</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Regression to the mean can bias within-cohort analyses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80"/>
              <w:left w:type="dxa" w:w="360"/>
              <w:bottom w:type="dxa" w:w="280"/>
              <w:right w:type="dxa" w:w="360"/>
            </w:tcMar>
          </w:tcPr>
          <w:p>
            <w:pPr>
              <w:spacing w:after="60" w:before="0"/>
            </w:pPr>
            <w:r>
              <w:rPr>
                <w:rFonts w:ascii="Arial" w:cs="Arial" w:eastAsia="Arial" w:hAnsi="Arial"/>
                <w:b/>
                <w:bCs/>
                <w:color w:val="B5892A"/>
                <w:sz w:val="22"/>
                <w:szCs w:val="22"/>
              </w:rPr>
              <w:t xml:space="preserve">CHAPTER 6</w:t>
            </w:r>
          </w:p>
          <w:p>
            <w:pPr>
              <w:spacing w:after="40" w:before="0"/>
            </w:pPr>
            <w:r>
              <w:rPr>
                <w:rFonts w:ascii="Arial" w:cs="Arial" w:eastAsia="Arial" w:hAnsi="Arial"/>
                <w:b/>
                <w:bCs/>
                <w:color w:val="FFFFFF"/>
                <w:sz w:val="38"/>
                <w:szCs w:val="38"/>
              </w:rPr>
              <w:t xml:space="preserve">Experimental and Quasi-Experimental Designs</w:t>
            </w:r>
          </w:p>
          <w:p>
            <w:pPr>
              <w:spacing w:after="0" w:before="0"/>
            </w:pPr>
            <w:r>
              <w:rPr>
                <w:rFonts w:ascii="Arial" w:cs="Arial" w:eastAsia="Arial" w:hAnsi="Arial"/>
                <w:i/>
                <w:iCs/>
                <w:color w:val="AABFD4"/>
                <w:sz w:val="22"/>
                <w:szCs w:val="22"/>
              </w:rPr>
              <w:t xml:space="preserve">Clinical Trials, Natural Experiments, and Interrupted Time Series</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6.1 Randomized Controlled Trials</w:t>
      </w:r>
    </w:p>
    <w:p>
      <w:pPr>
        <w:spacing w:after="120" w:before="80" w:line="320"/>
      </w:pPr>
      <w:r>
        <w:rPr>
          <w:rFonts w:ascii="Arial" w:cs="Arial" w:eastAsia="Arial" w:hAnsi="Arial"/>
          <w:color w:val="4A5568"/>
          <w:sz w:val="22"/>
          <w:szCs w:val="22"/>
        </w:rPr>
        <w:t xml:space="preserve">The randomized controlled trial (RCT) is the gold standard for evaluating therapeutic and preventive interventions. By randomly assigning participants to intervention and control groups, the RCT distributes known and unknown confounders equally across groups, allowing unbiased estimation of the causal effect of the intervention.</w:t>
      </w:r>
    </w:p>
    <w:p>
      <w:pPr>
        <w:pStyle w:val="Heading3"/>
        <w:spacing w:after="80" w:before="200"/>
      </w:pPr>
      <w:r>
        <w:rPr>
          <w:rFonts w:ascii="Arial" w:cs="Arial" w:eastAsia="Arial" w:hAnsi="Arial"/>
          <w:b/>
          <w:bCs/>
          <w:color w:val="1B3A5C"/>
          <w:sz w:val="24"/>
          <w:szCs w:val="24"/>
        </w:rPr>
        <w:t xml:space="preserve">6.1.1 Key Design Elements</w:t>
      </w:r>
    </w:p>
    <w:p>
      <w:pPr>
        <w:pStyle w:val="ListParagraph"/>
        <w:numPr>
          <w:ilvl w:val="0"/>
          <w:numId w:val="2"/>
        </w:numPr>
        <w:spacing w:after="40" w:before="40" w:line="300"/>
      </w:pPr>
      <w:r>
        <w:rPr>
          <w:rFonts w:ascii="Arial" w:cs="Arial" w:eastAsia="Arial" w:hAnsi="Arial"/>
          <w:b/>
          <w:bCs/>
          <w:color w:val="1B3A5C"/>
          <w:sz w:val="22"/>
          <w:szCs w:val="22"/>
        </w:rPr>
        <w:t xml:space="preserve">Randomization: </w:t>
      </w:r>
      <w:r>
        <w:rPr>
          <w:rFonts w:ascii="Arial" w:cs="Arial" w:eastAsia="Arial" w:hAnsi="Arial"/>
          <w:color w:val="4A5568"/>
          <w:sz w:val="22"/>
          <w:szCs w:val="22"/>
        </w:rPr>
        <w:t xml:space="preserve">Eliminates confounding by distributing all baseline characteristics (measured and unmeasured) equally across groups. Permuted block randomization and stratified randomization are common techniques.</w:t>
      </w:r>
    </w:p>
    <w:p>
      <w:pPr>
        <w:pStyle w:val="ListParagraph"/>
        <w:numPr>
          <w:ilvl w:val="0"/>
          <w:numId w:val="2"/>
        </w:numPr>
        <w:spacing w:after="40" w:before="40" w:line="300"/>
      </w:pPr>
      <w:r>
        <w:rPr>
          <w:rFonts w:ascii="Arial" w:cs="Arial" w:eastAsia="Arial" w:hAnsi="Arial"/>
          <w:b/>
          <w:bCs/>
          <w:color w:val="1B3A5C"/>
          <w:sz w:val="22"/>
          <w:szCs w:val="22"/>
        </w:rPr>
        <w:t xml:space="preserve">Blinding: </w:t>
      </w:r>
      <w:r>
        <w:rPr>
          <w:rFonts w:ascii="Arial" w:cs="Arial" w:eastAsia="Arial" w:hAnsi="Arial"/>
          <w:color w:val="4A5568"/>
          <w:sz w:val="22"/>
          <w:szCs w:val="22"/>
        </w:rPr>
        <w:t xml:space="preserve">Double-blinding (participants and assessors unaware of assignment) prevents performance bias and detection bias. Single-blinding or open-label designs are sometimes necessary for surgical or behavioral interventions.</w:t>
      </w:r>
    </w:p>
    <w:p>
      <w:pPr>
        <w:pStyle w:val="ListParagraph"/>
        <w:numPr>
          <w:ilvl w:val="0"/>
          <w:numId w:val="2"/>
        </w:numPr>
        <w:spacing w:after="40" w:before="40" w:line="300"/>
      </w:pPr>
      <w:r>
        <w:rPr>
          <w:rFonts w:ascii="Arial" w:cs="Arial" w:eastAsia="Arial" w:hAnsi="Arial"/>
          <w:b/>
          <w:bCs/>
          <w:color w:val="1B3A5C"/>
          <w:sz w:val="22"/>
          <w:szCs w:val="22"/>
        </w:rPr>
        <w:t xml:space="preserve">Intention-to-treat analysis: </w:t>
      </w:r>
      <w:r>
        <w:rPr>
          <w:rFonts w:ascii="Arial" w:cs="Arial" w:eastAsia="Arial" w:hAnsi="Arial"/>
          <w:color w:val="4A5568"/>
          <w:sz w:val="22"/>
          <w:szCs w:val="22"/>
        </w:rPr>
        <w:t xml:space="preserve">Analyzing participants in their assigned groups regardless of actual treatment received preserves the randomization-based comparability. Per-protocol analysis (restricted to adherent participants) may introduce selection bias.</w:t>
      </w:r>
    </w:p>
    <w:p>
      <w:pPr>
        <w:pStyle w:val="ListParagraph"/>
        <w:numPr>
          <w:ilvl w:val="0"/>
          <w:numId w:val="2"/>
        </w:numPr>
        <w:spacing w:after="40" w:before="40" w:line="300"/>
      </w:pPr>
      <w:r>
        <w:rPr>
          <w:rFonts w:ascii="Arial" w:cs="Arial" w:eastAsia="Arial" w:hAnsi="Arial"/>
          <w:b/>
          <w:bCs/>
          <w:color w:val="1B3A5C"/>
          <w:sz w:val="22"/>
          <w:szCs w:val="22"/>
        </w:rPr>
        <w:t xml:space="preserve">Sample size calculation: </w:t>
      </w:r>
      <w:r>
        <w:rPr>
          <w:rFonts w:ascii="Arial" w:cs="Arial" w:eastAsia="Arial" w:hAnsi="Arial"/>
          <w:color w:val="4A5568"/>
          <w:sz w:val="22"/>
          <w:szCs w:val="22"/>
        </w:rPr>
        <w:t xml:space="preserve">Prospective sample size calculation based on expected effect size, alpha error, and beta error ensures adequate power and is required for ethical conduct of RCTs.</w:t>
      </w:r>
    </w:p>
    <w:p>
      <w:pPr>
        <w:pStyle w:val="Heading2"/>
        <w:spacing w:after="120" w:before="280"/>
      </w:pPr>
      <w:r>
        <w:rPr>
          <w:rFonts w:ascii="Arial" w:cs="Arial" w:eastAsia="Arial" w:hAnsi="Arial"/>
          <w:b/>
          <w:bCs/>
          <w:color w:val="2E7D6B"/>
          <w:sz w:val="28"/>
          <w:szCs w:val="28"/>
        </w:rPr>
        <w:t xml:space="preserve">6.2 Quasi-Experimental Designs</w:t>
      </w:r>
    </w:p>
    <w:p>
      <w:pPr>
        <w:pStyle w:val="Heading3"/>
        <w:spacing w:after="80" w:before="200"/>
      </w:pPr>
      <w:r>
        <w:rPr>
          <w:rFonts w:ascii="Arial" w:cs="Arial" w:eastAsia="Arial" w:hAnsi="Arial"/>
          <w:b/>
          <w:bCs/>
          <w:color w:val="1B3A5C"/>
          <w:sz w:val="24"/>
          <w:szCs w:val="24"/>
        </w:rPr>
        <w:t xml:space="preserve">6.2.1 Interrupted Time Series</w:t>
      </w:r>
    </w:p>
    <w:p>
      <w:pPr>
        <w:spacing w:after="120" w:before="80" w:line="320"/>
      </w:pPr>
      <w:r>
        <w:rPr>
          <w:rFonts w:ascii="Arial" w:cs="Arial" w:eastAsia="Arial" w:hAnsi="Arial"/>
          <w:color w:val="4A5568"/>
          <w:sz w:val="22"/>
          <w:szCs w:val="22"/>
        </w:rPr>
        <w:t xml:space="preserve">The interrupted time series (ITS) is arguably the most powerful quasi-experimental design for evaluating the effect of population-level health policies. An ITS study compares the pre-intervention trend in a health outcome to the post-intervention trend, assessing whether the intervention produced a significant change in level (immediate impact) or slope (change in trajectory) of the outcome.</w:t>
      </w:r>
    </w:p>
    <w:p>
      <w:pPr>
        <w:spacing w:after="120" w:before="80" w:line="320"/>
      </w:pPr>
      <w:r>
        <w:rPr>
          <w:rFonts w:ascii="Arial" w:cs="Arial" w:eastAsia="Arial" w:hAnsi="Arial"/>
          <w:color w:val="4A5568"/>
          <w:sz w:val="22"/>
          <w:szCs w:val="22"/>
        </w:rPr>
        <w:t xml:space="preserve">Rural health policy evaluation frequently uses ITS designs. The effect of Critical Access Hospital designation on patient outcomes, the impact of Medicaid expansion on rural emergency department utilization, and the effectiveness of county-wide naloxone distribution programs can all be evaluated with ITS methodology.</w:t>
      </w:r>
    </w:p>
    <w:p>
      <w:pPr>
        <w:shd w:fill="F2F4F7" w:val="clear"/>
        <w:spacing w:after="160" w:before="160"/>
        <w:jc w:val="center"/>
      </w:pPr>
      <w:r>
        <w:rPr>
          <w:rFonts w:ascii="Courier New" w:cs="Courier New" w:eastAsia="Courier New" w:hAnsi="Courier New"/>
          <w:b/>
          <w:bCs/>
          <w:color w:val="1B3A5C"/>
          <w:sz w:val="22"/>
          <w:szCs w:val="22"/>
        </w:rPr>
        <w:t xml:space="preserve">Y(t) = β₀ + β₁·Time + β₂·Intervention + β₃·Time-after-intervention + ε</w:t>
      </w:r>
    </w:p>
    <w:p>
      <w:pPr>
        <w:pStyle w:val="Heading3"/>
        <w:spacing w:after="80" w:before="200"/>
      </w:pPr>
      <w:r>
        <w:rPr>
          <w:rFonts w:ascii="Arial" w:cs="Arial" w:eastAsia="Arial" w:hAnsi="Arial"/>
          <w:b/>
          <w:bCs/>
          <w:color w:val="1B3A5C"/>
          <w:sz w:val="24"/>
          <w:szCs w:val="24"/>
        </w:rPr>
        <w:t xml:space="preserve">6.2.2 Difference-in-Differences</w:t>
      </w:r>
    </w:p>
    <w:p>
      <w:pPr>
        <w:spacing w:after="120" w:before="80" w:line="320"/>
      </w:pPr>
      <w:r>
        <w:rPr>
          <w:rFonts w:ascii="Arial" w:cs="Arial" w:eastAsia="Arial" w:hAnsi="Arial"/>
          <w:color w:val="4A5568"/>
          <w:sz w:val="22"/>
          <w:szCs w:val="22"/>
        </w:rPr>
        <w:t xml:space="preserve">Difference-in-differences (DiD) estimation compares the change in outcomes before and after an intervention in a treated group to the change in outcomes over the same period in a comparison (untreated) group. DiD controls for secular trends that affect both groups equally, isolating the effect of the intervention.</w:t>
      </w:r>
    </w:p>
    <w:p>
      <w:pPr>
        <w:shd w:fill="F2F4F7" w:val="clear"/>
        <w:spacing w:after="160" w:before="160"/>
        <w:jc w:val="center"/>
      </w:pPr>
      <w:r>
        <w:rPr>
          <w:rFonts w:ascii="Courier New" w:cs="Courier New" w:eastAsia="Courier New" w:hAnsi="Courier New"/>
          <w:b/>
          <w:bCs/>
          <w:color w:val="1B3A5C"/>
          <w:sz w:val="22"/>
          <w:szCs w:val="22"/>
        </w:rPr>
        <w:t xml:space="preserve">DiD = (Y_treated,post − Y_treated,pre) − (Y_control,post − Y_control,pre)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63D2F" w:sz="6"/>
              <w:bottom w:val="none"/>
              <w:right w:val="none"/>
            </w:tcBorders>
            <w:shd w:fill="FDF0EE" w:val="clear"/>
            <w:tcMar>
              <w:top w:type="dxa" w:w="120"/>
              <w:left w:type="dxa" w:w="280"/>
              <w:bottom w:type="dxa" w:w="40"/>
              <w:right w:type="dxa" w:w="200"/>
            </w:tcMar>
          </w:tcPr>
          <w:p>
            <w:r>
              <w:rPr>
                <w:rFonts w:ascii="Arial" w:cs="Arial" w:eastAsia="Arial" w:hAnsi="Arial"/>
                <w:b/>
                <w:bCs/>
                <w:color w:val="A63D2F"/>
                <w:sz w:val="18"/>
                <w:szCs w:val="18"/>
              </w:rPr>
              <w:t xml:space="preserve">⬛ RURAL CONTEXT</w:t>
            </w:r>
          </w:p>
        </w:tc>
      </w:tr>
      <w:tr>
        <w:tc>
          <w:tcPr>
            <w:tcW w:type="dxa" w:w="9360"/>
            <w:tcBorders>
              <w:top w:val="none"/>
              <w:left w:val="single" w:color="A63D2F" w:sz="6"/>
              <w:bottom w:val="none"/>
              <w:right w:val="none"/>
            </w:tcBorders>
            <w:shd w:fill="FDF0EE"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The Medicaid expansion analysis comparing health outcomes in expansion vs. non-expansion states before and after 2014 is a classic DiD design. Many rural counties in expansion states showed measurable improvements in insurance coverage, preventive service utilization, and cardiovascular mortality that were not seen in non-expansion state comparators.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B5892A" w:val="clear"/>
            <w:tcMar>
              <w:top w:type="dxa" w:w="360"/>
              <w:left w:type="dxa" w:w="720"/>
              <w:bottom w:type="dxa" w:w="360"/>
              <w:right w:type="dxa" w:w="720"/>
            </w:tcMar>
          </w:tcPr>
          <w:p>
            <w:pPr>
              <w:jc w:val="center"/>
            </w:pPr>
            <w:r>
              <w:rPr>
                <w:rFonts w:ascii="Arial" w:cs="Arial" w:eastAsia="Arial" w:hAnsi="Arial"/>
                <w:b/>
                <w:bCs/>
                <w:color w:val="FFFFFF"/>
                <w:sz w:val="44"/>
                <w:szCs w:val="44"/>
              </w:rPr>
              <w:t xml:space="preserve">PART III</w:t>
            </w:r>
          </w:p>
          <w:p>
            <w:pPr>
              <w:jc w:val="center"/>
            </w:pPr>
            <w:r>
              <w:rPr>
                <w:rFonts w:ascii="Arial" w:cs="Arial" w:eastAsia="Arial" w:hAnsi="Arial"/>
                <w:i/>
                <w:iCs/>
                <w:color w:val="FFF0C8"/>
                <w:sz w:val="28"/>
                <w:szCs w:val="28"/>
              </w:rPr>
              <w:t xml:space="preserve">Applied Rural Epidemiology</w:t>
            </w:r>
          </w:p>
        </w:tc>
      </w:tr>
    </w:tbl>
    <w:p>
      <w:pPr>
        <w:spacing w:after="60" w:before="0"/>
      </w:pPr>
      <w:r>
        <w:t xml:space="preserve"/>
      </w:r>
    </w:p>
    <w:p>
      <w:pPr>
        <w:spacing w:after="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80"/>
              <w:left w:type="dxa" w:w="360"/>
              <w:bottom w:type="dxa" w:w="280"/>
              <w:right w:type="dxa" w:w="360"/>
            </w:tcMar>
          </w:tcPr>
          <w:p>
            <w:pPr>
              <w:spacing w:after="60" w:before="0"/>
            </w:pPr>
            <w:r>
              <w:rPr>
                <w:rFonts w:ascii="Arial" w:cs="Arial" w:eastAsia="Arial" w:hAnsi="Arial"/>
                <w:b/>
                <w:bCs/>
                <w:color w:val="B5892A"/>
                <w:sz w:val="22"/>
                <w:szCs w:val="22"/>
              </w:rPr>
              <w:t xml:space="preserve">CHAPTER 8</w:t>
            </w:r>
          </w:p>
          <w:p>
            <w:pPr>
              <w:spacing w:after="40" w:before="0"/>
            </w:pPr>
            <w:r>
              <w:rPr>
                <w:rFonts w:ascii="Arial" w:cs="Arial" w:eastAsia="Arial" w:hAnsi="Arial"/>
                <w:b/>
                <w:bCs/>
                <w:color w:val="FFFFFF"/>
                <w:sz w:val="38"/>
                <w:szCs w:val="38"/>
              </w:rPr>
              <w:t xml:space="preserve">Infectious Disease Surveillance and Outbreak Investigation</w:t>
            </w:r>
          </w:p>
          <w:p>
            <w:pPr>
              <w:spacing w:after="0" w:before="0"/>
            </w:pPr>
            <w:r>
              <w:rPr>
                <w:rFonts w:ascii="Arial" w:cs="Arial" w:eastAsia="Arial" w:hAnsi="Arial"/>
                <w:i/>
                <w:iCs/>
                <w:color w:val="AABFD4"/>
                <w:sz w:val="22"/>
                <w:szCs w:val="22"/>
              </w:rPr>
              <w:t xml:space="preserve">Detection, Response, and Control in Rural Settings</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8.1 Principles of Disease Surveillance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6"/>
              <w:left w:val="single" w:color="2E7D6B" w:sz="6"/>
              <w:bottom w:val="single" w:color="2E7D6B" w:sz="6"/>
              <w:right w:val="single" w:color="2E7D6B" w:sz="6"/>
            </w:tcBorders>
            <w:shd w:fill="EEF7F5" w:val="clear"/>
            <w:tcMar>
              <w:top w:type="dxa" w:w="120"/>
              <w:left w:type="dxa" w:w="240"/>
              <w:bottom w:type="dxa" w:w="120"/>
              <w:right w:type="dxa" w:w="240"/>
            </w:tcMar>
          </w:tcPr>
          <w:p>
            <w:pPr>
              <w:spacing w:after="40" w:before="0"/>
            </w:pPr>
            <w:r>
              <w:rPr>
                <w:rFonts w:ascii="Arial" w:cs="Arial" w:eastAsia="Arial" w:hAnsi="Arial"/>
                <w:b/>
                <w:bCs/>
                <w:color w:val="2E7D6B"/>
                <w:sz w:val="22"/>
                <w:szCs w:val="22"/>
              </w:rPr>
              <w:t xml:space="preserve">Public Health Surveillance</w:t>
            </w:r>
          </w:p>
          <w:p>
            <w:pPr>
              <w:spacing w:after="0" w:before="0" w:line="280"/>
            </w:pPr>
            <w:r>
              <w:rPr>
                <w:rFonts w:ascii="Arial" w:cs="Arial" w:eastAsia="Arial" w:hAnsi="Arial"/>
                <w:color w:val="4A5568"/>
                <w:sz w:val="20"/>
                <w:szCs w:val="20"/>
              </w:rPr>
              <w:t xml:space="preserve">The ongoing, systematic collection, analysis, and interpretation of health-related data essential to planning, implementing, and evaluating public health practice—closely integrated with the timely dissemination of these data to those who need to know.</w:t>
            </w:r>
          </w:p>
        </w:tc>
      </w:tr>
    </w:tbl>
    <w:p>
      <w:pPr>
        <w:spacing w:after="120" w:before="80" w:line="320"/>
      </w:pPr>
      <w:r>
        <w:rPr>
          <w:rFonts w:ascii="Arial" w:cs="Arial" w:eastAsia="Arial" w:hAnsi="Arial"/>
          <w:color w:val="4A5568"/>
          <w:sz w:val="22"/>
          <w:szCs w:val="22"/>
        </w:rPr>
        <w:t xml:space="preserve">Effective surveillance requires: (1) case definitions that are sensitive enough to capture true cases without excessive false positives; (2) reliable reporting systems that reach all healthcare providers; (3) analytic capacity to detect signals above background noise; and (4) communication infrastructure to disseminate alerts and coordinate response.</w:t>
      </w:r>
    </w:p>
    <w:p>
      <w:pPr>
        <w:pStyle w:val="Heading3"/>
        <w:spacing w:after="80" w:before="200"/>
      </w:pPr>
      <w:r>
        <w:rPr>
          <w:rFonts w:ascii="Arial" w:cs="Arial" w:eastAsia="Arial" w:hAnsi="Arial"/>
          <w:b/>
          <w:bCs/>
          <w:color w:val="1B3A5C"/>
          <w:sz w:val="24"/>
          <w:szCs w:val="24"/>
        </w:rPr>
        <w:t xml:space="preserve">8.1.1 Passive vs. Active Surveillance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Passive Surveillance</w:t>
            </w:r>
          </w:p>
        </w:tc>
        <w:tc>
          <w:tcPr>
            <w:tcW w:type="dxa" w:w="576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Active Surveillance</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Healthcare providers report cases voluntarily</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Health department contacts reporters proactively</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Lower cost; broader geographic coverage</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Higher cost; more complete and timely data</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Subject to underreporting (typically 10–20% of true cases)</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More sensitive; can detect clusters earlier</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Foundation of notifiable disease systems</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Used during outbreaks and for priority pathogens</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Example: Routine weekly MMWR notifiable disease reports</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Example: Daily COVID-19 contact tracing calls to cases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63D2F" w:sz="6"/>
              <w:bottom w:val="none"/>
              <w:right w:val="none"/>
            </w:tcBorders>
            <w:shd w:fill="FDF0EE" w:val="clear"/>
            <w:tcMar>
              <w:top w:type="dxa" w:w="120"/>
              <w:left w:type="dxa" w:w="280"/>
              <w:bottom w:type="dxa" w:w="40"/>
              <w:right w:type="dxa" w:w="200"/>
            </w:tcMar>
          </w:tcPr>
          <w:p>
            <w:r>
              <w:rPr>
                <w:rFonts w:ascii="Arial" w:cs="Arial" w:eastAsia="Arial" w:hAnsi="Arial"/>
                <w:b/>
                <w:bCs/>
                <w:color w:val="A63D2F"/>
                <w:sz w:val="18"/>
                <w:szCs w:val="18"/>
              </w:rPr>
              <w:t xml:space="preserve">⬛ RURAL CONTEXT</w:t>
            </w:r>
          </w:p>
        </w:tc>
      </w:tr>
      <w:tr>
        <w:tc>
          <w:tcPr>
            <w:tcW w:type="dxa" w:w="9360"/>
            <w:tcBorders>
              <w:top w:val="none"/>
              <w:left w:val="single" w:color="A63D2F" w:sz="6"/>
              <w:bottom w:val="none"/>
              <w:right w:val="none"/>
            </w:tcBorders>
            <w:shd w:fill="FDF0EE"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Rural surveillance systems face the dual challenge of few reporters (limiting sensitivity) and small denominators (limiting statistical stability). A single rural physician seeing 3 cases of meningococcal disease in one week has effectively identified an outbreak—a cluster of identical magnitude would be undetectable noise in a city with 50 reporting hospitals.</w:t>
            </w:r>
          </w:p>
        </w:tc>
      </w:tr>
    </w:tbl>
    <w:p>
      <w:pPr>
        <w:pStyle w:val="Heading2"/>
        <w:spacing w:after="120" w:before="280"/>
      </w:pPr>
      <w:r>
        <w:rPr>
          <w:rFonts w:ascii="Arial" w:cs="Arial" w:eastAsia="Arial" w:hAnsi="Arial"/>
          <w:b/>
          <w:bCs/>
          <w:color w:val="2E7D6B"/>
          <w:sz w:val="28"/>
          <w:szCs w:val="28"/>
        </w:rPr>
        <w:t xml:space="preserve">8.2 The Outbreak Investigation Framework</w:t>
      </w:r>
    </w:p>
    <w:p>
      <w:pPr>
        <w:spacing w:after="120" w:before="80" w:line="320"/>
      </w:pPr>
      <w:r>
        <w:rPr>
          <w:rFonts w:ascii="Arial" w:cs="Arial" w:eastAsia="Arial" w:hAnsi="Arial"/>
          <w:color w:val="4A5568"/>
          <w:sz w:val="22"/>
          <w:szCs w:val="22"/>
        </w:rPr>
        <w:t xml:space="preserve">Outbreak investigation follows a standard 10-step framework that proceeds simultaneously across detection, investigation, and control activities. Steps are iterative, not strictly sequential—hypotheses are refined as data accumulate.</w:t>
      </w:r>
    </w:p>
    <w:p>
      <w:pPr>
        <w:pStyle w:val="ListParagraph"/>
        <w:numPr>
          <w:ilvl w:val="0"/>
          <w:numId w:val="3"/>
        </w:numPr>
        <w:spacing w:after="40" w:before="40" w:line="300"/>
      </w:pPr>
      <w:r>
        <w:rPr>
          <w:rFonts w:ascii="Arial" w:cs="Arial" w:eastAsia="Arial" w:hAnsi="Arial"/>
          <w:color w:val="4A5568"/>
          <w:sz w:val="22"/>
          <w:szCs w:val="22"/>
        </w:rPr>
        <w:t xml:space="preserve">Prepare for field work: Assemble team, gather supplies, review existing knowledge, arrange travel and logistics.</w:t>
      </w:r>
    </w:p>
    <w:p>
      <w:pPr>
        <w:pStyle w:val="ListParagraph"/>
        <w:numPr>
          <w:ilvl w:val="0"/>
          <w:numId w:val="3"/>
        </w:numPr>
        <w:spacing w:after="40" w:before="40" w:line="300"/>
      </w:pPr>
      <w:r>
        <w:rPr>
          <w:rFonts w:ascii="Arial" w:cs="Arial" w:eastAsia="Arial" w:hAnsi="Arial"/>
          <w:color w:val="4A5568"/>
          <w:sz w:val="22"/>
          <w:szCs w:val="22"/>
        </w:rPr>
        <w:t xml:space="preserve">Establish the existence of an outbreak: Determine whether the observed number of cases exceeds the expected background rate. Calculate the baseline and compare to current case counts.</w:t>
      </w:r>
    </w:p>
    <w:p>
      <w:pPr>
        <w:pStyle w:val="ListParagraph"/>
        <w:numPr>
          <w:ilvl w:val="0"/>
          <w:numId w:val="3"/>
        </w:numPr>
        <w:spacing w:after="40" w:before="40" w:line="300"/>
      </w:pPr>
      <w:r>
        <w:rPr>
          <w:rFonts w:ascii="Arial" w:cs="Arial" w:eastAsia="Arial" w:hAnsi="Arial"/>
          <w:color w:val="4A5568"/>
          <w:sz w:val="22"/>
          <w:szCs w:val="22"/>
        </w:rPr>
        <w:t xml:space="preserve">Verify the diagnosis: Review clinical and laboratory findings; examine medical records; interview cases; collect appropriate specimens.</w:t>
      </w:r>
    </w:p>
    <w:p>
      <w:pPr>
        <w:pStyle w:val="ListParagraph"/>
        <w:numPr>
          <w:ilvl w:val="0"/>
          <w:numId w:val="3"/>
        </w:numPr>
        <w:spacing w:after="40" w:before="40" w:line="300"/>
      </w:pPr>
      <w:r>
        <w:rPr>
          <w:rFonts w:ascii="Arial" w:cs="Arial" w:eastAsia="Arial" w:hAnsi="Arial"/>
          <w:color w:val="4A5568"/>
          <w:sz w:val="22"/>
          <w:szCs w:val="22"/>
        </w:rPr>
        <w:t xml:space="preserve">Construct a working case definition: Specify the clinical criteria, laboratory criteria, epidemiological criteria, and time/place/person criteria that define a case. Include probable and suspected case categories.</w:t>
      </w:r>
    </w:p>
    <w:p>
      <w:pPr>
        <w:pStyle w:val="ListParagraph"/>
        <w:numPr>
          <w:ilvl w:val="0"/>
          <w:numId w:val="3"/>
        </w:numPr>
        <w:spacing w:after="40" w:before="40" w:line="300"/>
      </w:pPr>
      <w:r>
        <w:rPr>
          <w:rFonts w:ascii="Arial" w:cs="Arial" w:eastAsia="Arial" w:hAnsi="Arial"/>
          <w:color w:val="4A5568"/>
          <w:sz w:val="22"/>
          <w:szCs w:val="22"/>
        </w:rPr>
        <w:t xml:space="preserve">Find and count cases: Implement systematic case finding using active and passive surveillance. Build the line list—a spreadsheet with one row per case and columns for key variables.</w:t>
      </w:r>
    </w:p>
    <w:p>
      <w:pPr>
        <w:pStyle w:val="ListParagraph"/>
        <w:numPr>
          <w:ilvl w:val="0"/>
          <w:numId w:val="3"/>
        </w:numPr>
        <w:spacing w:after="40" w:before="40" w:line="300"/>
      </w:pPr>
      <w:r>
        <w:rPr>
          <w:rFonts w:ascii="Arial" w:cs="Arial" w:eastAsia="Arial" w:hAnsi="Arial"/>
          <w:color w:val="4A5568"/>
          <w:sz w:val="22"/>
          <w:szCs w:val="22"/>
        </w:rPr>
        <w:t xml:space="preserve">Perform descriptive epidemiology: Characterize the outbreak by person (who?), place (where?), and time (when?). Draw the epidemic curve. Map case locations.</w:t>
      </w:r>
    </w:p>
    <w:p>
      <w:pPr>
        <w:pStyle w:val="ListParagraph"/>
        <w:numPr>
          <w:ilvl w:val="0"/>
          <w:numId w:val="3"/>
        </w:numPr>
        <w:spacing w:after="40" w:before="40" w:line="300"/>
      </w:pPr>
      <w:r>
        <w:rPr>
          <w:rFonts w:ascii="Arial" w:cs="Arial" w:eastAsia="Arial" w:hAnsi="Arial"/>
          <w:color w:val="4A5568"/>
          <w:sz w:val="22"/>
          <w:szCs w:val="22"/>
        </w:rPr>
        <w:t xml:space="preserve">Develop hypotheses: Based on descriptive data, generate specific, testable hypotheses about the source, vehicle, and mode of transmission.</w:t>
      </w:r>
    </w:p>
    <w:p>
      <w:pPr>
        <w:pStyle w:val="ListParagraph"/>
        <w:numPr>
          <w:ilvl w:val="0"/>
          <w:numId w:val="3"/>
        </w:numPr>
        <w:spacing w:after="40" w:before="40" w:line="300"/>
      </w:pPr>
      <w:r>
        <w:rPr>
          <w:rFonts w:ascii="Arial" w:cs="Arial" w:eastAsia="Arial" w:hAnsi="Arial"/>
          <w:color w:val="4A5568"/>
          <w:sz w:val="22"/>
          <w:szCs w:val="22"/>
        </w:rPr>
        <w:t xml:space="preserve">Evaluate hypotheses: Test hypotheses using analytical epidemiology (cohort study or case-control study). Calculate attack rates or odds ratios for each exposure.</w:t>
      </w:r>
    </w:p>
    <w:p>
      <w:pPr>
        <w:pStyle w:val="ListParagraph"/>
        <w:numPr>
          <w:ilvl w:val="0"/>
          <w:numId w:val="3"/>
        </w:numPr>
        <w:spacing w:after="40" w:before="40" w:line="300"/>
      </w:pPr>
      <w:r>
        <w:rPr>
          <w:rFonts w:ascii="Arial" w:cs="Arial" w:eastAsia="Arial" w:hAnsi="Arial"/>
          <w:color w:val="4A5568"/>
          <w:sz w:val="22"/>
          <w:szCs w:val="22"/>
        </w:rPr>
        <w:t xml:space="preserve">Implement control measures: Identify specific, actionable measures proportionate to the risk. Don't wait for complete data—act on the best available evidence.</w:t>
      </w:r>
    </w:p>
    <w:p>
      <w:pPr>
        <w:pStyle w:val="ListParagraph"/>
        <w:numPr>
          <w:ilvl w:val="0"/>
          <w:numId w:val="3"/>
        </w:numPr>
        <w:spacing w:after="40" w:before="40" w:line="300"/>
      </w:pPr>
      <w:r>
        <w:rPr>
          <w:rFonts w:ascii="Arial" w:cs="Arial" w:eastAsia="Arial" w:hAnsi="Arial"/>
          <w:color w:val="4A5568"/>
          <w:sz w:val="22"/>
          <w:szCs w:val="22"/>
        </w:rPr>
        <w:t xml:space="preserve">Communicate findings: Prepare outbreak report; brief local health officials, healthcare providers, and media as appropriate; submit case reports to state and CDC.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5892A" w:sz="6"/>
              <w:bottom w:val="none"/>
              <w:right w:val="none"/>
            </w:tcBorders>
            <w:shd w:fill="FFF8E7" w:val="clear"/>
            <w:tcMar>
              <w:top w:type="dxa" w:w="120"/>
              <w:left w:type="dxa" w:w="280"/>
              <w:bottom w:type="dxa" w:w="40"/>
              <w:right w:type="dxa" w:w="200"/>
            </w:tcMar>
          </w:tcPr>
          <w:p>
            <w:r>
              <w:rPr>
                <w:rFonts w:ascii="Arial" w:cs="Arial" w:eastAsia="Arial" w:hAnsi="Arial"/>
                <w:b/>
                <w:bCs/>
                <w:color w:val="B5892A"/>
                <w:sz w:val="18"/>
                <w:szCs w:val="18"/>
              </w:rPr>
              <w:t xml:space="preserve">◆ CLINICAL PEARL</w:t>
            </w:r>
          </w:p>
        </w:tc>
      </w:tr>
      <w:tr>
        <w:tc>
          <w:tcPr>
            <w:tcW w:type="dxa" w:w="9360"/>
            <w:tcBorders>
              <w:top w:val="none"/>
              <w:left w:val="single" w:color="B5892A" w:sz="6"/>
              <w:bottom w:val="none"/>
              <w:right w:val="none"/>
            </w:tcBorders>
            <w:shd w:fill="FFF8E7"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Step 9—implementing control measures—should begin as soon as plausible hypotheses emerge, not after definitive confirmation. The epidemiological method, like clinical medicine, requires acting on probabilistic evidence under uncertainty. If potato salad is the most likely vehicle based on preliminary attack rates, remove it from the event before cultures return.</w:t>
            </w:r>
          </w:p>
        </w:tc>
      </w:tr>
    </w:tbl>
    <w:p>
      <w:pPr>
        <w:pStyle w:val="Heading2"/>
        <w:spacing w:after="120" w:before="280"/>
      </w:pPr>
      <w:r>
        <w:rPr>
          <w:rFonts w:ascii="Arial" w:cs="Arial" w:eastAsia="Arial" w:hAnsi="Arial"/>
          <w:b/>
          <w:bCs/>
          <w:color w:val="2E7D6B"/>
          <w:sz w:val="28"/>
          <w:szCs w:val="28"/>
        </w:rPr>
        <w:t xml:space="preserve">8.3 The Attack Rate Table</w:t>
      </w:r>
    </w:p>
    <w:p>
      <w:pPr>
        <w:spacing w:after="120" w:before="80" w:line="320"/>
      </w:pPr>
      <w:r>
        <w:rPr>
          <w:rFonts w:ascii="Arial" w:cs="Arial" w:eastAsia="Arial" w:hAnsi="Arial"/>
          <w:color w:val="4A5568"/>
          <w:sz w:val="22"/>
          <w:szCs w:val="22"/>
        </w:rPr>
        <w:t xml:space="preserve">The attack rate table is the core analytical tool for food- and waterborne outbreak investigations. It organizes exposure and illness data in a format that allows rapid calculation of food-specific attack rates and odds ratios.</w:t>
      </w:r>
    </w:p>
    <w:p>
      <w:pPr>
        <w:spacing w:after="120" w:before="80" w:line="320"/>
      </w:pPr>
      <w:r>
        <w:rPr>
          <w:rFonts w:ascii="Arial" w:cs="Arial" w:eastAsia="Arial" w:hAnsi="Arial"/>
          <w:color w:val="4A5568"/>
          <w:sz w:val="22"/>
          <w:szCs w:val="22"/>
        </w:rPr>
        <w:t xml:space="preserve">For each food item, calculate: (1) the attack rate among those who ate the food; (2) the attack rate among those who did not eat the food; and (3) the ratio (risk ratio) or difference. The food with the highest attack rate among exposed AND the largest difference from the unexposed rate is the most likely vehicle.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Food Item</w:t>
            </w:r>
          </w:p>
        </w:tc>
        <w:tc>
          <w:tcPr>
            <w:tcW w:type="dxa" w:w="312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 (Ate)</w:t>
            </w:r>
          </w:p>
        </w:tc>
        <w:tc>
          <w:tcPr>
            <w:tcW w:type="dxa" w:w="312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 (Did Not Eat)</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Potato Salad</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87/143 = 60.8%</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12/89 = 13.5%</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Coleslaw</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52/118 = 44.1%</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47/114 = 41.2%</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Grilled Chicken</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61/132 = 46.2%</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38/100 = 38.0%</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Lemonade</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56/109 = 51.4%</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43/123 = 35.0%</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Baked Beans</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50/121 = 41.3%</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49/111 = 44.1%</w:t>
            </w:r>
          </w:p>
        </w:tc>
      </w:tr>
    </w:tbl>
    <w:p>
      <w:pPr>
        <w:spacing w:after="60" w:before="0"/>
      </w:pPr>
      <w:r>
        <w:t xml:space="preserve"/>
      </w:r>
    </w:p>
    <w:p>
      <w:pPr>
        <w:spacing w:after="120" w:before="80" w:line="320"/>
      </w:pPr>
      <w:r>
        <w:rPr>
          <w:rFonts w:ascii="Arial" w:cs="Arial" w:eastAsia="Arial" w:hAnsi="Arial"/>
          <w:color w:val="4A5568"/>
          <w:sz w:val="22"/>
          <w:szCs w:val="22"/>
        </w:rPr>
        <w:t xml:space="preserve">From this hypothetical attack rate table, potato salad has both the highest attack rate (60.8%) and the largest difference between exposed and unexposed (60.8% − 13.5% = 47.3 percentage points). It is the probable vehicle, and collection of remaining potato salad for culture is the immediate investigative priority.</w:t>
      </w:r>
    </w:p>
    <w:p>
      <w:pPr>
        <w:pStyle w:val="Heading2"/>
        <w:spacing w:after="120" w:before="280"/>
      </w:pPr>
      <w:r>
        <w:rPr>
          <w:rFonts w:ascii="Arial" w:cs="Arial" w:eastAsia="Arial" w:hAnsi="Arial"/>
          <w:b/>
          <w:bCs/>
          <w:color w:val="2E7D6B"/>
          <w:sz w:val="28"/>
          <w:szCs w:val="28"/>
        </w:rPr>
        <w:t xml:space="preserve">8.4 Notifiable Disease Reporting in Rural Settings</w:t>
      </w:r>
    </w:p>
    <w:p>
      <w:pPr>
        <w:spacing w:after="120" w:before="80" w:line="320"/>
      </w:pPr>
      <w:r>
        <w:rPr>
          <w:rFonts w:ascii="Arial" w:cs="Arial" w:eastAsia="Arial" w:hAnsi="Arial"/>
          <w:color w:val="4A5568"/>
          <w:sz w:val="22"/>
          <w:szCs w:val="22"/>
        </w:rPr>
        <w:t xml:space="preserve">The Council of State and Territorial Epidemiologists (CSTE) publishes an annual list of nationally notifiable conditions. States add additional conditions to their own required reporting lists. Healthcare providers in rural settings—often the only physician within 30 miles—carry disproportionate responsibility for accurate and timely reporting.</w:t>
      </w:r>
    </w:p>
    <w:p>
      <w:pPr>
        <w:pStyle w:val="ListParagraph"/>
        <w:numPr>
          <w:ilvl w:val="0"/>
          <w:numId w:val="2"/>
        </w:numPr>
        <w:spacing w:after="40" w:before="40" w:line="300"/>
      </w:pPr>
      <w:r>
        <w:rPr>
          <w:rFonts w:ascii="Arial" w:cs="Arial" w:eastAsia="Arial" w:hAnsi="Arial"/>
          <w:color w:val="4A5568"/>
          <w:sz w:val="22"/>
          <w:szCs w:val="22"/>
        </w:rPr>
        <w:t xml:space="preserve">Category A conditions (highest priority, must be reported immediately by phone): Anthrax, botulism, plague, smallpox, tularemia, viral hemorrhagic fevers.</w:t>
      </w:r>
    </w:p>
    <w:p>
      <w:pPr>
        <w:pStyle w:val="ListParagraph"/>
        <w:numPr>
          <w:ilvl w:val="0"/>
          <w:numId w:val="2"/>
        </w:numPr>
        <w:spacing w:after="40" w:before="40" w:line="300"/>
      </w:pPr>
      <w:r>
        <w:rPr>
          <w:rFonts w:ascii="Arial" w:cs="Arial" w:eastAsia="Arial" w:hAnsi="Arial"/>
          <w:color w:val="4A5568"/>
          <w:sz w:val="22"/>
          <w:szCs w:val="22"/>
        </w:rPr>
        <w:t xml:space="preserve">Category B conditions (urgent, report within 24 hours): Brucellosis, foodborne illness outbreaks, measles, meningococcal disease, rabies, typhoid fever.</w:t>
      </w:r>
    </w:p>
    <w:p>
      <w:pPr>
        <w:pStyle w:val="ListParagraph"/>
        <w:numPr>
          <w:ilvl w:val="0"/>
          <w:numId w:val="2"/>
        </w:numPr>
        <w:spacing w:after="40" w:before="40" w:line="300"/>
      </w:pPr>
      <w:r>
        <w:rPr>
          <w:rFonts w:ascii="Arial" w:cs="Arial" w:eastAsia="Arial" w:hAnsi="Arial"/>
          <w:color w:val="4A5568"/>
          <w:sz w:val="22"/>
          <w:szCs w:val="22"/>
        </w:rPr>
        <w:t xml:space="preserve">Category C conditions (report within 3 business days): Campylobacteriosis, cryptosporidiosis, Giardia, hepatitis A/B/C (new cases), Lyme disease, pertussis, salmonellosis, shigellosis.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63D2F" w:sz="6"/>
              <w:bottom w:val="none"/>
              <w:right w:val="none"/>
            </w:tcBorders>
            <w:shd w:fill="FDF0EE" w:val="clear"/>
            <w:tcMar>
              <w:top w:type="dxa" w:w="120"/>
              <w:left w:type="dxa" w:w="280"/>
              <w:bottom w:type="dxa" w:w="40"/>
              <w:right w:type="dxa" w:w="200"/>
            </w:tcMar>
          </w:tcPr>
          <w:p>
            <w:r>
              <w:rPr>
                <w:rFonts w:ascii="Arial" w:cs="Arial" w:eastAsia="Arial" w:hAnsi="Arial"/>
                <w:b/>
                <w:bCs/>
                <w:color w:val="A63D2F"/>
                <w:sz w:val="18"/>
                <w:szCs w:val="18"/>
              </w:rPr>
              <w:t xml:space="preserve">⬛ RURAL CONTEXT</w:t>
            </w:r>
          </w:p>
        </w:tc>
      </w:tr>
      <w:tr>
        <w:tc>
          <w:tcPr>
            <w:tcW w:type="dxa" w:w="9360"/>
            <w:tcBorders>
              <w:top w:val="none"/>
              <w:left w:val="single" w:color="A63D2F" w:sz="6"/>
              <w:bottom w:val="none"/>
              <w:right w:val="none"/>
            </w:tcBorders>
            <w:shd w:fill="FDF0EE"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Underreporting of notifiable diseases is substantially higher in rural areas. Surveys estimate that only 10–30% of nationally notifiable conditions are actually reported, even for conditions with clear reporting requirements. Rural providers often lack epidemiology support staff to facilitate reporting, and time constraints in solo practices further reduce compliance. Electronic health record integration with electronic case reporting (eCR) is gradually improving this gap.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80"/>
              <w:left w:type="dxa" w:w="360"/>
              <w:bottom w:type="dxa" w:w="280"/>
              <w:right w:type="dxa" w:w="360"/>
            </w:tcMar>
          </w:tcPr>
          <w:p>
            <w:pPr>
              <w:spacing w:after="60" w:before="0"/>
            </w:pPr>
            <w:r>
              <w:rPr>
                <w:rFonts w:ascii="Arial" w:cs="Arial" w:eastAsia="Arial" w:hAnsi="Arial"/>
                <w:b/>
                <w:bCs/>
                <w:color w:val="B5892A"/>
                <w:sz w:val="22"/>
                <w:szCs w:val="22"/>
              </w:rPr>
              <w:t xml:space="preserve">CHAPTER 9</w:t>
            </w:r>
          </w:p>
          <w:p>
            <w:pPr>
              <w:spacing w:after="40" w:before="0"/>
            </w:pPr>
            <w:r>
              <w:rPr>
                <w:rFonts w:ascii="Arial" w:cs="Arial" w:eastAsia="Arial" w:hAnsi="Arial"/>
                <w:b/>
                <w:bCs/>
                <w:color w:val="FFFFFF"/>
                <w:sz w:val="38"/>
                <w:szCs w:val="38"/>
              </w:rPr>
              <w:t xml:space="preserve">Chronic Disease Epidemiology in Rural Communities</w:t>
            </w:r>
          </w:p>
          <w:p>
            <w:pPr>
              <w:spacing w:after="0" w:before="0"/>
            </w:pPr>
            <w:r>
              <w:rPr>
                <w:rFonts w:ascii="Arial" w:cs="Arial" w:eastAsia="Arial" w:hAnsi="Arial"/>
                <w:i/>
                <w:iCs/>
                <w:color w:val="AABFD4"/>
                <w:sz w:val="22"/>
                <w:szCs w:val="22"/>
              </w:rPr>
              <w:t xml:space="preserve">The Long Arc of Preventable Death</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9.1 The Rural Chronic Disease Burden</w:t>
      </w:r>
    </w:p>
    <w:p>
      <w:pPr>
        <w:spacing w:after="120" w:before="80" w:line="320"/>
      </w:pPr>
      <w:r>
        <w:rPr>
          <w:rFonts w:ascii="Arial" w:cs="Arial" w:eastAsia="Arial" w:hAnsi="Arial"/>
          <w:color w:val="4A5568"/>
          <w:sz w:val="22"/>
          <w:szCs w:val="22"/>
        </w:rPr>
        <w:t xml:space="preserve">Chronic diseases—principally cardiovascular disease, cancer, chronic respiratory disease, and diabetes—account for approximately 75% of all US deaths and 86% of healthcare spending. Rural Americans bear a disproportionate share of this burden, with age-adjusted mortality from each of the four leading chronic diseases higher in rural than urban counties.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63D2F" w:sz="6"/>
              <w:bottom w:val="none"/>
              <w:right w:val="none"/>
            </w:tcBorders>
            <w:shd w:fill="FDF0EE" w:val="clear"/>
            <w:tcMar>
              <w:top w:type="dxa" w:w="120"/>
              <w:left w:type="dxa" w:w="280"/>
              <w:bottom w:type="dxa" w:w="40"/>
              <w:right w:type="dxa" w:w="200"/>
            </w:tcMar>
          </w:tcPr>
          <w:p>
            <w:r>
              <w:rPr>
                <w:rFonts w:ascii="Arial" w:cs="Arial" w:eastAsia="Arial" w:hAnsi="Arial"/>
                <w:b/>
                <w:bCs/>
                <w:color w:val="A63D2F"/>
                <w:sz w:val="18"/>
                <w:szCs w:val="18"/>
              </w:rPr>
              <w:t xml:space="preserve">⬛ RURAL CONTEXT</w:t>
            </w:r>
          </w:p>
        </w:tc>
      </w:tr>
      <w:tr>
        <w:tc>
          <w:tcPr>
            <w:tcW w:type="dxa" w:w="9360"/>
            <w:tcBorders>
              <w:top w:val="none"/>
              <w:left w:val="single" w:color="A63D2F" w:sz="6"/>
              <w:bottom w:val="none"/>
              <w:right w:val="none"/>
            </w:tcBorders>
            <w:shd w:fill="FDF0EE"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The 'rural-urban mortality convergence' narrative is largely false. While rural-urban differences in some communicable disease outcomes have narrowed, the rural-urban gap in chronic disease mortality has widened since 1999. Rural residents have higher prevalence of every major chronic disease risk factor: tobacco use, physical inactivity, obesity, hypertension, and diabetes—and fewer resources for disease management.</w:t>
            </w:r>
          </w:p>
        </w:tc>
      </w:tr>
    </w:tbl>
    <w:p>
      <w:pPr>
        <w:pStyle w:val="Heading2"/>
        <w:spacing w:after="120" w:before="280"/>
      </w:pPr>
      <w:r>
        <w:rPr>
          <w:rFonts w:ascii="Arial" w:cs="Arial" w:eastAsia="Arial" w:hAnsi="Arial"/>
          <w:b/>
          <w:bCs/>
          <w:color w:val="2E7D6B"/>
          <w:sz w:val="28"/>
          <w:szCs w:val="28"/>
        </w:rPr>
        <w:t xml:space="preserve">9.2 Cardiovascular Disease Epidemiology in Rural America</w:t>
      </w:r>
    </w:p>
    <w:p>
      <w:pPr>
        <w:pStyle w:val="Heading3"/>
        <w:spacing w:after="80" w:before="200"/>
      </w:pPr>
      <w:r>
        <w:rPr>
          <w:rFonts w:ascii="Arial" w:cs="Arial" w:eastAsia="Arial" w:hAnsi="Arial"/>
          <w:b/>
          <w:bCs/>
          <w:color w:val="1B3A5C"/>
          <w:sz w:val="24"/>
          <w:szCs w:val="24"/>
        </w:rPr>
        <w:t xml:space="preserve">9.2.1 Magnitude of the Problem</w:t>
      </w:r>
    </w:p>
    <w:p>
      <w:pPr>
        <w:spacing w:after="120" w:before="80" w:line="320"/>
      </w:pPr>
      <w:r>
        <w:rPr>
          <w:rFonts w:ascii="Arial" w:cs="Arial" w:eastAsia="Arial" w:hAnsi="Arial"/>
          <w:color w:val="4A5568"/>
          <w:sz w:val="22"/>
          <w:szCs w:val="22"/>
        </w:rPr>
        <w:t xml:space="preserve">Cardiovascular disease (CVD)—encompassing coronary artery disease, stroke, heart failure, and peripheral artery disease—is the leading cause of death in both rural and urban America, but rural residents die from CVD at approximately 25% higher age-adjusted rates. The disparity is largest for acute myocardial infarction, where distance-to-care and limited catheterization laboratory access drive worse outcomes.</w:t>
      </w:r>
    </w:p>
    <w:p>
      <w:pPr>
        <w:spacing w:after="120" w:before="80" w:line="320"/>
      </w:pPr>
      <w:r>
        <w:rPr>
          <w:rFonts w:ascii="Arial" w:cs="Arial" w:eastAsia="Arial" w:hAnsi="Arial"/>
          <w:color w:val="4A5568"/>
          <w:sz w:val="22"/>
          <w:szCs w:val="22"/>
        </w:rPr>
        <w:t xml:space="preserve">STEMI (ST-elevation myocardial infarction) outcomes are particularly sensitive to geography. The 90-minute door-to-balloon time standard established by the ACC/AHA is met in only 40–60% of rural hospitals versus 90% of urban hospitals with percutaneous coronary intervention (PCI) capability. Many rural hospitals have no PCI capability at all, requiring transfer delays that markedly increase mortality.</w:t>
      </w:r>
    </w:p>
    <w:p>
      <w:pPr>
        <w:pStyle w:val="Heading3"/>
        <w:spacing w:after="80" w:before="200"/>
      </w:pPr>
      <w:r>
        <w:rPr>
          <w:rFonts w:ascii="Arial" w:cs="Arial" w:eastAsia="Arial" w:hAnsi="Arial"/>
          <w:b/>
          <w:bCs/>
          <w:color w:val="1B3A5C"/>
          <w:sz w:val="24"/>
          <w:szCs w:val="24"/>
        </w:rPr>
        <w:t xml:space="preserve">9.2.2 Key Risk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 Factor</w:t>
            </w:r>
          </w:p>
        </w:tc>
        <w:tc>
          <w:tcPr>
            <w:tcW w:type="dxa" w:w="312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Rural Prevalence</w:t>
            </w:r>
          </w:p>
        </w:tc>
        <w:tc>
          <w:tcPr>
            <w:tcW w:type="dxa" w:w="312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Urban Prevalence</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Hypertension</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38.0%</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33.4%</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Current smoking</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21.5%</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14.4%</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Obesity (BMI ≥ 30)</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36.5%</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27.7%</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Physical inactivity</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32.9%</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24.3%</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Diabetes</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13.5%</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10.4%</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No regular healthcare provider</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19.8%</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12.1%</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9.3 Cancer Epidemiology in Rural Communities</w:t>
      </w:r>
    </w:p>
    <w:p>
      <w:pPr>
        <w:spacing w:after="120" w:before="80" w:line="320"/>
      </w:pPr>
      <w:r>
        <w:rPr>
          <w:rFonts w:ascii="Arial" w:cs="Arial" w:eastAsia="Arial" w:hAnsi="Arial"/>
          <w:color w:val="4A5568"/>
          <w:sz w:val="22"/>
          <w:szCs w:val="22"/>
        </w:rPr>
        <w:t xml:space="preserve">Rural Americans have lower age-adjusted cancer incidence than urban Americans (perhaps reflecting lower rates of some exposure-related cancers in the absence of industrial pollution) but higher cancer mortality—reflecting later-stage diagnosis due to screening barriers, longer travel times to treatment, and fewer oncology resources.</w:t>
      </w:r>
    </w:p>
    <w:p>
      <w:pPr>
        <w:spacing w:after="120" w:before="80" w:line="320"/>
      </w:pPr>
      <w:r>
        <w:rPr>
          <w:rFonts w:ascii="Arial" w:cs="Arial" w:eastAsia="Arial" w:hAnsi="Arial"/>
          <w:color w:val="4A5568"/>
          <w:sz w:val="22"/>
          <w:szCs w:val="22"/>
        </w:rPr>
        <w:t xml:space="preserve">Cancers with particularly pronounced rural excess mortality include: cervical cancer (5.1 vs. 3.0 per 100,000—a disparity almost entirely attributable to lower Pap smear screening rates and HPV vaccination coverage); colorectal cancer (higher mortality despite similar incidence—attributable to lower colonoscopy screening rates); and lung cancer (strongly linked to rural tobacco use patterns).</w:t>
      </w:r>
    </w:p>
    <w:p>
      <w:pPr>
        <w:pStyle w:val="Heading2"/>
        <w:spacing w:after="120" w:before="280"/>
      </w:pPr>
      <w:r>
        <w:rPr>
          <w:rFonts w:ascii="Arial" w:cs="Arial" w:eastAsia="Arial" w:hAnsi="Arial"/>
          <w:b/>
          <w:bCs/>
          <w:color w:val="2E7D6B"/>
          <w:sz w:val="28"/>
          <w:szCs w:val="28"/>
        </w:rPr>
        <w:t xml:space="preserve">9.4 The Opioid Epidemic: A Rural Chronic Disease</w:t>
      </w:r>
    </w:p>
    <w:p>
      <w:pPr>
        <w:spacing w:after="120" w:before="80" w:line="320"/>
      </w:pPr>
      <w:r>
        <w:rPr>
          <w:rFonts w:ascii="Arial" w:cs="Arial" w:eastAsia="Arial" w:hAnsi="Arial"/>
          <w:color w:val="4A5568"/>
          <w:sz w:val="22"/>
          <w:szCs w:val="22"/>
        </w:rPr>
        <w:t xml:space="preserve">Though typically categorized as a substance use disorder, the opioid epidemic has the epidemiological characteristics of a chronic disease pandemic affecting rural America with particular ferocity. Age-adjusted opioid overdose death rates are 35–50% higher in rural than urban areas, and synthetic opioid (fentanyl) mortality has driven a secondary epidemic within the primary opioid crisis since approximately 2014.</w:t>
      </w:r>
    </w:p>
    <w:p>
      <w:pPr>
        <w:spacing w:after="120" w:before="80" w:line="320"/>
      </w:pPr>
      <w:r>
        <w:rPr>
          <w:rFonts w:ascii="Arial" w:cs="Arial" w:eastAsia="Arial" w:hAnsi="Arial"/>
          <w:color w:val="4A5568"/>
          <w:sz w:val="22"/>
          <w:szCs w:val="22"/>
        </w:rPr>
        <w:t xml:space="preserve">The rural opioid epidemic was initially fueled by overprescription of oral opioid analgesics for musculoskeletal injuries disproportionately common in rural occupational settings (agriculture, mining, forestry, construction). As prescribing was curtailed through PDMP interventions and DEA scrutiny, many dependent individuals transitioned to heroin and later to illicit fentanyl.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63D2F" w:sz="6"/>
              <w:bottom w:val="none"/>
              <w:right w:val="none"/>
            </w:tcBorders>
            <w:shd w:fill="FDF0EE" w:val="clear"/>
            <w:tcMar>
              <w:top w:type="dxa" w:w="120"/>
              <w:left w:type="dxa" w:w="280"/>
              <w:bottom w:type="dxa" w:w="40"/>
              <w:right w:type="dxa" w:w="200"/>
            </w:tcMar>
          </w:tcPr>
          <w:p>
            <w:r>
              <w:rPr>
                <w:rFonts w:ascii="Arial" w:cs="Arial" w:eastAsia="Arial" w:hAnsi="Arial"/>
                <w:b/>
                <w:bCs/>
                <w:color w:val="A63D2F"/>
                <w:sz w:val="18"/>
                <w:szCs w:val="18"/>
              </w:rPr>
              <w:t xml:space="preserve">⬛ RURAL CONTEXT</w:t>
            </w:r>
          </w:p>
        </w:tc>
      </w:tr>
      <w:tr>
        <w:tc>
          <w:tcPr>
            <w:tcW w:type="dxa" w:w="9360"/>
            <w:tcBorders>
              <w:top w:val="none"/>
              <w:left w:val="single" w:color="A63D2F" w:sz="6"/>
              <w:bottom w:val="none"/>
              <w:right w:val="none"/>
            </w:tcBorders>
            <w:shd w:fill="FDF0EE"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Rural harm reduction programs face unique challenges: naloxone distribution requires infrastructure that doesn't exist in many rural counties; medication-assisted treatment (buprenorphine/methadone) requires provider certification and physical access to clinic visits; and social stigma in tightly connected rural communities creates barriers to treatment engagement that are less severe in anonymous urban settings.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80"/>
              <w:left w:type="dxa" w:w="360"/>
              <w:bottom w:type="dxa" w:w="280"/>
              <w:right w:type="dxa" w:w="360"/>
            </w:tcMar>
          </w:tcPr>
          <w:p>
            <w:pPr>
              <w:spacing w:after="60" w:before="0"/>
            </w:pPr>
            <w:r>
              <w:rPr>
                <w:rFonts w:ascii="Arial" w:cs="Arial" w:eastAsia="Arial" w:hAnsi="Arial"/>
                <w:b/>
                <w:bCs/>
                <w:color w:val="B5892A"/>
                <w:sz w:val="22"/>
                <w:szCs w:val="22"/>
              </w:rPr>
              <w:t xml:space="preserve">CHAPTER 12</w:t>
            </w:r>
          </w:p>
          <w:p>
            <w:pPr>
              <w:spacing w:after="40" w:before="0"/>
            </w:pPr>
            <w:r>
              <w:rPr>
                <w:rFonts w:ascii="Arial" w:cs="Arial" w:eastAsia="Arial" w:hAnsi="Arial"/>
                <w:b/>
                <w:bCs/>
                <w:color w:val="FFFFFF"/>
                <w:sz w:val="38"/>
                <w:szCs w:val="38"/>
              </w:rPr>
              <w:t xml:space="preserve">Screening Programs and Diagnostic Test Evaluation</w:t>
            </w:r>
          </w:p>
          <w:p>
            <w:pPr>
              <w:spacing w:after="0" w:before="0"/>
            </w:pPr>
            <w:r>
              <w:rPr>
                <w:rFonts w:ascii="Arial" w:cs="Arial" w:eastAsia="Arial" w:hAnsi="Arial"/>
                <w:i/>
                <w:iCs/>
                <w:color w:val="AABFD4"/>
                <w:sz w:val="22"/>
                <w:szCs w:val="22"/>
              </w:rPr>
              <w:t xml:space="preserve">Sensitivity, Specificity, and the Bayesian Framework</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12.1 Principles of Screening</w:t>
      </w:r>
    </w:p>
    <w:p>
      <w:pPr>
        <w:spacing w:after="120" w:before="80" w:line="320"/>
      </w:pPr>
      <w:r>
        <w:rPr>
          <w:rFonts w:ascii="Arial" w:cs="Arial" w:eastAsia="Arial" w:hAnsi="Arial"/>
          <w:color w:val="4A5568"/>
          <w:sz w:val="22"/>
          <w:szCs w:val="22"/>
        </w:rPr>
        <w:t xml:space="preserve">A screening program applies a test to an asymptomatic population to identify individuals with disease (or high risk of disease) at a stage when treatment is more effective. Wilson and Jungner's 1968 criteria for screening program implementation remain the foundational framework:</w:t>
      </w:r>
    </w:p>
    <w:p>
      <w:pPr>
        <w:pStyle w:val="ListParagraph"/>
        <w:numPr>
          <w:ilvl w:val="0"/>
          <w:numId w:val="3"/>
        </w:numPr>
        <w:spacing w:after="40" w:before="40" w:line="300"/>
      </w:pPr>
      <w:r>
        <w:rPr>
          <w:rFonts w:ascii="Arial" w:cs="Arial" w:eastAsia="Arial" w:hAnsi="Arial"/>
          <w:color w:val="4A5568"/>
          <w:sz w:val="22"/>
          <w:szCs w:val="22"/>
        </w:rPr>
        <w:t xml:space="preserve">The condition being screened for should be an important health problem.</w:t>
      </w:r>
    </w:p>
    <w:p>
      <w:pPr>
        <w:pStyle w:val="ListParagraph"/>
        <w:numPr>
          <w:ilvl w:val="0"/>
          <w:numId w:val="3"/>
        </w:numPr>
        <w:spacing w:after="40" w:before="40" w:line="300"/>
      </w:pPr>
      <w:r>
        <w:rPr>
          <w:rFonts w:ascii="Arial" w:cs="Arial" w:eastAsia="Arial" w:hAnsi="Arial"/>
          <w:color w:val="4A5568"/>
          <w:sz w:val="22"/>
          <w:szCs w:val="22"/>
        </w:rPr>
        <w:t xml:space="preserve">There should be an accepted treatment or intervention for the condition.</w:t>
      </w:r>
    </w:p>
    <w:p>
      <w:pPr>
        <w:pStyle w:val="ListParagraph"/>
        <w:numPr>
          <w:ilvl w:val="0"/>
          <w:numId w:val="3"/>
        </w:numPr>
        <w:spacing w:after="40" w:before="40" w:line="300"/>
      </w:pPr>
      <w:r>
        <w:rPr>
          <w:rFonts w:ascii="Arial" w:cs="Arial" w:eastAsia="Arial" w:hAnsi="Arial"/>
          <w:color w:val="4A5568"/>
          <w:sz w:val="22"/>
          <w:szCs w:val="22"/>
        </w:rPr>
        <w:t xml:space="preserve">The natural history of the condition should be understood.</w:t>
      </w:r>
    </w:p>
    <w:p>
      <w:pPr>
        <w:pStyle w:val="ListParagraph"/>
        <w:numPr>
          <w:ilvl w:val="0"/>
          <w:numId w:val="3"/>
        </w:numPr>
        <w:spacing w:after="40" w:before="40" w:line="300"/>
      </w:pPr>
      <w:r>
        <w:rPr>
          <w:rFonts w:ascii="Arial" w:cs="Arial" w:eastAsia="Arial" w:hAnsi="Arial"/>
          <w:color w:val="4A5568"/>
          <w:sz w:val="22"/>
          <w:szCs w:val="22"/>
        </w:rPr>
        <w:t xml:space="preserve">There should be a latent or early symptomatic stage.</w:t>
      </w:r>
    </w:p>
    <w:p>
      <w:pPr>
        <w:pStyle w:val="ListParagraph"/>
        <w:numPr>
          <w:ilvl w:val="0"/>
          <w:numId w:val="3"/>
        </w:numPr>
        <w:spacing w:after="40" w:before="40" w:line="300"/>
      </w:pPr>
      <w:r>
        <w:rPr>
          <w:rFonts w:ascii="Arial" w:cs="Arial" w:eastAsia="Arial" w:hAnsi="Arial"/>
          <w:color w:val="4A5568"/>
          <w:sz w:val="22"/>
          <w:szCs w:val="22"/>
        </w:rPr>
        <w:t xml:space="preserve">There should be a suitable and acceptable screening test.</w:t>
      </w:r>
    </w:p>
    <w:p>
      <w:pPr>
        <w:pStyle w:val="ListParagraph"/>
        <w:numPr>
          <w:ilvl w:val="0"/>
          <w:numId w:val="3"/>
        </w:numPr>
        <w:spacing w:after="40" w:before="40" w:line="300"/>
      </w:pPr>
      <w:r>
        <w:rPr>
          <w:rFonts w:ascii="Arial" w:cs="Arial" w:eastAsia="Arial" w:hAnsi="Arial"/>
          <w:color w:val="4A5568"/>
          <w:sz w:val="22"/>
          <w:szCs w:val="22"/>
        </w:rPr>
        <w:t xml:space="preserve">The test should be validated (sensitivity, specificity, predictive values known).</w:t>
      </w:r>
    </w:p>
    <w:p>
      <w:pPr>
        <w:pStyle w:val="ListParagraph"/>
        <w:numPr>
          <w:ilvl w:val="0"/>
          <w:numId w:val="3"/>
        </w:numPr>
        <w:spacing w:after="40" w:before="40" w:line="300"/>
      </w:pPr>
      <w:r>
        <w:rPr>
          <w:rFonts w:ascii="Arial" w:cs="Arial" w:eastAsia="Arial" w:hAnsi="Arial"/>
          <w:color w:val="4A5568"/>
          <w:sz w:val="22"/>
          <w:szCs w:val="22"/>
        </w:rPr>
        <w:t xml:space="preserve">The screening program should be cost-effective.</w:t>
      </w:r>
    </w:p>
    <w:p>
      <w:pPr>
        <w:pStyle w:val="ListParagraph"/>
        <w:numPr>
          <w:ilvl w:val="0"/>
          <w:numId w:val="3"/>
        </w:numPr>
        <w:spacing w:after="40" w:before="40" w:line="300"/>
      </w:pPr>
      <w:r>
        <w:rPr>
          <w:rFonts w:ascii="Arial" w:cs="Arial" w:eastAsia="Arial" w:hAnsi="Arial"/>
          <w:color w:val="4A5568"/>
          <w:sz w:val="22"/>
          <w:szCs w:val="22"/>
        </w:rPr>
        <w:t xml:space="preserve">Case-finding should be a continuing process, not a one-time effort.</w:t>
      </w:r>
    </w:p>
    <w:p>
      <w:pPr>
        <w:pStyle w:val="Heading2"/>
        <w:spacing w:after="120" w:before="280"/>
      </w:pPr>
      <w:r>
        <w:rPr>
          <w:rFonts w:ascii="Arial" w:cs="Arial" w:eastAsia="Arial" w:hAnsi="Arial"/>
          <w:b/>
          <w:bCs/>
          <w:color w:val="2E7D6B"/>
          <w:sz w:val="28"/>
          <w:szCs w:val="28"/>
        </w:rPr>
        <w:t xml:space="preserve">12.2 The 2×2 Table: Core of Diagnostic Test Evaluation</w:t>
      </w:r>
    </w:p>
    <w:p>
      <w:pPr>
        <w:spacing w:after="120" w:before="80" w:line="320"/>
      </w:pPr>
      <w:r>
        <w:rPr>
          <w:rFonts w:ascii="Arial" w:cs="Arial" w:eastAsia="Arial" w:hAnsi="Arial"/>
          <w:color w:val="4A5568"/>
          <w:sz w:val="22"/>
          <w:szCs w:val="22"/>
        </w:rPr>
        <w:t xml:space="preserve">The performance of any binary diagnostic or screening test can be completely described by a 2×2 table comparing test result to true disease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color w:val="FFFFFF"/>
                <w:sz w:val="20"/>
                <w:szCs w:val="20"/>
              </w:rPr>
              <w:t xml:space="preserve"> </w:t>
            </w:r>
          </w:p>
        </w:tc>
        <w:tc>
          <w:tcPr>
            <w:tcW w:type="dxa" w:w="3120"/>
            <w:tcBorders>
              <w:top w:val="single" w:color="1B3A5C" w:sz="6"/>
              <w:left w:val="single" w:color="1B3A5C" w:sz="6"/>
              <w:bottom w:val="single" w:color="1B3A5C" w:sz="6"/>
              <w:right w:val="single" w:color="1B3A5C" w:sz="6"/>
            </w:tcBorders>
            <w:shd w:fill="2E7D6B" w:val="clear"/>
            <w:tcMar>
              <w:top w:type="dxa" w:w="80"/>
              <w:left w:type="dxa" w:w="120"/>
              <w:bottom w:type="dxa" w:w="80"/>
              <w:right w:type="dxa" w:w="120"/>
            </w:tcMar>
          </w:tcPr>
          <w:p>
            <w:r>
              <w:rPr>
                <w:rFonts w:ascii="Arial" w:cs="Arial" w:eastAsia="Arial" w:hAnsi="Arial"/>
                <w:b/>
                <w:bCs/>
                <w:color w:val="FFFFFF"/>
                <w:sz w:val="20"/>
                <w:szCs w:val="20"/>
              </w:rPr>
              <w:t xml:space="preserve">Disease PRESENT</w:t>
            </w:r>
          </w:p>
        </w:tc>
        <w:tc>
          <w:tcPr>
            <w:tcW w:type="dxa" w:w="3120"/>
            <w:tcBorders>
              <w:top w:val="single" w:color="1B3A5C" w:sz="6"/>
              <w:left w:val="single" w:color="1B3A5C" w:sz="6"/>
              <w:bottom w:val="single" w:color="1B3A5C" w:sz="6"/>
              <w:right w:val="single" w:color="1B3A5C" w:sz="6"/>
            </w:tcBorders>
            <w:shd w:fill="2E7D6B" w:val="clear"/>
            <w:tcMar>
              <w:top w:type="dxa" w:w="80"/>
              <w:left w:type="dxa" w:w="120"/>
              <w:bottom w:type="dxa" w:w="80"/>
              <w:right w:type="dxa" w:w="120"/>
            </w:tcMar>
          </w:tcPr>
          <w:p>
            <w:r>
              <w:rPr>
                <w:rFonts w:ascii="Arial" w:cs="Arial" w:eastAsia="Arial" w:hAnsi="Arial"/>
                <w:b/>
                <w:bCs/>
                <w:color w:val="FFFFFF"/>
                <w:sz w:val="20"/>
                <w:szCs w:val="20"/>
              </w:rPr>
              <w:t xml:space="preserve">Disease ABSENT</w:t>
            </w:r>
          </w:p>
        </w:tc>
      </w:tr>
      <w:tr>
        <w:tc>
          <w:tcPr>
            <w:tcW w:type="dxa" w:w="3120"/>
            <w:tcBorders>
              <w:top w:val="single" w:color="1B3A5C" w:sz="6"/>
              <w:left w:val="single" w:color="1B3A5C" w:sz="6"/>
              <w:bottom w:val="single" w:color="1B3A5C" w:sz="6"/>
              <w:right w:val="single" w:color="1B3A5C" w:sz="6"/>
            </w:tcBorders>
            <w:shd w:fill="2E7D6B" w:val="clear"/>
            <w:tcMar>
              <w:top w:type="dxa" w:w="80"/>
              <w:left w:type="dxa" w:w="120"/>
              <w:bottom w:type="dxa" w:w="80"/>
              <w:right w:type="dxa" w:w="120"/>
            </w:tcMar>
          </w:tcPr>
          <w:p>
            <w:r>
              <w:rPr>
                <w:rFonts w:ascii="Arial" w:cs="Arial" w:eastAsia="Arial" w:hAnsi="Arial"/>
                <w:b/>
                <w:bCs/>
                <w:color w:val="FFFFFF"/>
                <w:sz w:val="20"/>
                <w:szCs w:val="20"/>
              </w:rPr>
              <w:t xml:space="preserve">Test POSITIVE</w:t>
            </w:r>
          </w:p>
        </w:tc>
        <w:tc>
          <w:tcPr>
            <w:tcW w:type="dxa" w:w="312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r>
              <w:rPr>
                <w:rFonts w:ascii="Arial" w:cs="Arial" w:eastAsia="Arial" w:hAnsi="Arial"/>
                <w:color w:val="2E7D6B"/>
                <w:sz w:val="20"/>
                <w:szCs w:val="20"/>
              </w:rPr>
              <w:t xml:space="preserve">a = True Positive (TP)</w:t>
            </w:r>
          </w:p>
        </w:tc>
        <w:tc>
          <w:tcPr>
            <w:tcW w:type="dxa" w:w="312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r>
              <w:rPr>
                <w:rFonts w:ascii="Arial" w:cs="Arial" w:eastAsia="Arial" w:hAnsi="Arial"/>
                <w:color w:val="A63D2F"/>
                <w:sz w:val="20"/>
                <w:szCs w:val="20"/>
              </w:rPr>
              <w:t xml:space="preserve">b = False Positive (FP)</w:t>
            </w:r>
          </w:p>
        </w:tc>
      </w:tr>
      <w:tr>
        <w:tc>
          <w:tcPr>
            <w:tcW w:type="dxa" w:w="3120"/>
            <w:tcBorders>
              <w:top w:val="single" w:color="1B3A5C" w:sz="6"/>
              <w:left w:val="single" w:color="1B3A5C" w:sz="6"/>
              <w:bottom w:val="single" w:color="1B3A5C" w:sz="6"/>
              <w:right w:val="single" w:color="1B3A5C" w:sz="6"/>
            </w:tcBorders>
            <w:shd w:fill="2E7D6B" w:val="clear"/>
            <w:tcMar>
              <w:top w:type="dxa" w:w="80"/>
              <w:left w:type="dxa" w:w="120"/>
              <w:bottom w:type="dxa" w:w="80"/>
              <w:right w:type="dxa" w:w="120"/>
            </w:tcMar>
          </w:tcPr>
          <w:p>
            <w:r>
              <w:rPr>
                <w:rFonts w:ascii="Arial" w:cs="Arial" w:eastAsia="Arial" w:hAnsi="Arial"/>
                <w:b/>
                <w:bCs/>
                <w:color w:val="FFFFFF"/>
                <w:sz w:val="20"/>
                <w:szCs w:val="20"/>
              </w:rPr>
              <w:t xml:space="preserve">Test NEGATIVE</w:t>
            </w:r>
          </w:p>
        </w:tc>
        <w:tc>
          <w:tcPr>
            <w:tcW w:type="dxa" w:w="312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r>
              <w:rPr>
                <w:rFonts w:ascii="Arial" w:cs="Arial" w:eastAsia="Arial" w:hAnsi="Arial"/>
                <w:color w:val="A63D2F"/>
                <w:sz w:val="20"/>
                <w:szCs w:val="20"/>
              </w:rPr>
              <w:t xml:space="preserve">c = False Negative (FN)</w:t>
            </w:r>
          </w:p>
        </w:tc>
        <w:tc>
          <w:tcPr>
            <w:tcW w:type="dxa" w:w="312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r>
              <w:rPr>
                <w:rFonts w:ascii="Arial" w:cs="Arial" w:eastAsia="Arial" w:hAnsi="Arial"/>
                <w:color w:val="2E7D6B"/>
                <w:sz w:val="20"/>
                <w:szCs w:val="20"/>
              </w:rPr>
              <w:t xml:space="preserve">d = True Negative (TN)</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12.3 Test Performance Metrics</w:t>
      </w:r>
    </w:p>
    <w:p>
      <w:pPr>
        <w:shd w:fill="F2F4F7" w:val="clear"/>
        <w:spacing w:after="160" w:before="160"/>
        <w:jc w:val="center"/>
      </w:pPr>
      <w:r>
        <w:rPr>
          <w:rFonts w:ascii="Courier New" w:cs="Courier New" w:eastAsia="Courier New" w:hAnsi="Courier New"/>
          <w:b/>
          <w:bCs/>
          <w:color w:val="1B3A5C"/>
          <w:sz w:val="22"/>
          <w:szCs w:val="22"/>
        </w:rPr>
        <w:t xml:space="preserve">Sensitivity = TP / (TP + FN) = a / (a + c)</w:t>
      </w:r>
    </w:p>
    <w:p>
      <w:pPr>
        <w:shd w:fill="F2F4F7" w:val="clear"/>
        <w:spacing w:after="160" w:before="160"/>
        <w:jc w:val="center"/>
      </w:pPr>
      <w:r>
        <w:rPr>
          <w:rFonts w:ascii="Courier New" w:cs="Courier New" w:eastAsia="Courier New" w:hAnsi="Courier New"/>
          <w:b/>
          <w:bCs/>
          <w:color w:val="1B3A5C"/>
          <w:sz w:val="22"/>
          <w:szCs w:val="22"/>
        </w:rPr>
        <w:t xml:space="preserve">Specificity = TN / (TN + FP) = d / (b + d)</w:t>
      </w:r>
    </w:p>
    <w:p>
      <w:pPr>
        <w:shd w:fill="F2F4F7" w:val="clear"/>
        <w:spacing w:after="160" w:before="160"/>
        <w:jc w:val="center"/>
      </w:pPr>
      <w:r>
        <w:rPr>
          <w:rFonts w:ascii="Courier New" w:cs="Courier New" w:eastAsia="Courier New" w:hAnsi="Courier New"/>
          <w:b/>
          <w:bCs/>
          <w:color w:val="1B3A5C"/>
          <w:sz w:val="22"/>
          <w:szCs w:val="22"/>
        </w:rPr>
        <w:t xml:space="preserve">Positive Predictive Value (PPV) = TP / (TP + FP) = a / (a + b)</w:t>
      </w:r>
    </w:p>
    <w:p>
      <w:pPr>
        <w:shd w:fill="F2F4F7" w:val="clear"/>
        <w:spacing w:after="160" w:before="160"/>
        <w:jc w:val="center"/>
      </w:pPr>
      <w:r>
        <w:rPr>
          <w:rFonts w:ascii="Courier New" w:cs="Courier New" w:eastAsia="Courier New" w:hAnsi="Courier New"/>
          <w:b/>
          <w:bCs/>
          <w:color w:val="1B3A5C"/>
          <w:sz w:val="22"/>
          <w:szCs w:val="22"/>
        </w:rPr>
        <w:t xml:space="preserve">Negative Predictive Value (NPV) = TN / (TN + FN) = d / (c + d)</w:t>
      </w:r>
    </w:p>
    <w:p>
      <w:pPr>
        <w:shd w:fill="F2F4F7" w:val="clear"/>
        <w:spacing w:after="160" w:before="160"/>
        <w:jc w:val="center"/>
      </w:pPr>
      <w:r>
        <w:rPr>
          <w:rFonts w:ascii="Courier New" w:cs="Courier New" w:eastAsia="Courier New" w:hAnsi="Courier New"/>
          <w:b/>
          <w:bCs/>
          <w:color w:val="1B3A5C"/>
          <w:sz w:val="22"/>
          <w:szCs w:val="22"/>
        </w:rPr>
        <w:t xml:space="preserve">Likelihood Ratio (+) = Sensitivity / (1 − Specificity)</w:t>
      </w:r>
    </w:p>
    <w:p>
      <w:pPr>
        <w:shd w:fill="F2F4F7" w:val="clear"/>
        <w:spacing w:after="160" w:before="160"/>
        <w:jc w:val="center"/>
      </w:pPr>
      <w:r>
        <w:rPr>
          <w:rFonts w:ascii="Courier New" w:cs="Courier New" w:eastAsia="Courier New" w:hAnsi="Courier New"/>
          <w:b/>
          <w:bCs/>
          <w:color w:val="1B3A5C"/>
          <w:sz w:val="22"/>
          <w:szCs w:val="22"/>
        </w:rPr>
        <w:t xml:space="preserve">Likelihood Ratio (−) = (1 − Sensitivity) / Specificity</w:t>
      </w:r>
    </w:p>
    <w:p>
      <w:pPr>
        <w:pStyle w:val="Heading2"/>
        <w:spacing w:after="120" w:before="280"/>
      </w:pPr>
      <w:r>
        <w:rPr>
          <w:rFonts w:ascii="Arial" w:cs="Arial" w:eastAsia="Arial" w:hAnsi="Arial"/>
          <w:b/>
          <w:bCs/>
          <w:color w:val="2E7D6B"/>
          <w:sz w:val="28"/>
          <w:szCs w:val="28"/>
        </w:rPr>
        <w:t xml:space="preserve">12.4 Bayes' Theorem and Pre-test Probability</w:t>
      </w:r>
    </w:p>
    <w:p>
      <w:pPr>
        <w:spacing w:after="120" w:before="80" w:line="320"/>
      </w:pPr>
      <w:r>
        <w:rPr>
          <w:rFonts w:ascii="Arial" w:cs="Arial" w:eastAsia="Arial" w:hAnsi="Arial"/>
          <w:color w:val="4A5568"/>
          <w:sz w:val="22"/>
          <w:szCs w:val="22"/>
        </w:rPr>
        <w:t xml:space="preserve">Sensitivity and specificity are intrinsic properties of a test that do not change with disease prevalence. Predictive values—the clinically relevant quantities—change dramatically with disease prevalence (pre-test probability). This is Bayes' theorem applied to diagnostic testing:</w:t>
      </w:r>
    </w:p>
    <w:p>
      <w:pPr>
        <w:shd w:fill="F2F4F7" w:val="clear"/>
        <w:spacing w:after="160" w:before="160"/>
        <w:jc w:val="center"/>
      </w:pPr>
      <w:r>
        <w:rPr>
          <w:rFonts w:ascii="Courier New" w:cs="Courier New" w:eastAsia="Courier New" w:hAnsi="Courier New"/>
          <w:b/>
          <w:bCs/>
          <w:color w:val="1B3A5C"/>
          <w:sz w:val="22"/>
          <w:szCs w:val="22"/>
        </w:rPr>
        <w:t xml:space="preserve">PPV = (Sensitivity × Prevalence) / [(Sensitivity × Prevalence) + ((1−Specificity) × (1−Prevalence))]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5892A" w:sz="6"/>
              <w:bottom w:val="none"/>
              <w:right w:val="none"/>
            </w:tcBorders>
            <w:shd w:fill="FFF8E7" w:val="clear"/>
            <w:tcMar>
              <w:top w:type="dxa" w:w="120"/>
              <w:left w:type="dxa" w:w="280"/>
              <w:bottom w:type="dxa" w:w="40"/>
              <w:right w:type="dxa" w:w="200"/>
            </w:tcMar>
          </w:tcPr>
          <w:p>
            <w:r>
              <w:rPr>
                <w:rFonts w:ascii="Arial" w:cs="Arial" w:eastAsia="Arial" w:hAnsi="Arial"/>
                <w:b/>
                <w:bCs/>
                <w:color w:val="B5892A"/>
                <w:sz w:val="18"/>
                <w:szCs w:val="18"/>
              </w:rPr>
              <w:t xml:space="preserve">◆ CLINICAL PEARL</w:t>
            </w:r>
          </w:p>
        </w:tc>
      </w:tr>
      <w:tr>
        <w:tc>
          <w:tcPr>
            <w:tcW w:type="dxa" w:w="9360"/>
            <w:tcBorders>
              <w:top w:val="none"/>
              <w:left w:val="single" w:color="B5892A" w:sz="6"/>
              <w:bottom w:val="none"/>
              <w:right w:val="none"/>
            </w:tcBorders>
            <w:shd w:fill="FFF8E7"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A COVID-19 rapid antigen test with 80% sensitivity and 99% specificity has PPV = 97% when prevalence is 30% (active outbreak) but only PPV = 44% when prevalence is 1% (low-prevalence period). The same positive test result means something very different depending on when and where it occurs. Rural providers must anchor test interpretation to local disease prevalence estimates.</w:t>
            </w:r>
          </w:p>
        </w:tc>
      </w:tr>
    </w:tbl>
    <w:p>
      <w:pPr>
        <w:pStyle w:val="Heading2"/>
        <w:spacing w:after="120" w:before="280"/>
      </w:pPr>
      <w:r>
        <w:rPr>
          <w:rFonts w:ascii="Arial" w:cs="Arial" w:eastAsia="Arial" w:hAnsi="Arial"/>
          <w:b/>
          <w:bCs/>
          <w:color w:val="2E7D6B"/>
          <w:sz w:val="28"/>
          <w:szCs w:val="28"/>
        </w:rPr>
        <w:t xml:space="preserve">12.5 Rural Screening Program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63D2F" w:sz="6"/>
              <w:bottom w:val="none"/>
              <w:right w:val="none"/>
            </w:tcBorders>
            <w:shd w:fill="FDF0EE" w:val="clear"/>
            <w:tcMar>
              <w:top w:type="dxa" w:w="120"/>
              <w:left w:type="dxa" w:w="280"/>
              <w:bottom w:type="dxa" w:w="40"/>
              <w:right w:type="dxa" w:w="200"/>
            </w:tcMar>
          </w:tcPr>
          <w:p>
            <w:r>
              <w:rPr>
                <w:rFonts w:ascii="Arial" w:cs="Arial" w:eastAsia="Arial" w:hAnsi="Arial"/>
                <w:b/>
                <w:bCs/>
                <w:color w:val="A63D2F"/>
                <w:sz w:val="18"/>
                <w:szCs w:val="18"/>
              </w:rPr>
              <w:t xml:space="preserve">⬛ RURAL CONTEXT</w:t>
            </w:r>
          </w:p>
        </w:tc>
      </w:tr>
      <w:tr>
        <w:tc>
          <w:tcPr>
            <w:tcW w:type="dxa" w:w="9360"/>
            <w:tcBorders>
              <w:top w:val="none"/>
              <w:left w:val="single" w:color="A63D2F" w:sz="6"/>
              <w:bottom w:val="none"/>
              <w:right w:val="none"/>
            </w:tcBorders>
            <w:shd w:fill="FDF0EE"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Rural colorectal cancer screening rates remain 10–15 percentage points below urban rates, primarily due to access barriers to colonoscopy. Fecal immunochemical testing (FIT)—a non-invasive, annual stool-based test with sensitivity 73–79% for CRC and 79–89% specificity—is an appropriate alternative that can be administered by primary care providers without gastroenterology infrastructure. However, FIT-positive patients must have accessible follow-up colonoscopy to complete the screening cascade—a step that many rural patients fail to achieve due to distance and cost barriers.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360"/>
              <w:left w:type="dxa" w:w="720"/>
              <w:bottom w:type="dxa" w:w="360"/>
              <w:right w:type="dxa" w:w="720"/>
            </w:tcMar>
          </w:tcPr>
          <w:p>
            <w:pPr>
              <w:jc w:val="center"/>
            </w:pPr>
            <w:r>
              <w:rPr>
                <w:rFonts w:ascii="Arial" w:cs="Arial" w:eastAsia="Arial" w:hAnsi="Arial"/>
                <w:b/>
                <w:bCs/>
                <w:color w:val="FFFFFF"/>
                <w:sz w:val="44"/>
                <w:szCs w:val="44"/>
              </w:rPr>
              <w:t xml:space="preserve">PART IV</w:t>
            </w:r>
          </w:p>
          <w:p>
            <w:pPr>
              <w:jc w:val="center"/>
            </w:pPr>
            <w:r>
              <w:rPr>
                <w:rFonts w:ascii="Arial" w:cs="Arial" w:eastAsia="Arial" w:hAnsi="Arial"/>
                <w:i/>
                <w:iCs/>
                <w:color w:val="AABFD4"/>
                <w:sz w:val="28"/>
                <w:szCs w:val="28"/>
              </w:rPr>
              <w:t xml:space="preserve">Mathematical Modeling of Infectious Disease</w:t>
            </w:r>
          </w:p>
        </w:tc>
      </w:tr>
    </w:tbl>
    <w:p>
      <w:pPr>
        <w:spacing w:after="60" w:before="0"/>
      </w:pPr>
      <w:r>
        <w:t xml:space="preserve"/>
      </w:r>
    </w:p>
    <w:p>
      <w:pPr>
        <w:spacing w:after="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80"/>
              <w:left w:type="dxa" w:w="360"/>
              <w:bottom w:type="dxa" w:w="280"/>
              <w:right w:type="dxa" w:w="360"/>
            </w:tcMar>
          </w:tcPr>
          <w:p>
            <w:pPr>
              <w:spacing w:after="60" w:before="0"/>
            </w:pPr>
            <w:r>
              <w:rPr>
                <w:rFonts w:ascii="Arial" w:cs="Arial" w:eastAsia="Arial" w:hAnsi="Arial"/>
                <w:b/>
                <w:bCs/>
                <w:color w:val="B5892A"/>
                <w:sz w:val="22"/>
                <w:szCs w:val="22"/>
              </w:rPr>
              <w:t xml:space="preserve">CHAPTER 13</w:t>
            </w:r>
          </w:p>
          <w:p>
            <w:pPr>
              <w:spacing w:after="40" w:before="0"/>
            </w:pPr>
            <w:r>
              <w:rPr>
                <w:rFonts w:ascii="Arial" w:cs="Arial" w:eastAsia="Arial" w:hAnsi="Arial"/>
                <w:b/>
                <w:bCs/>
                <w:color w:val="FFFFFF"/>
                <w:sz w:val="38"/>
                <w:szCs w:val="38"/>
              </w:rPr>
              <w:t xml:space="preserve">Compartmental Models of Infectious Disease</w:t>
            </w:r>
          </w:p>
          <w:p>
            <w:pPr>
              <w:spacing w:after="0" w:before="0"/>
            </w:pPr>
            <w:r>
              <w:rPr>
                <w:rFonts w:ascii="Arial" w:cs="Arial" w:eastAsia="Arial" w:hAnsi="Arial"/>
                <w:i/>
                <w:iCs/>
                <w:color w:val="AABFD4"/>
                <w:sz w:val="22"/>
                <w:szCs w:val="22"/>
              </w:rPr>
              <w:t xml:space="preserve">SIR, SEIR, and SEIRD: Theory and Application</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13.1 Why Mathematical Modeling?</w:t>
      </w:r>
    </w:p>
    <w:p>
      <w:pPr>
        <w:spacing w:after="120" w:before="80" w:line="320"/>
      </w:pPr>
      <w:r>
        <w:rPr>
          <w:rFonts w:ascii="Arial" w:cs="Arial" w:eastAsia="Arial" w:hAnsi="Arial"/>
          <w:color w:val="4A5568"/>
          <w:sz w:val="22"/>
          <w:szCs w:val="22"/>
        </w:rPr>
        <w:t xml:space="preserve">Mathematical models of infectious disease transmission translate our biological understanding of host-pathogen interactions into quantitative predictions about epidemic dynamics. They allow us to: (1) forecast epidemic trajectory; (2) estimate key epidemiological parameters from surveillance data; (3) evaluate the impact of control interventions before implementation; and (4) identify gaps in our understanding that require targeted research.</w:t>
      </w:r>
    </w:p>
    <w:p>
      <w:pPr>
        <w:spacing w:after="120" w:before="80" w:line="320"/>
      </w:pPr>
      <w:r>
        <w:rPr>
          <w:rFonts w:ascii="Arial" w:cs="Arial" w:eastAsia="Arial" w:hAnsi="Arial"/>
          <w:color w:val="4A5568"/>
          <w:sz w:val="22"/>
          <w:szCs w:val="22"/>
        </w:rPr>
        <w:t xml:space="preserve">Compartmental models—the oldest and most widely used class of epidemic models—divide a population into discrete compartments representing disease states and define transition rates between compartments as mathematical functions of model parameters. The differential equations governing these transitions describe the epidemic trajectory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63D2F" w:sz="6"/>
              <w:bottom w:val="none"/>
              <w:right w:val="none"/>
            </w:tcBorders>
            <w:shd w:fill="FDF0EE" w:val="clear"/>
            <w:tcMar>
              <w:top w:type="dxa" w:w="120"/>
              <w:left w:type="dxa" w:w="280"/>
              <w:bottom w:type="dxa" w:w="40"/>
              <w:right w:type="dxa" w:w="200"/>
            </w:tcMar>
          </w:tcPr>
          <w:p>
            <w:r>
              <w:rPr>
                <w:rFonts w:ascii="Arial" w:cs="Arial" w:eastAsia="Arial" w:hAnsi="Arial"/>
                <w:b/>
                <w:bCs/>
                <w:color w:val="A63D2F"/>
                <w:sz w:val="18"/>
                <w:szCs w:val="18"/>
              </w:rPr>
              <w:t xml:space="preserve">⬛ RURAL CONTEXT</w:t>
            </w:r>
          </w:p>
        </w:tc>
      </w:tr>
      <w:tr>
        <w:tc>
          <w:tcPr>
            <w:tcW w:type="dxa" w:w="9360"/>
            <w:tcBorders>
              <w:top w:val="none"/>
              <w:left w:val="single" w:color="A63D2F" w:sz="6"/>
              <w:bottom w:val="none"/>
              <w:right w:val="none"/>
            </w:tcBorders>
            <w:shd w:fill="FDF0EE"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Rural counties have smaller populations (median 11,000 residents) that violate the 'large, well-mixed population' assumption underlying compartmental models. Stochastic effects (random variation in transmission events) are more important at small population sizes. The companion computational tool implements both deterministic (ODE-based) and stochastic (Gillespie algorithm) versions of the SEIR model to account for this rural-specific challenge.</w:t>
            </w:r>
          </w:p>
        </w:tc>
      </w:tr>
    </w:tbl>
    <w:p>
      <w:pPr>
        <w:pStyle w:val="Heading2"/>
        <w:spacing w:after="120" w:before="280"/>
      </w:pPr>
      <w:r>
        <w:rPr>
          <w:rFonts w:ascii="Arial" w:cs="Arial" w:eastAsia="Arial" w:hAnsi="Arial"/>
          <w:b/>
          <w:bCs/>
          <w:color w:val="2E7D6B"/>
          <w:sz w:val="28"/>
          <w:szCs w:val="28"/>
        </w:rPr>
        <w:t xml:space="preserve">13.2 The SIR Model</w:t>
      </w:r>
    </w:p>
    <w:p>
      <w:pPr>
        <w:pStyle w:val="Heading3"/>
        <w:spacing w:after="80" w:before="200"/>
      </w:pPr>
      <w:r>
        <w:rPr>
          <w:rFonts w:ascii="Arial" w:cs="Arial" w:eastAsia="Arial" w:hAnsi="Arial"/>
          <w:b/>
          <w:bCs/>
          <w:color w:val="1B3A5C"/>
          <w:sz w:val="24"/>
          <w:szCs w:val="24"/>
        </w:rPr>
        <w:t xml:space="preserve">13.2.1 Model Structure</w:t>
      </w:r>
    </w:p>
    <w:p>
      <w:pPr>
        <w:spacing w:after="120" w:before="80" w:line="320"/>
      </w:pPr>
      <w:r>
        <w:rPr>
          <w:rFonts w:ascii="Arial" w:cs="Arial" w:eastAsia="Arial" w:hAnsi="Arial"/>
          <w:color w:val="4A5568"/>
          <w:sz w:val="22"/>
          <w:szCs w:val="22"/>
        </w:rPr>
        <w:t xml:space="preserve">The basic SIR model divides the population into three mutually exclusive compartments:</w:t>
      </w:r>
    </w:p>
    <w:p>
      <w:pPr>
        <w:pStyle w:val="ListParagraph"/>
        <w:numPr>
          <w:ilvl w:val="0"/>
          <w:numId w:val="2"/>
        </w:numPr>
        <w:spacing w:after="40" w:before="40" w:line="300"/>
      </w:pPr>
      <w:r>
        <w:rPr>
          <w:rFonts w:ascii="Arial" w:cs="Arial" w:eastAsia="Arial" w:hAnsi="Arial"/>
          <w:b/>
          <w:bCs/>
          <w:color w:val="1B3A5C"/>
          <w:sz w:val="22"/>
          <w:szCs w:val="22"/>
        </w:rPr>
        <w:t xml:space="preserve">S (Susceptible): </w:t>
      </w:r>
      <w:r>
        <w:rPr>
          <w:rFonts w:ascii="Arial" w:cs="Arial" w:eastAsia="Arial" w:hAnsi="Arial"/>
          <w:color w:val="4A5568"/>
          <w:sz w:val="22"/>
          <w:szCs w:val="22"/>
        </w:rPr>
        <w:t xml:space="preserve">Individuals who are biologically capable of developing the infection but have not yet been infected.</w:t>
      </w:r>
    </w:p>
    <w:p>
      <w:pPr>
        <w:pStyle w:val="ListParagraph"/>
        <w:numPr>
          <w:ilvl w:val="0"/>
          <w:numId w:val="2"/>
        </w:numPr>
        <w:spacing w:after="40" w:before="40" w:line="300"/>
      </w:pPr>
      <w:r>
        <w:rPr>
          <w:rFonts w:ascii="Arial" w:cs="Arial" w:eastAsia="Arial" w:hAnsi="Arial"/>
          <w:b/>
          <w:bCs/>
          <w:color w:val="1B3A5C"/>
          <w:sz w:val="22"/>
          <w:szCs w:val="22"/>
        </w:rPr>
        <w:t xml:space="preserve">I (Infectious): </w:t>
      </w:r>
      <w:r>
        <w:rPr>
          <w:rFonts w:ascii="Arial" w:cs="Arial" w:eastAsia="Arial" w:hAnsi="Arial"/>
          <w:color w:val="4A5568"/>
          <w:sz w:val="22"/>
          <w:szCs w:val="22"/>
        </w:rPr>
        <w:t xml:space="preserve">Individuals who are currently infected and capable of transmitting the pathogen to susceptible individuals.</w:t>
      </w:r>
    </w:p>
    <w:p>
      <w:pPr>
        <w:pStyle w:val="ListParagraph"/>
        <w:numPr>
          <w:ilvl w:val="0"/>
          <w:numId w:val="2"/>
        </w:numPr>
        <w:spacing w:after="40" w:before="40" w:line="300"/>
      </w:pPr>
      <w:r>
        <w:rPr>
          <w:rFonts w:ascii="Arial" w:cs="Arial" w:eastAsia="Arial" w:hAnsi="Arial"/>
          <w:b/>
          <w:bCs/>
          <w:color w:val="1B3A5C"/>
          <w:sz w:val="22"/>
          <w:szCs w:val="22"/>
        </w:rPr>
        <w:t xml:space="preserve">R (Removed/Recovered): </w:t>
      </w:r>
      <w:r>
        <w:rPr>
          <w:rFonts w:ascii="Arial" w:cs="Arial" w:eastAsia="Arial" w:hAnsi="Arial"/>
          <w:color w:val="4A5568"/>
          <w:sz w:val="22"/>
          <w:szCs w:val="22"/>
        </w:rPr>
        <w:t xml:space="preserve">Individuals who have recovered and are immune, or who have died. In the basic SIR model, individuals in R do not return to S (permanent immunity assumed).</w:t>
      </w:r>
    </w:p>
    <w:p>
      <w:pPr>
        <w:pStyle w:val="Heading3"/>
        <w:spacing w:after="80" w:before="200"/>
      </w:pPr>
      <w:r>
        <w:rPr>
          <w:rFonts w:ascii="Arial" w:cs="Arial" w:eastAsia="Arial" w:hAnsi="Arial"/>
          <w:b/>
          <w:bCs/>
          <w:color w:val="1B3A5C"/>
          <w:sz w:val="24"/>
          <w:szCs w:val="24"/>
        </w:rPr>
        <w:t xml:space="preserve">13.2.2 SIR Differential Equations</w:t>
      </w:r>
    </w:p>
    <w:p>
      <w:pPr>
        <w:spacing w:after="120" w:before="80" w:line="320"/>
      </w:pPr>
      <w:r>
        <w:rPr>
          <w:rFonts w:ascii="Arial" w:cs="Arial" w:eastAsia="Arial" w:hAnsi="Arial"/>
          <w:color w:val="4A5568"/>
          <w:sz w:val="22"/>
          <w:szCs w:val="22"/>
        </w:rPr>
        <w:t xml:space="preserve">The SIR model is governed by a system of three ordinary differential equations (ODEs):</w:t>
      </w:r>
    </w:p>
    <w:p>
      <w:pPr>
        <w:shd w:fill="F2F4F7" w:val="clear"/>
        <w:spacing w:after="160" w:before="160"/>
        <w:jc w:val="center"/>
      </w:pPr>
      <w:r>
        <w:rPr>
          <w:rFonts w:ascii="Courier New" w:cs="Courier New" w:eastAsia="Courier New" w:hAnsi="Courier New"/>
          <w:b/>
          <w:bCs/>
          <w:color w:val="1B3A5C"/>
          <w:sz w:val="22"/>
          <w:szCs w:val="22"/>
        </w:rPr>
        <w:t xml:space="preserve">dS/dt = −β·S·I/N</w:t>
      </w:r>
    </w:p>
    <w:p>
      <w:pPr>
        <w:shd w:fill="F2F4F7" w:val="clear"/>
        <w:spacing w:after="160" w:before="160"/>
        <w:jc w:val="center"/>
      </w:pPr>
      <w:r>
        <w:rPr>
          <w:rFonts w:ascii="Courier New" w:cs="Courier New" w:eastAsia="Courier New" w:hAnsi="Courier New"/>
          <w:b/>
          <w:bCs/>
          <w:color w:val="1B3A5C"/>
          <w:sz w:val="22"/>
          <w:szCs w:val="22"/>
        </w:rPr>
        <w:t xml:space="preserve">dI/dt = β·S·I/N − γ·I</w:t>
      </w:r>
    </w:p>
    <w:p>
      <w:pPr>
        <w:shd w:fill="F2F4F7" w:val="clear"/>
        <w:spacing w:after="160" w:before="160"/>
        <w:jc w:val="center"/>
      </w:pPr>
      <w:r>
        <w:rPr>
          <w:rFonts w:ascii="Courier New" w:cs="Courier New" w:eastAsia="Courier New" w:hAnsi="Courier New"/>
          <w:b/>
          <w:bCs/>
          <w:color w:val="1B3A5C"/>
          <w:sz w:val="22"/>
          <w:szCs w:val="22"/>
        </w:rPr>
        <w:t xml:space="preserve">dR/dt = γ·I</w:t>
      </w:r>
    </w:p>
    <w:p>
      <w:pPr>
        <w:spacing w:after="120" w:before="80" w:line="320"/>
      </w:pPr>
      <w:r>
        <w:rPr>
          <w:rFonts w:ascii="Arial" w:cs="Arial" w:eastAsia="Arial" w:hAnsi="Arial"/>
          <w:color w:val="4A5568"/>
          <w:sz w:val="22"/>
          <w:szCs w:val="22"/>
        </w:rPr>
        <w:t xml:space="preserve">Where: β (beta) is the transmission rate (contacts per unit time × probability of transmission per contact); γ (gamma) is the recovery rate (1/mean infectious period); and N = S + I + R is the total population size.</w:t>
      </w:r>
    </w:p>
    <w:p>
      <w:pPr>
        <w:pStyle w:val="Heading3"/>
        <w:spacing w:after="80" w:before="200"/>
      </w:pPr>
      <w:r>
        <w:rPr>
          <w:rFonts w:ascii="Arial" w:cs="Arial" w:eastAsia="Arial" w:hAnsi="Arial"/>
          <w:b/>
          <w:bCs/>
          <w:color w:val="1B3A5C"/>
          <w:sz w:val="24"/>
          <w:szCs w:val="24"/>
        </w:rPr>
        <w:t xml:space="preserve">13.2.3 The Basic Reproduction Number R₀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6"/>
              <w:left w:val="single" w:color="2E7D6B" w:sz="6"/>
              <w:bottom w:val="single" w:color="2E7D6B" w:sz="6"/>
              <w:right w:val="single" w:color="2E7D6B" w:sz="6"/>
            </w:tcBorders>
            <w:shd w:fill="EEF7F5" w:val="clear"/>
            <w:tcMar>
              <w:top w:type="dxa" w:w="120"/>
              <w:left w:type="dxa" w:w="240"/>
              <w:bottom w:type="dxa" w:w="120"/>
              <w:right w:type="dxa" w:w="240"/>
            </w:tcMar>
          </w:tcPr>
          <w:p>
            <w:pPr>
              <w:spacing w:after="40" w:before="0"/>
            </w:pPr>
            <w:r>
              <w:rPr>
                <w:rFonts w:ascii="Arial" w:cs="Arial" w:eastAsia="Arial" w:hAnsi="Arial"/>
                <w:b/>
                <w:bCs/>
                <w:color w:val="2E7D6B"/>
                <w:sz w:val="22"/>
                <w:szCs w:val="22"/>
              </w:rPr>
              <w:t xml:space="preserve">Basic Reproduction Number (R₀)</w:t>
            </w:r>
          </w:p>
          <w:p>
            <w:pPr>
              <w:spacing w:after="0" w:before="0" w:line="280"/>
            </w:pPr>
            <w:r>
              <w:rPr>
                <w:rFonts w:ascii="Arial" w:cs="Arial" w:eastAsia="Arial" w:hAnsi="Arial"/>
                <w:color w:val="4A5568"/>
                <w:sz w:val="20"/>
                <w:szCs w:val="20"/>
              </w:rPr>
              <w:t xml:space="preserve">The average number of secondary cases produced by a single infectious individual in a completely susceptible population. R₀ &lt; 1 means the epidemic will die out; R₀ &gt; 1 means the epidemic will grow; R₀ = 1 is the epidemic threshold.</w:t>
            </w:r>
          </w:p>
        </w:tc>
      </w:tr>
    </w:tbl>
    <w:p>
      <w:pPr>
        <w:shd w:fill="F2F4F7" w:val="clear"/>
        <w:spacing w:after="160" w:before="160"/>
        <w:jc w:val="center"/>
      </w:pPr>
      <w:r>
        <w:rPr>
          <w:rFonts w:ascii="Courier New" w:cs="Courier New" w:eastAsia="Courier New" w:hAnsi="Courier New"/>
          <w:b/>
          <w:bCs/>
          <w:color w:val="1B3A5C"/>
          <w:sz w:val="22"/>
          <w:szCs w:val="22"/>
        </w:rPr>
        <w:t xml:space="preserve">R₀ = β / γ = (Transmission rate) / (Recovery rate)</w:t>
      </w:r>
    </w:p>
    <w:p>
      <w:pPr>
        <w:spacing w:after="120" w:before="80" w:line="320"/>
      </w:pPr>
      <w:r>
        <w:rPr>
          <w:rFonts w:ascii="Arial" w:cs="Arial" w:eastAsia="Arial" w:hAnsi="Arial"/>
          <w:color w:val="4A5568"/>
          <w:sz w:val="22"/>
          <w:szCs w:val="22"/>
        </w:rPr>
        <w:t xml:space="preserve">The basic reproduction number determines both the epidemic threshold and the final attack rate—the fraction of the population that will ultimately become infected if no control measures are implemented.</w:t>
      </w:r>
    </w:p>
    <w:p>
      <w:pPr>
        <w:shd w:fill="F2F4F7" w:val="clear"/>
        <w:spacing w:after="160" w:before="160"/>
        <w:jc w:val="center"/>
      </w:pPr>
      <w:r>
        <w:rPr>
          <w:rFonts w:ascii="Courier New" w:cs="Courier New" w:eastAsia="Courier New" w:hAnsi="Courier New"/>
          <w:b/>
          <w:bCs/>
          <w:color w:val="1B3A5C"/>
          <w:sz w:val="22"/>
          <w:szCs w:val="22"/>
        </w:rPr>
        <w:t xml:space="preserve">Final attack rate: 1 − exp(−R₀ × attack rate) [implicit equation, solved numerically]</w:t>
      </w:r>
    </w:p>
    <w:p>
      <w:pPr>
        <w:spacing w:after="120" w:before="80" w:line="320"/>
      </w:pPr>
      <w:r>
        <w:rPr>
          <w:rFonts w:ascii="Arial" w:cs="Arial" w:eastAsia="Arial" w:hAnsi="Arial"/>
          <w:color w:val="4A5568"/>
          <w:sz w:val="22"/>
          <w:szCs w:val="22"/>
        </w:rPr>
        <w:t xml:space="preserve">For R₀ = 2 (typical influenza), the theoretical final attack rate is approximately 80%. For R₀ = 5 (measles-like), it approaches 99%.</w:t>
      </w:r>
    </w:p>
    <w:p>
      <w:pPr>
        <w:pStyle w:val="Heading3"/>
        <w:spacing w:after="80" w:before="200"/>
      </w:pPr>
      <w:r>
        <w:rPr>
          <w:rFonts w:ascii="Arial" w:cs="Arial" w:eastAsia="Arial" w:hAnsi="Arial"/>
          <w:b/>
          <w:bCs/>
          <w:color w:val="1B3A5C"/>
          <w:sz w:val="24"/>
          <w:szCs w:val="24"/>
        </w:rPr>
        <w:t xml:space="preserve">13.2.4 Herd Immunity Threshold</w:t>
      </w:r>
    </w:p>
    <w:p>
      <w:pPr>
        <w:spacing w:after="120" w:before="80" w:line="320"/>
      </w:pPr>
      <w:r>
        <w:rPr>
          <w:rFonts w:ascii="Arial" w:cs="Arial" w:eastAsia="Arial" w:hAnsi="Arial"/>
          <w:color w:val="4A5568"/>
          <w:sz w:val="22"/>
          <w:szCs w:val="22"/>
        </w:rPr>
        <w:t xml:space="preserve">Vaccination reduces the susceptible fraction of the population, reducing the effective reproduction number R_eff = R₀ × S/N. When S/N &lt; 1/R₀, R_eff &lt; 1 and the epidemic cannot sustain itself. The fraction of the population that must be immune (vaccinated or recovered) to prevent epidemic spread is the herd immunity threshold (HIT):</w:t>
      </w:r>
    </w:p>
    <w:p>
      <w:pPr>
        <w:shd w:fill="F2F4F7" w:val="clear"/>
        <w:spacing w:after="160" w:before="160"/>
        <w:jc w:val="center"/>
      </w:pPr>
      <w:r>
        <w:rPr>
          <w:rFonts w:ascii="Courier New" w:cs="Courier New" w:eastAsia="Courier New" w:hAnsi="Courier New"/>
          <w:b/>
          <w:bCs/>
          <w:color w:val="1B3A5C"/>
          <w:sz w:val="22"/>
          <w:szCs w:val="22"/>
        </w:rPr>
        <w:t xml:space="preserve">Herd Immunity Threshold (HIT) = 1 − 1/R₀</w:t>
      </w:r>
    </w:p>
    <w:p>
      <w:pPr>
        <w:spacing w:after="120" w:before="80" w:line="320"/>
      </w:pPr>
      <w:r>
        <w:rPr>
          <w:rFonts w:ascii="Arial" w:cs="Arial" w:eastAsia="Arial" w:hAnsi="Arial"/>
          <w:color w:val="4A5568"/>
          <w:sz w:val="22"/>
          <w:szCs w:val="22"/>
        </w:rPr>
        <w:t xml:space="preserve">For measles (R₀ ≈ 12–18): HIT ≈ 92–94%</w:t>
      </w:r>
    </w:p>
    <w:p>
      <w:pPr>
        <w:spacing w:after="120" w:before="80" w:line="320"/>
      </w:pPr>
      <w:r>
        <w:rPr>
          <w:rFonts w:ascii="Arial" w:cs="Arial" w:eastAsia="Arial" w:hAnsi="Arial"/>
          <w:color w:val="4A5568"/>
          <w:sz w:val="22"/>
          <w:szCs w:val="22"/>
        </w:rPr>
        <w:t xml:space="preserve">For seasonal influenza (R₀ ≈ 1.2–1.4): HIT ≈ 17–28%</w:t>
      </w:r>
    </w:p>
    <w:p>
      <w:pPr>
        <w:spacing w:after="120" w:before="80" w:line="320"/>
      </w:pPr>
      <w:r>
        <w:rPr>
          <w:rFonts w:ascii="Arial" w:cs="Arial" w:eastAsia="Arial" w:hAnsi="Arial"/>
          <w:color w:val="4A5568"/>
          <w:sz w:val="22"/>
          <w:szCs w:val="22"/>
        </w:rPr>
        <w:t xml:space="preserve">For SARS-CoV-2 original strain (R₀ ≈ 2.5): HIT ≈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5892A" w:sz="6"/>
              <w:bottom w:val="none"/>
              <w:right w:val="none"/>
            </w:tcBorders>
            <w:shd w:fill="FFF8E7" w:val="clear"/>
            <w:tcMar>
              <w:top w:type="dxa" w:w="120"/>
              <w:left w:type="dxa" w:w="280"/>
              <w:bottom w:type="dxa" w:w="40"/>
              <w:right w:type="dxa" w:w="200"/>
            </w:tcMar>
          </w:tcPr>
          <w:p>
            <w:r>
              <w:rPr>
                <w:rFonts w:ascii="Arial" w:cs="Arial" w:eastAsia="Arial" w:hAnsi="Arial"/>
                <w:b/>
                <w:bCs/>
                <w:color w:val="B5892A"/>
                <w:sz w:val="18"/>
                <w:szCs w:val="18"/>
              </w:rPr>
              <w:t xml:space="preserve">◆ CLINICAL PEARL</w:t>
            </w:r>
          </w:p>
        </w:tc>
      </w:tr>
      <w:tr>
        <w:tc>
          <w:tcPr>
            <w:tcW w:type="dxa" w:w="9360"/>
            <w:tcBorders>
              <w:top w:val="none"/>
              <w:left w:val="single" w:color="B5892A" w:sz="6"/>
              <w:bottom w:val="none"/>
              <w:right w:val="none"/>
            </w:tcBorders>
            <w:shd w:fill="FFF8E7"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The HIT has profound implications for rural vaccine programs. Rural vaccination rates below the HIT enable sustained community transmission of preventable diseases. Measles outbreaks in unvaccinated rural communities are especially dangerous because the small total population size means a lower absolute number of unvaccinated individuals can sustain transmission for longer.</w:t>
            </w:r>
          </w:p>
        </w:tc>
      </w:tr>
    </w:tbl>
    <w:p>
      <w:pPr>
        <w:pStyle w:val="Heading2"/>
        <w:spacing w:after="120" w:before="280"/>
      </w:pPr>
      <w:r>
        <w:rPr>
          <w:rFonts w:ascii="Arial" w:cs="Arial" w:eastAsia="Arial" w:hAnsi="Arial"/>
          <w:b/>
          <w:bCs/>
          <w:color w:val="2E7D6B"/>
          <w:sz w:val="28"/>
          <w:szCs w:val="28"/>
        </w:rPr>
        <w:t xml:space="preserve">13.3 The SEIR Model</w:t>
      </w:r>
    </w:p>
    <w:p>
      <w:pPr>
        <w:pStyle w:val="Heading3"/>
        <w:spacing w:after="80" w:before="200"/>
      </w:pPr>
      <w:r>
        <w:rPr>
          <w:rFonts w:ascii="Arial" w:cs="Arial" w:eastAsia="Arial" w:hAnsi="Arial"/>
          <w:b/>
          <w:bCs/>
          <w:color w:val="1B3A5C"/>
          <w:sz w:val="24"/>
          <w:szCs w:val="24"/>
        </w:rPr>
        <w:t xml:space="preserve">13.3.1 Adding the Exposed Compartment</w:t>
      </w:r>
    </w:p>
    <w:p>
      <w:pPr>
        <w:spacing w:after="120" w:before="80" w:line="320"/>
      </w:pPr>
      <w:r>
        <w:rPr>
          <w:rFonts w:ascii="Arial" w:cs="Arial" w:eastAsia="Arial" w:hAnsi="Arial"/>
          <w:color w:val="4A5568"/>
          <w:sz w:val="22"/>
          <w:szCs w:val="22"/>
        </w:rPr>
        <w:t xml:space="preserve">Many pathogens have an incubation period during which an infected individual cannot yet transmit disease. The SEIR model adds an Exposed (E) compartment representing individuals who have been infected but are not yet infectious.</w:t>
      </w:r>
    </w:p>
    <w:p>
      <w:pPr>
        <w:pStyle w:val="ListParagraph"/>
        <w:numPr>
          <w:ilvl w:val="0"/>
          <w:numId w:val="2"/>
        </w:numPr>
        <w:spacing w:after="40" w:before="40" w:line="300"/>
      </w:pPr>
      <w:r>
        <w:rPr>
          <w:rFonts w:ascii="Arial" w:cs="Arial" w:eastAsia="Arial" w:hAnsi="Arial"/>
          <w:b/>
          <w:bCs/>
          <w:color w:val="1B3A5C"/>
          <w:sz w:val="22"/>
          <w:szCs w:val="22"/>
        </w:rPr>
        <w:t xml:space="preserve">S (Susceptible): </w:t>
      </w:r>
      <w:r>
        <w:rPr>
          <w:rFonts w:ascii="Arial" w:cs="Arial" w:eastAsia="Arial" w:hAnsi="Arial"/>
          <w:color w:val="4A5568"/>
          <w:sz w:val="22"/>
          <w:szCs w:val="22"/>
        </w:rPr>
        <w:t xml:space="preserve">As in SIR.</w:t>
      </w:r>
    </w:p>
    <w:p>
      <w:pPr>
        <w:pStyle w:val="ListParagraph"/>
        <w:numPr>
          <w:ilvl w:val="0"/>
          <w:numId w:val="2"/>
        </w:numPr>
        <w:spacing w:after="40" w:before="40" w:line="300"/>
      </w:pPr>
      <w:r>
        <w:rPr>
          <w:rFonts w:ascii="Arial" w:cs="Arial" w:eastAsia="Arial" w:hAnsi="Arial"/>
          <w:b/>
          <w:bCs/>
          <w:color w:val="1B3A5C"/>
          <w:sz w:val="22"/>
          <w:szCs w:val="22"/>
        </w:rPr>
        <w:t xml:space="preserve">E (Exposed/Latent): </w:t>
      </w:r>
      <w:r>
        <w:rPr>
          <w:rFonts w:ascii="Arial" w:cs="Arial" w:eastAsia="Arial" w:hAnsi="Arial"/>
          <w:color w:val="4A5568"/>
          <w:sz w:val="22"/>
          <w:szCs w:val="22"/>
        </w:rPr>
        <w:t xml:space="preserve">Infected but not yet infectious. Individuals in E will transition to I after the latent period (1/σ days, where σ is the rate of progression from E to I).</w:t>
      </w:r>
    </w:p>
    <w:p>
      <w:pPr>
        <w:pStyle w:val="ListParagraph"/>
        <w:numPr>
          <w:ilvl w:val="0"/>
          <w:numId w:val="2"/>
        </w:numPr>
        <w:spacing w:after="40" w:before="40" w:line="300"/>
      </w:pPr>
      <w:r>
        <w:rPr>
          <w:rFonts w:ascii="Arial" w:cs="Arial" w:eastAsia="Arial" w:hAnsi="Arial"/>
          <w:b/>
          <w:bCs/>
          <w:color w:val="1B3A5C"/>
          <w:sz w:val="22"/>
          <w:szCs w:val="22"/>
        </w:rPr>
        <w:t xml:space="preserve">I (Infectious): </w:t>
      </w:r>
      <w:r>
        <w:rPr>
          <w:rFonts w:ascii="Arial" w:cs="Arial" w:eastAsia="Arial" w:hAnsi="Arial"/>
          <w:color w:val="4A5568"/>
          <w:sz w:val="22"/>
          <w:szCs w:val="22"/>
        </w:rPr>
        <w:t xml:space="preserve">Currently infectious. Transitions to R at rate γ.</w:t>
      </w:r>
    </w:p>
    <w:p>
      <w:pPr>
        <w:pStyle w:val="ListParagraph"/>
        <w:numPr>
          <w:ilvl w:val="0"/>
          <w:numId w:val="2"/>
        </w:numPr>
        <w:spacing w:after="40" w:before="40" w:line="300"/>
      </w:pPr>
      <w:r>
        <w:rPr>
          <w:rFonts w:ascii="Arial" w:cs="Arial" w:eastAsia="Arial" w:hAnsi="Arial"/>
          <w:b/>
          <w:bCs/>
          <w:color w:val="1B3A5C"/>
          <w:sz w:val="22"/>
          <w:szCs w:val="22"/>
        </w:rPr>
        <w:t xml:space="preserve">R (Removed): </w:t>
      </w:r>
      <w:r>
        <w:rPr>
          <w:rFonts w:ascii="Arial" w:cs="Arial" w:eastAsia="Arial" w:hAnsi="Arial"/>
          <w:color w:val="4A5568"/>
          <w:sz w:val="22"/>
          <w:szCs w:val="22"/>
        </w:rPr>
        <w:t xml:space="preserve">Immune or dead. As in SIR.</w:t>
      </w:r>
    </w:p>
    <w:p>
      <w:pPr>
        <w:pStyle w:val="Heading3"/>
        <w:spacing w:after="80" w:before="200"/>
      </w:pPr>
      <w:r>
        <w:rPr>
          <w:rFonts w:ascii="Arial" w:cs="Arial" w:eastAsia="Arial" w:hAnsi="Arial"/>
          <w:b/>
          <w:bCs/>
          <w:color w:val="1B3A5C"/>
          <w:sz w:val="24"/>
          <w:szCs w:val="24"/>
        </w:rPr>
        <w:t xml:space="preserve">13.3.2 SEIR Differential Equations</w:t>
      </w:r>
    </w:p>
    <w:p>
      <w:pPr>
        <w:shd w:fill="F2F4F7" w:val="clear"/>
        <w:spacing w:after="160" w:before="160"/>
        <w:jc w:val="center"/>
      </w:pPr>
      <w:r>
        <w:rPr>
          <w:rFonts w:ascii="Courier New" w:cs="Courier New" w:eastAsia="Courier New" w:hAnsi="Courier New"/>
          <w:b/>
          <w:bCs/>
          <w:color w:val="1B3A5C"/>
          <w:sz w:val="22"/>
          <w:szCs w:val="22"/>
        </w:rPr>
        <w:t xml:space="preserve">dS/dt = −β·S·I/N</w:t>
      </w:r>
    </w:p>
    <w:p>
      <w:pPr>
        <w:shd w:fill="F2F4F7" w:val="clear"/>
        <w:spacing w:after="160" w:before="160"/>
        <w:jc w:val="center"/>
      </w:pPr>
      <w:r>
        <w:rPr>
          <w:rFonts w:ascii="Courier New" w:cs="Courier New" w:eastAsia="Courier New" w:hAnsi="Courier New"/>
          <w:b/>
          <w:bCs/>
          <w:color w:val="1B3A5C"/>
          <w:sz w:val="22"/>
          <w:szCs w:val="22"/>
        </w:rPr>
        <w:t xml:space="preserve">dE/dt = β·S·I/N − σ·E</w:t>
      </w:r>
    </w:p>
    <w:p>
      <w:pPr>
        <w:shd w:fill="F2F4F7" w:val="clear"/>
        <w:spacing w:after="160" w:before="160"/>
        <w:jc w:val="center"/>
      </w:pPr>
      <w:r>
        <w:rPr>
          <w:rFonts w:ascii="Courier New" w:cs="Courier New" w:eastAsia="Courier New" w:hAnsi="Courier New"/>
          <w:b/>
          <w:bCs/>
          <w:color w:val="1B3A5C"/>
          <w:sz w:val="22"/>
          <w:szCs w:val="22"/>
        </w:rPr>
        <w:t xml:space="preserve">dI/dt = σ·E − γ·I</w:t>
      </w:r>
    </w:p>
    <w:p>
      <w:pPr>
        <w:shd w:fill="F2F4F7" w:val="clear"/>
        <w:spacing w:after="160" w:before="160"/>
        <w:jc w:val="center"/>
      </w:pPr>
      <w:r>
        <w:rPr>
          <w:rFonts w:ascii="Courier New" w:cs="Courier New" w:eastAsia="Courier New" w:hAnsi="Courier New"/>
          <w:b/>
          <w:bCs/>
          <w:color w:val="1B3A5C"/>
          <w:sz w:val="22"/>
          <w:szCs w:val="22"/>
        </w:rPr>
        <w:t xml:space="preserve">dR/dt = γ·I</w:t>
      </w:r>
    </w:p>
    <w:p>
      <w:pPr>
        <w:spacing w:after="120" w:before="80" w:line="320"/>
      </w:pPr>
      <w:r>
        <w:rPr>
          <w:rFonts w:ascii="Arial" w:cs="Arial" w:eastAsia="Arial" w:hAnsi="Arial"/>
          <w:color w:val="4A5568"/>
          <w:sz w:val="22"/>
          <w:szCs w:val="22"/>
        </w:rPr>
        <w:t xml:space="preserve">For the SEIR model, R₀ = β/γ (unchanged from SIR—the latent period delays but does not prevent epidemic spread). However, the SEIR model more accurately captures the shape of the epidemic curve: the initial exponential growth is slower, and the peak occurs later, compared to the SIR model with the same R₀.</w:t>
      </w:r>
    </w:p>
    <w:p>
      <w:pPr>
        <w:pStyle w:val="Heading2"/>
        <w:spacing w:after="120" w:before="280"/>
      </w:pPr>
      <w:r>
        <w:rPr>
          <w:rFonts w:ascii="Arial" w:cs="Arial" w:eastAsia="Arial" w:hAnsi="Arial"/>
          <w:b/>
          <w:bCs/>
          <w:color w:val="2E7D6B"/>
          <w:sz w:val="28"/>
          <w:szCs w:val="28"/>
        </w:rPr>
        <w:t xml:space="preserve">13.4 The SEIRD Model: Incorporating Mortality</w:t>
      </w:r>
    </w:p>
    <w:p>
      <w:pPr>
        <w:pStyle w:val="Heading3"/>
        <w:spacing w:after="80" w:before="200"/>
      </w:pPr>
      <w:r>
        <w:rPr>
          <w:rFonts w:ascii="Arial" w:cs="Arial" w:eastAsia="Arial" w:hAnsi="Arial"/>
          <w:b/>
          <w:bCs/>
          <w:color w:val="1B3A5C"/>
          <w:sz w:val="24"/>
          <w:szCs w:val="24"/>
        </w:rPr>
        <w:t xml:space="preserve">13.4.1 Model Structure with Death</w:t>
      </w:r>
    </w:p>
    <w:p>
      <w:pPr>
        <w:spacing w:after="120" w:before="80" w:line="320"/>
      </w:pPr>
      <w:r>
        <w:rPr>
          <w:rFonts w:ascii="Arial" w:cs="Arial" w:eastAsia="Arial" w:hAnsi="Arial"/>
          <w:color w:val="4A5568"/>
          <w:sz w:val="22"/>
          <w:szCs w:val="22"/>
        </w:rPr>
        <w:t xml:space="preserve">For diseases with significant mortality, the SEIRD model adds a Death (D) compartment and a case fatality rate (μ) parameter. Infectious individuals either recover at rate γ(1−μ) or die at rate γμ.</w:t>
      </w:r>
    </w:p>
    <w:p>
      <w:pPr>
        <w:shd w:fill="F2F4F7" w:val="clear"/>
        <w:spacing w:after="160" w:before="160"/>
        <w:jc w:val="center"/>
      </w:pPr>
      <w:r>
        <w:rPr>
          <w:rFonts w:ascii="Courier New" w:cs="Courier New" w:eastAsia="Courier New" w:hAnsi="Courier New"/>
          <w:b/>
          <w:bCs/>
          <w:color w:val="1B3A5C"/>
          <w:sz w:val="22"/>
          <w:szCs w:val="22"/>
        </w:rPr>
        <w:t xml:space="preserve">dS/dt = −β·S·I/N</w:t>
      </w:r>
    </w:p>
    <w:p>
      <w:pPr>
        <w:shd w:fill="F2F4F7" w:val="clear"/>
        <w:spacing w:after="160" w:before="160"/>
        <w:jc w:val="center"/>
      </w:pPr>
      <w:r>
        <w:rPr>
          <w:rFonts w:ascii="Courier New" w:cs="Courier New" w:eastAsia="Courier New" w:hAnsi="Courier New"/>
          <w:b/>
          <w:bCs/>
          <w:color w:val="1B3A5C"/>
          <w:sz w:val="22"/>
          <w:szCs w:val="22"/>
        </w:rPr>
        <w:t xml:space="preserve">dE/dt = β·S·I/N − σ·E</w:t>
      </w:r>
    </w:p>
    <w:p>
      <w:pPr>
        <w:shd w:fill="F2F4F7" w:val="clear"/>
        <w:spacing w:after="160" w:before="160"/>
        <w:jc w:val="center"/>
      </w:pPr>
      <w:r>
        <w:rPr>
          <w:rFonts w:ascii="Courier New" w:cs="Courier New" w:eastAsia="Courier New" w:hAnsi="Courier New"/>
          <w:b/>
          <w:bCs/>
          <w:color w:val="1B3A5C"/>
          <w:sz w:val="22"/>
          <w:szCs w:val="22"/>
        </w:rPr>
        <w:t xml:space="preserve">dI/dt = σ·E − γ·I</w:t>
      </w:r>
    </w:p>
    <w:p>
      <w:pPr>
        <w:shd w:fill="F2F4F7" w:val="clear"/>
        <w:spacing w:after="160" w:before="160"/>
        <w:jc w:val="center"/>
      </w:pPr>
      <w:r>
        <w:rPr>
          <w:rFonts w:ascii="Courier New" w:cs="Courier New" w:eastAsia="Courier New" w:hAnsi="Courier New"/>
          <w:b/>
          <w:bCs/>
          <w:color w:val="1B3A5C"/>
          <w:sz w:val="22"/>
          <w:szCs w:val="22"/>
        </w:rPr>
        <w:t xml:space="preserve">dR/dt = γ·(1−μ)·I</w:t>
      </w:r>
    </w:p>
    <w:p>
      <w:pPr>
        <w:shd w:fill="F2F4F7" w:val="clear"/>
        <w:spacing w:after="160" w:before="160"/>
        <w:jc w:val="center"/>
      </w:pPr>
      <w:r>
        <w:rPr>
          <w:rFonts w:ascii="Courier New" w:cs="Courier New" w:eastAsia="Courier New" w:hAnsi="Courier New"/>
          <w:b/>
          <w:bCs/>
          <w:color w:val="1B3A5C"/>
          <w:sz w:val="22"/>
          <w:szCs w:val="22"/>
        </w:rPr>
        <w:t xml:space="preserve">dD/dt = γ·μ·I</w:t>
      </w:r>
    </w:p>
    <w:p>
      <w:pPr>
        <w:spacing w:after="120" w:before="80" w:line="320"/>
      </w:pPr>
      <w:r>
        <w:rPr>
          <w:rFonts w:ascii="Arial" w:cs="Arial" w:eastAsia="Arial" w:hAnsi="Arial"/>
          <w:color w:val="4A5568"/>
          <w:sz w:val="22"/>
          <w:szCs w:val="22"/>
        </w:rPr>
        <w:t xml:space="preserve">The case fatality rate (μ) must be distinguished from the infection fatality rate (IFR) and the case detection fraction. If only a fraction of infections are detected and reported, the observed CFR will overestimate the true IFR. This distinction was epidemiologically critical during the COVID-19 pandemic, where early CFR estimates of 3–4% proved to be substantial overestimates of the true IFR once asymptomatic infections were quantified.</w:t>
      </w:r>
    </w:p>
    <w:p>
      <w:pPr>
        <w:pStyle w:val="Heading2"/>
        <w:spacing w:after="120" w:before="280"/>
      </w:pPr>
      <w:r>
        <w:rPr>
          <w:rFonts w:ascii="Arial" w:cs="Arial" w:eastAsia="Arial" w:hAnsi="Arial"/>
          <w:b/>
          <w:bCs/>
          <w:color w:val="2E7D6B"/>
          <w:sz w:val="28"/>
          <w:szCs w:val="28"/>
        </w:rPr>
        <w:t xml:space="preserve">13.5 Model Extensions for Rural Settings</w:t>
      </w:r>
    </w:p>
    <w:p>
      <w:pPr>
        <w:pStyle w:val="Heading3"/>
        <w:spacing w:after="80" w:before="200"/>
      </w:pPr>
      <w:r>
        <w:rPr>
          <w:rFonts w:ascii="Arial" w:cs="Arial" w:eastAsia="Arial" w:hAnsi="Arial"/>
          <w:b/>
          <w:bCs/>
          <w:color w:val="1B3A5C"/>
          <w:sz w:val="24"/>
          <w:szCs w:val="24"/>
        </w:rPr>
        <w:t xml:space="preserve">13.5.1 Spatial Metapopulation Models</w:t>
      </w:r>
    </w:p>
    <w:p>
      <w:pPr>
        <w:spacing w:after="120" w:before="80" w:line="320"/>
      </w:pPr>
      <w:r>
        <w:rPr>
          <w:rFonts w:ascii="Arial" w:cs="Arial" w:eastAsia="Arial" w:hAnsi="Arial"/>
          <w:color w:val="4A5568"/>
          <w:sz w:val="22"/>
          <w:szCs w:val="22"/>
        </w:rPr>
        <w:t xml:space="preserve">Rural disease spread often follows spatial hierarchies: infection is introduced from an urban center, spreads through county-seat towns, and eventually reaches isolated rural communities. Metapopulation models divide the landscape into coupled subpopulations connected by mobility networks, allowing modeling of spatial epidemic spread.</w:t>
      </w:r>
    </w:p>
    <w:p>
      <w:pPr>
        <w:pStyle w:val="Heading3"/>
        <w:spacing w:after="80" w:before="200"/>
      </w:pPr>
      <w:r>
        <w:rPr>
          <w:rFonts w:ascii="Arial" w:cs="Arial" w:eastAsia="Arial" w:hAnsi="Arial"/>
          <w:b/>
          <w:bCs/>
          <w:color w:val="1B3A5C"/>
          <w:sz w:val="24"/>
          <w:szCs w:val="24"/>
        </w:rPr>
        <w:t xml:space="preserve">13.5.2 Age-Structured Models</w:t>
      </w:r>
    </w:p>
    <w:p>
      <w:pPr>
        <w:spacing w:after="120" w:before="80" w:line="320"/>
      </w:pPr>
      <w:r>
        <w:rPr>
          <w:rFonts w:ascii="Arial" w:cs="Arial" w:eastAsia="Arial" w:hAnsi="Arial"/>
          <w:color w:val="4A5568"/>
          <w:sz w:val="22"/>
          <w:szCs w:val="22"/>
        </w:rPr>
        <w:t xml:space="preserve">Age-structured SEIR models weight transmission rates by age-specific contact patterns, captured in contact matrices derived from social contact surveys. For respiratory pathogens with age-specific severity (influenza, COVID-19, RSV), age-structured models are essential for accurately predicting healthcare demand and designing age-targeted vaccination programs.</w:t>
      </w:r>
    </w:p>
    <w:p>
      <w:pPr>
        <w:pStyle w:val="Heading3"/>
        <w:spacing w:after="80" w:before="200"/>
      </w:pPr>
      <w:r>
        <w:rPr>
          <w:rFonts w:ascii="Arial" w:cs="Arial" w:eastAsia="Arial" w:hAnsi="Arial"/>
          <w:b/>
          <w:bCs/>
          <w:color w:val="1B3A5C"/>
          <w:sz w:val="24"/>
          <w:szCs w:val="24"/>
        </w:rPr>
        <w:t xml:space="preserve">13.5.3 Stochastic Extinction in Small Populations</w:t>
      </w:r>
    </w:p>
    <w:p>
      <w:pPr>
        <w:spacing w:after="120" w:before="80" w:line="320"/>
      </w:pPr>
      <w:r>
        <w:rPr>
          <w:rFonts w:ascii="Arial" w:cs="Arial" w:eastAsia="Arial" w:hAnsi="Arial"/>
          <w:color w:val="4A5568"/>
          <w:sz w:val="22"/>
          <w:szCs w:val="22"/>
        </w:rPr>
        <w:t xml:space="preserve">In the deterministic SIR model, an epidemic that begins with R₀ &gt; 1 will always grow. In reality, when the number of infectious individuals is small (I = 1, 2, 3...), stochastic chance can extinguish the chain of transmission before an epidemic establishes. The probability that a single introduced case causes a major outbreak is approximately 1 − 1/R₀—meaning for R₀ = 2, there is a 50% chance each introduction fails to spark an epidemic. This stochastic extinction effect is important in modeling rural outbreak risk.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80"/>
              <w:left w:type="dxa" w:w="360"/>
              <w:bottom w:type="dxa" w:w="280"/>
              <w:right w:type="dxa" w:w="360"/>
            </w:tcMar>
          </w:tcPr>
          <w:p>
            <w:pPr>
              <w:spacing w:after="60" w:before="0"/>
            </w:pPr>
            <w:r>
              <w:rPr>
                <w:rFonts w:ascii="Arial" w:cs="Arial" w:eastAsia="Arial" w:hAnsi="Arial"/>
                <w:b/>
                <w:bCs/>
                <w:color w:val="B5892A"/>
                <w:sz w:val="22"/>
                <w:szCs w:val="22"/>
              </w:rPr>
              <w:t xml:space="preserve">CHAPTER 14</w:t>
            </w:r>
          </w:p>
          <w:p>
            <w:pPr>
              <w:spacing w:after="40" w:before="0"/>
            </w:pPr>
            <w:r>
              <w:rPr>
                <w:rFonts w:ascii="Arial" w:cs="Arial" w:eastAsia="Arial" w:hAnsi="Arial"/>
                <w:b/>
                <w:bCs/>
                <w:color w:val="FFFFFF"/>
                <w:sz w:val="38"/>
                <w:szCs w:val="38"/>
              </w:rPr>
              <w:t xml:space="preserve">Rust Implementation of the SEIR/SEIRD Framework</w:t>
            </w:r>
          </w:p>
          <w:p>
            <w:pPr>
              <w:spacing w:after="0" w:before="0"/>
            </w:pPr>
            <w:r>
              <w:rPr>
                <w:rFonts w:ascii="Arial" w:cs="Arial" w:eastAsia="Arial" w:hAnsi="Arial"/>
                <w:i/>
                <w:iCs/>
                <w:color w:val="AABFD4"/>
                <w:sz w:val="22"/>
                <w:szCs w:val="22"/>
              </w:rPr>
              <w:t xml:space="preserve">High-Performance Epidemic Modeling for WebAssembly</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14.1 Why Rust for Epidemiological Computing?</w:t>
      </w:r>
    </w:p>
    <w:p>
      <w:pPr>
        <w:spacing w:after="120" w:before="80" w:line="320"/>
      </w:pPr>
      <w:r>
        <w:rPr>
          <w:rFonts w:ascii="Arial" w:cs="Arial" w:eastAsia="Arial" w:hAnsi="Arial"/>
          <w:color w:val="4A5568"/>
          <w:sz w:val="22"/>
          <w:szCs w:val="22"/>
        </w:rPr>
        <w:t xml:space="preserve">The computational demands of epidemic modeling range from trivial (evaluating a 4-compartment ODE system for 365 days) to intensive (running 10,000 stochastic simulations for uncertainty quantification, or fitting model parameters to observed data via Markov chain Monte Carlo). Rust offers a compelling combination of performance (comparable to C/C++), memory safety (no buffer overflows, no use-after-free), and excellent WebAssembly compilation support—making it ideal for browser-deployable epidemic models that are both fast and safe.</w:t>
      </w:r>
    </w:p>
    <w:p>
      <w:pPr>
        <w:pStyle w:val="Heading2"/>
        <w:spacing w:after="120" w:before="280"/>
      </w:pPr>
      <w:r>
        <w:rPr>
          <w:rFonts w:ascii="Arial" w:cs="Arial" w:eastAsia="Arial" w:hAnsi="Arial"/>
          <w:b/>
          <w:bCs/>
          <w:color w:val="2E7D6B"/>
          <w:sz w:val="28"/>
          <w:szCs w:val="28"/>
        </w:rPr>
        <w:t xml:space="preserve">14.2 Project Structure</w:t>
      </w:r>
    </w:p>
    <w:p>
      <w:pPr>
        <w:pStyle w:val="Heading3"/>
        <w:spacing w:after="80" w:before="200"/>
      </w:pPr>
      <w:r>
        <w:rPr>
          <w:rFonts w:ascii="Arial" w:cs="Arial" w:eastAsia="Arial" w:hAnsi="Arial"/>
          <w:b/>
          <w:bCs/>
          <w:color w:val="1B3A5C"/>
          <w:sz w:val="24"/>
          <w:szCs w:val="24"/>
        </w:rPr>
        <w:t xml:space="preserve">14.2.1 Cargo.toml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2F4F7" w:val="clear"/>
            <w:tcMar>
              <w:top w:type="dxa" w:w="160"/>
              <w:left w:type="dxa" w:w="240"/>
              <w:bottom w:type="dxa" w:w="160"/>
              <w:right w:type="dxa" w:w="240"/>
            </w:tcMar>
          </w:tcPr>
          <w:p>
            <w:pPr>
              <w:spacing w:after="0" w:before="0" w:line="300"/>
            </w:pPr>
            <w:r>
              <w:rPr>
                <w:rFonts w:ascii="Arial" w:cs="Arial" w:eastAsia="Arial" w:hAnsi="Arial"/>
                <w:color w:val="1B3A5C"/>
                <w:sz w:val="20"/>
                <w:szCs w:val="20"/>
              </w:rPr>
              <w:t xml:space="preserve">[package]
name = "epi-model"
version = "0.1.0"
edition = "2021"
[lib]
crate-type = ["cdylib", "rlib"]
[dependencies]
wasm-bindgen = "0.2"
serde = { version = "1.0", features = ["derive"] }
serde-wasm-bindgen = "0.6"
js-sys = "0.3"
[dev-dependencies]
approx = "0.5"
[profile.release]
opt-level = 3
lto = true</w:t>
            </w:r>
          </w:p>
        </w:tc>
      </w:tr>
    </w:tbl>
    <w:p>
      <w:pPr>
        <w:pStyle w:val="Heading3"/>
        <w:spacing w:after="80" w:before="200"/>
      </w:pPr>
      <w:r>
        <w:rPr>
          <w:rFonts w:ascii="Arial" w:cs="Arial" w:eastAsia="Arial" w:hAnsi="Arial"/>
          <w:b/>
          <w:bCs/>
          <w:color w:val="1B3A5C"/>
          <w:sz w:val="24"/>
          <w:szCs w:val="24"/>
        </w:rPr>
        <w:t xml:space="preserve">14.2.2 Core Model Types (src/lib.rs)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2F4F7" w:val="clear"/>
            <w:tcMar>
              <w:top w:type="dxa" w:w="160"/>
              <w:left w:type="dxa" w:w="240"/>
              <w:bottom w:type="dxa" w:w="160"/>
              <w:right w:type="dxa" w:w="240"/>
            </w:tcMar>
          </w:tcPr>
          <w:p>
            <w:pPr>
              <w:spacing w:after="0" w:before="0" w:line="300"/>
            </w:pPr>
            <w:r>
              <w:rPr>
                <w:rFonts w:ascii="Arial" w:cs="Arial" w:eastAsia="Arial" w:hAnsi="Arial"/>
                <w:color w:val="1B3A5C"/>
                <w:sz w:val="20"/>
                <w:szCs w:val="20"/>
              </w:rPr>
              <w:t xml:space="preserve">use wasm_bindgen::prelude::*;
use serde::{Deserialize, Serialize};
#[derive(Debug, Clone, Serialize, Deserialize)]
pub struct SeirdParams {
    pub beta: f64,   // transmission rate (contacts/day × p(transmission))
    pub sigma: f64,  // rate of progression from E→I (1/latent_days)
    pub gamma: f64,  // recovery rate (1/infectious_days)
    pub mu: f64,     // case fatality fraction
    pub n: f64,      // total population size
}
#[derive(Debug, Clone, Serialize, Deserialize)]
pub struct ModelState {
    pub s: f64,
    pub e: f64,
    pub i: f64,
    pub r: f64,
    pub d: f64,
    pub day: u32,
}
#[derive(Debug, Clone, Serialize, Deserialize)]
pub struct ModelResult {
    pub states: Vec&lt;ModelState&gt;,
    pub r0: f64,
    pub peak_infected: f64,
    pub peak_day: u32,
    pub final_attack_rate: f64,
    pub total_deaths: f64,
}</w:t>
            </w:r>
          </w:p>
        </w:tc>
      </w:tr>
    </w:tbl>
    <w:p>
      <w:pPr>
        <w:pStyle w:val="Heading3"/>
        <w:spacing w:after="80" w:before="200"/>
      </w:pPr>
      <w:r>
        <w:rPr>
          <w:rFonts w:ascii="Arial" w:cs="Arial" w:eastAsia="Arial" w:hAnsi="Arial"/>
          <w:b/>
          <w:bCs/>
          <w:color w:val="1B3A5C"/>
          <w:sz w:val="24"/>
          <w:szCs w:val="24"/>
        </w:rPr>
        <w:t xml:space="preserve">14.2.3 ODE Solver — 4th Order Runge-Kutta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2F4F7" w:val="clear"/>
            <w:tcMar>
              <w:top w:type="dxa" w:w="160"/>
              <w:left w:type="dxa" w:w="240"/>
              <w:bottom w:type="dxa" w:w="160"/>
              <w:right w:type="dxa" w:w="240"/>
            </w:tcMar>
          </w:tcPr>
          <w:p>
            <w:pPr>
              <w:spacing w:after="0" w:before="0" w:line="300"/>
            </w:pPr>
            <w:r>
              <w:rPr>
                <w:rFonts w:ascii="Arial" w:cs="Arial" w:eastAsia="Arial" w:hAnsi="Arial"/>
                <w:color w:val="1B3A5C"/>
                <w:sz w:val="20"/>
                <w:szCs w:val="20"/>
              </w:rPr>
              <w:t xml:space="preserve">fn rk4_step(state: &amp;ModelState, params: &amp;SeirdParams, dt: f64) -&gt; ModelState {
    let f = |s: f64, e: f64, i: f64| -&gt; (f64, f64, f64, f64, f64) {
        let n = params.n;
        let ds = -params.beta * s * i / n;
        let de = params.beta * s * i / n - params.sigma * e;
        let di = params.sigma * e - params.gamma * i;
        let dr = params.gamma * (1.0 - params.mu) * i;
        let dd = params.gamma * params.mu * i;
        (ds, de, di, dr, dd)
    };
    // k1
    let (ds1,de1,di1,dr1,dd1) = f(state.s, state.e, state.i);
    // k2
    let (ds2,de2,di2,dr2,dd2) = f(
        state.s + 0.5*dt*ds1, state.e + 0.5*dt*de1, state.i + 0.5*dt*di1);
    // k3
    let (ds3,de3,di3,dr3,dd3) = f(
        state.s + 0.5*dt*ds2, state.e + 0.5*dt*de2, state.i + 0.5*dt*di2);
    // k4
    let (ds4,de4,di4,dr4,dd4) = f(
        state.s + dt*ds3, state.e + dt*de3, state.i + dt*di3);
    ModelState {
        s: state.s + dt/6.0*(ds1+2.0*ds2+2.0*ds3+ds4),
        e: state.e + dt/6.0*(de1+2.0*de2+2.0*de3+de4),
        i: state.i + dt/6.0*(di1+2.0*di2+2.0*di3+di4),
        r: state.r + dt/6.0*(dr1+2.0*dr2+2.0*dr3+dr4),
        d: state.d + dt/6.0*(dd1+2.0*dd2+2.0*dd3+dd4),
        day: state.day,
    }
}</w:t>
            </w:r>
          </w:p>
        </w:tc>
      </w:tr>
    </w:tbl>
    <w:p>
      <w:pPr>
        <w:pStyle w:val="Heading3"/>
        <w:spacing w:after="80" w:before="200"/>
      </w:pPr>
      <w:r>
        <w:rPr>
          <w:rFonts w:ascii="Arial" w:cs="Arial" w:eastAsia="Arial" w:hAnsi="Arial"/>
          <w:b/>
          <w:bCs/>
          <w:color w:val="1B3A5C"/>
          <w:sz w:val="24"/>
          <w:szCs w:val="24"/>
        </w:rPr>
        <w:t xml:space="preserve">14.2.4 WASM-Exported Simulation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2F4F7" w:val="clear"/>
            <w:tcMar>
              <w:top w:type="dxa" w:w="160"/>
              <w:left w:type="dxa" w:w="240"/>
              <w:bottom w:type="dxa" w:w="160"/>
              <w:right w:type="dxa" w:w="240"/>
            </w:tcMar>
          </w:tcPr>
          <w:p>
            <w:pPr>
              <w:spacing w:after="0" w:before="0" w:line="300"/>
            </w:pPr>
            <w:r>
              <w:rPr>
                <w:rFonts w:ascii="Arial" w:cs="Arial" w:eastAsia="Arial" w:hAnsi="Arial"/>
                <w:color w:val="1B3A5C"/>
                <w:sz w:val="20"/>
                <w:szCs w:val="20"/>
              </w:rPr>
              <w:t xml:space="preserve">#[wasm_bindgen]
pub fn run_seird(params_js: JsValue, days: u32) -&gt; JsValue {
    let params: SeirdParams = serde_wasm_bindgen::from_value(params_js).unwrap();
    let dt = 0.5_f64; // half-day steps for accuracy
    let steps_per_day = (1.0 / dt) as u32;
    let mut state = ModelState {
        s: params.n - 1.0,
        e: 1.0, i: 0.0, r: 0.0, d: 0.0, day: 0,
    };
    let mut states = vec![state.clone()];
    let mut peak_i = 0.0_f64;
    let mut peak_day = 0u32;
    for day in 1..=days {
        for _ in 0..steps_per_day {
            state = rk4_step(&amp;state, &amp;params, dt);
        }
        state.day = day;
        if state.i &gt; peak_i { peak_i = state.i; peak_day = day; }
        states.push(state.clone());
    }
    let r0 = params.beta / params.gamma;
    let final_attack_rate = (params.n - state.s) / params.n;
    let result = ModelResult {
        states,
        r0,
        peak_infected: peak_i,
        peak_day,
        final_attack_rate,
        total_deaths: state.d,
    };
    serde_wasm_bindgen::to_value(&amp;result).unwrap()
}
#[wasm_bindgen]
pub fn compute_r0(beta: f64, gamma: f64) -&gt; f64 { beta / gamma }
#[wasm_bindgen]
pub fn herd_immunity_threshold(r0: f64) -&gt; f64 {
    if r0 &lt;= 1.0 { 0.0 } else { 1.0 - 1.0/r0 }
}</w:t>
            </w:r>
          </w:p>
        </w:tc>
      </w:tr>
    </w:tbl>
    <w:p>
      <w:pPr>
        <w:pStyle w:val="Heading3"/>
        <w:spacing w:after="80" w:before="200"/>
      </w:pPr>
      <w:r>
        <w:rPr>
          <w:rFonts w:ascii="Arial" w:cs="Arial" w:eastAsia="Arial" w:hAnsi="Arial"/>
          <w:b/>
          <w:bCs/>
          <w:color w:val="1B3A5C"/>
          <w:sz w:val="24"/>
          <w:szCs w:val="24"/>
        </w:rPr>
        <w:t xml:space="preserve">14.2.5 Stochastic Gillespie Algorithm for Small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2F4F7" w:val="clear"/>
            <w:tcMar>
              <w:top w:type="dxa" w:w="160"/>
              <w:left w:type="dxa" w:w="240"/>
              <w:bottom w:type="dxa" w:w="160"/>
              <w:right w:type="dxa" w:w="240"/>
            </w:tcMar>
          </w:tcPr>
          <w:p>
            <w:pPr>
              <w:spacing w:after="0" w:before="0" w:line="300"/>
            </w:pPr>
            <w:r>
              <w:rPr>
                <w:rFonts w:ascii="Arial" w:cs="Arial" w:eastAsia="Arial" w:hAnsi="Arial"/>
                <w:color w:val="1B3A5C"/>
                <w:sz w:val="20"/>
                <w:szCs w:val="20"/>
              </w:rPr>
              <w:t xml:space="preserve">/// Stochastic SEIR simulation using Gillespie's direct method
/// Appropriate for rural populations N &lt; 50,000 where stochastic effects matter
#[wasm_bindgen]
pub fn run_stochastic_seir(params_js: JsValue, days: u32, seed: u32) -&gt; JsValue {
    let params: SeirdParams = serde_wasm_bindgen::from_value(params_js).unwrap();
    // Pseudo-random number generator (LCG for WASM compatibility)
    let mut rng_state = seed as u64;
    let mut rng = move || -&gt; f64 {
        rng_state = rng_state.wrapping_mul(6364136223846793005).wrapping_add(1442695040888963407);
        (rng_state &gt;&gt; 33) as f64 / (u32::MAX as f64)
    };
    let (mut s, mut e, mut i, mut r) = (
        params.n as u64 - 1, 1u64, 0u64, 0u64
    );
    let mut t = 0.0_f64;
    let t_end = days as f64;
    let mut daily_i: Vec&lt;f64&gt; = vec![1.0];
    let n = params.n;
    loop {
        // Rates for each event
        let r1 = params.beta * s as f64 * i as f64 / n; // S-&gt;E
        let r2 = params.sigma * e as f64;                // E-&gt;I
        let r3 = params.gamma * i as f64;                // I-&gt;R
        let r_total = r1 + r2 + r3;
        if r_total == 0.0 || t &gt;= t_end { break; }
        // Time to next event (exponential)
        let dt = -(rng().ln()) / r_total;
        t += dt;
        if t &gt; t_end { break; }
        // Which event occurs?
        let u = rng() * r_total;
        if u &lt; r1 { s -= 1; e += 1; }
        else if u &lt; r1 + r2 { e -= 1; i += 1; }
        else { i -= 1; r += 1; }
        let day = t as usize;
        while daily_i.len() &lt;= day { daily_i.push(i as f64); }
    }
    serde_wasm_bindgen::to_value(&amp;daily_i).unwrap()
}</w:t>
            </w:r>
          </w:p>
        </w:tc>
      </w:tr>
    </w:tbl>
    <w:p>
      <w:pPr>
        <w:pStyle w:val="Heading3"/>
        <w:spacing w:after="80" w:before="200"/>
      </w:pPr>
      <w:r>
        <w:rPr>
          <w:rFonts w:ascii="Arial" w:cs="Arial" w:eastAsia="Arial" w:hAnsi="Arial"/>
          <w:b/>
          <w:bCs/>
          <w:color w:val="1B3A5C"/>
          <w:sz w:val="24"/>
          <w:szCs w:val="24"/>
        </w:rPr>
        <w:t xml:space="preserve">14.2.6 Building for WebAssembly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2F4F7" w:val="clear"/>
            <w:tcMar>
              <w:top w:type="dxa" w:w="160"/>
              <w:left w:type="dxa" w:w="240"/>
              <w:bottom w:type="dxa" w:w="160"/>
              <w:right w:type="dxa" w:w="240"/>
            </w:tcMar>
          </w:tcPr>
          <w:p>
            <w:pPr>
              <w:spacing w:after="0" w:before="0" w:line="300"/>
            </w:pPr>
            <w:r>
              <w:rPr>
                <w:rFonts w:ascii="Arial" w:cs="Arial" w:eastAsia="Arial" w:hAnsi="Arial"/>
                <w:color w:val="1B3A5C"/>
                <w:sz w:val="20"/>
                <w:szCs w:val="20"/>
              </w:rPr>
              <w:t xml:space="preserve"># Install wasm-pack (one-time setup)
cargo install wasm-pack
# Build for web target
wasm-pack build --target web --release
# Output: pkg/ directory containing:
#   epi_model_bg.wasm  - the compiled WebAssembly binary
#   epi_model.js       - JavaScript bindings
#   epi_model.d.ts     - TypeScript type definitions
#   package.json       - npm package descriptor
# Usage in HTML:
# &lt;script type="module"&gt;
#   import init, { run_seird, herd_immunity_threshold } from './pkg/epi_model.js';
#   await init();
#   const result = run_seird({ beta:0.3, sigma:0.2, gamma:0.1, mu:0.01, n:10000 }, 365);
# &lt;/script&gt;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7D6B" w:val="clear"/>
            <w:tcMar>
              <w:top w:type="dxa" w:w="360"/>
              <w:left w:type="dxa" w:w="720"/>
              <w:bottom w:type="dxa" w:w="360"/>
              <w:right w:type="dxa" w:w="720"/>
            </w:tcMar>
          </w:tcPr>
          <w:p>
            <w:pPr>
              <w:jc w:val="center"/>
            </w:pPr>
            <w:r>
              <w:rPr>
                <w:rFonts w:ascii="Arial" w:cs="Arial" w:eastAsia="Arial" w:hAnsi="Arial"/>
                <w:b/>
                <w:bCs/>
                <w:color w:val="FFFFFF"/>
                <w:sz w:val="44"/>
                <w:szCs w:val="44"/>
              </w:rPr>
              <w:t xml:space="preserve">PART V</w:t>
            </w:r>
          </w:p>
          <w:p>
            <w:pPr>
              <w:jc w:val="center"/>
            </w:pPr>
            <w:r>
              <w:rPr>
                <w:rFonts w:ascii="Arial" w:cs="Arial" w:eastAsia="Arial" w:hAnsi="Arial"/>
                <w:i/>
                <w:iCs/>
                <w:color w:val="D4F0EA"/>
                <w:sz w:val="28"/>
                <w:szCs w:val="28"/>
              </w:rPr>
              <w:t xml:space="preserve">Rural Practice Applications</w:t>
            </w:r>
          </w:p>
        </w:tc>
      </w:tr>
    </w:tbl>
    <w:p>
      <w:pPr>
        <w:spacing w:after="60" w:before="0"/>
      </w:pPr>
      <w:r>
        <w:t xml:space="preserve"/>
      </w:r>
    </w:p>
    <w:p>
      <w:pPr>
        <w:spacing w:after="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80"/>
              <w:left w:type="dxa" w:w="360"/>
              <w:bottom w:type="dxa" w:w="280"/>
              <w:right w:type="dxa" w:w="360"/>
            </w:tcMar>
          </w:tcPr>
          <w:p>
            <w:pPr>
              <w:spacing w:after="60" w:before="0"/>
            </w:pPr>
            <w:r>
              <w:rPr>
                <w:rFonts w:ascii="Arial" w:cs="Arial" w:eastAsia="Arial" w:hAnsi="Arial"/>
                <w:b/>
                <w:bCs/>
                <w:color w:val="B5892A"/>
                <w:sz w:val="22"/>
                <w:szCs w:val="22"/>
              </w:rPr>
              <w:t xml:space="preserve">CHAPTER 16</w:t>
            </w:r>
          </w:p>
          <w:p>
            <w:pPr>
              <w:spacing w:after="40" w:before="0"/>
            </w:pPr>
            <w:r>
              <w:rPr>
                <w:rFonts w:ascii="Arial" w:cs="Arial" w:eastAsia="Arial" w:hAnsi="Arial"/>
                <w:b/>
                <w:bCs/>
                <w:color w:val="FFFFFF"/>
                <w:sz w:val="38"/>
                <w:szCs w:val="38"/>
              </w:rPr>
              <w:t xml:space="preserve">Building a Rural Surveillance System</w:t>
            </w:r>
          </w:p>
          <w:p>
            <w:pPr>
              <w:spacing w:after="0" w:before="0"/>
            </w:pPr>
            <w:r>
              <w:rPr>
                <w:rFonts w:ascii="Arial" w:cs="Arial" w:eastAsia="Arial" w:hAnsi="Arial"/>
                <w:i/>
                <w:iCs/>
                <w:color w:val="AABFD4"/>
                <w:sz w:val="22"/>
                <w:szCs w:val="22"/>
              </w:rPr>
              <w:t xml:space="preserve">Infrastructure, Partnerships, and Practical Implementation</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16.1 The Rural Surveillance Challenge</w:t>
      </w:r>
    </w:p>
    <w:p>
      <w:pPr>
        <w:spacing w:after="120" w:before="80" w:line="320"/>
      </w:pPr>
      <w:r>
        <w:rPr>
          <w:rFonts w:ascii="Arial" w:cs="Arial" w:eastAsia="Arial" w:hAnsi="Arial"/>
          <w:color w:val="4A5568"/>
          <w:sz w:val="22"/>
          <w:szCs w:val="22"/>
        </w:rPr>
        <w:t xml:space="preserve">Rural disease surveillance faces a structural paradox: the areas with greatest need for sensitive, timely surveillance—where a single case can represent a significant community health event—are precisely the areas with the least surveillance infrastructure. This section outlines a practical framework for building and strengthening surveillance capacity in rural settings, drawing on the resources available to Critical Access Hospitals and rural public health departments.</w:t>
      </w:r>
    </w:p>
    <w:p>
      <w:pPr>
        <w:pStyle w:val="Heading2"/>
        <w:spacing w:after="120" w:before="280"/>
      </w:pPr>
      <w:r>
        <w:rPr>
          <w:rFonts w:ascii="Arial" w:cs="Arial" w:eastAsia="Arial" w:hAnsi="Arial"/>
          <w:b/>
          <w:bCs/>
          <w:color w:val="2E7D6B"/>
          <w:sz w:val="28"/>
          <w:szCs w:val="28"/>
        </w:rPr>
        <w:t xml:space="preserve">16.2 Core Components of a Rural Surveillance System</w:t>
      </w:r>
    </w:p>
    <w:p>
      <w:pPr>
        <w:pStyle w:val="Heading3"/>
        <w:spacing w:after="80" w:before="200"/>
      </w:pPr>
      <w:r>
        <w:rPr>
          <w:rFonts w:ascii="Arial" w:cs="Arial" w:eastAsia="Arial" w:hAnsi="Arial"/>
          <w:b/>
          <w:bCs/>
          <w:color w:val="1B3A5C"/>
          <w:sz w:val="24"/>
          <w:szCs w:val="24"/>
        </w:rPr>
        <w:t xml:space="preserve">16.2.1 Case Detection</w:t>
      </w:r>
    </w:p>
    <w:p>
      <w:pPr>
        <w:pStyle w:val="ListParagraph"/>
        <w:numPr>
          <w:ilvl w:val="0"/>
          <w:numId w:val="2"/>
        </w:numPr>
        <w:spacing w:after="40" w:before="40" w:line="300"/>
      </w:pPr>
      <w:r>
        <w:rPr>
          <w:rFonts w:ascii="Arial" w:cs="Arial" w:eastAsia="Arial" w:hAnsi="Arial"/>
          <w:b/>
          <w:bCs/>
          <w:color w:val="1B3A5C"/>
          <w:sz w:val="22"/>
          <w:szCs w:val="22"/>
        </w:rPr>
        <w:t xml:space="preserve">Emergency Department syndromic surveillance: </w:t>
      </w:r>
      <w:r>
        <w:rPr>
          <w:rFonts w:ascii="Arial" w:cs="Arial" w:eastAsia="Arial" w:hAnsi="Arial"/>
          <w:color w:val="4A5568"/>
          <w:sz w:val="22"/>
          <w:szCs w:val="22"/>
        </w:rPr>
        <w:t xml:space="preserve">ED chief complaints coded to PHSF categories (respiratory illness, gastrointestinal illness, neurological syndrome) and electronically transmitted to state health departments provide automated, near-real-time outbreak detection capacity. NSSP (National Syndromic Surveillance Program) provides the national platform.</w:t>
      </w:r>
    </w:p>
    <w:p>
      <w:pPr>
        <w:pStyle w:val="ListParagraph"/>
        <w:numPr>
          <w:ilvl w:val="0"/>
          <w:numId w:val="2"/>
        </w:numPr>
        <w:spacing w:after="40" w:before="40" w:line="300"/>
      </w:pPr>
      <w:r>
        <w:rPr>
          <w:rFonts w:ascii="Arial" w:cs="Arial" w:eastAsia="Arial" w:hAnsi="Arial"/>
          <w:b/>
          <w:bCs/>
          <w:color w:val="1B3A5C"/>
          <w:sz w:val="22"/>
          <w:szCs w:val="22"/>
        </w:rPr>
        <w:t xml:space="preserve">Laboratory-based surveillance: </w:t>
      </w:r>
      <w:r>
        <w:rPr>
          <w:rFonts w:ascii="Arial" w:cs="Arial" w:eastAsia="Arial" w:hAnsi="Arial"/>
          <w:color w:val="4A5568"/>
          <w:sz w:val="22"/>
          <w:szCs w:val="22"/>
        </w:rPr>
        <w:t xml:space="preserve">Mandated laboratory reporting of specific test results (positive cultures, positive rapid tests for influenza/COVID/Strep) provides pathogen-specific surveillance without requiring clinical diagnosis.</w:t>
      </w:r>
    </w:p>
    <w:p>
      <w:pPr>
        <w:pStyle w:val="ListParagraph"/>
        <w:numPr>
          <w:ilvl w:val="0"/>
          <w:numId w:val="2"/>
        </w:numPr>
        <w:spacing w:after="40" w:before="40" w:line="300"/>
      </w:pPr>
      <w:r>
        <w:rPr>
          <w:rFonts w:ascii="Arial" w:cs="Arial" w:eastAsia="Arial" w:hAnsi="Arial"/>
          <w:b/>
          <w:bCs/>
          <w:color w:val="1B3A5C"/>
          <w:sz w:val="22"/>
          <w:szCs w:val="22"/>
        </w:rPr>
        <w:t xml:space="preserve">Death certificate surveillance: </w:t>
      </w:r>
      <w:r>
        <w:rPr>
          <w:rFonts w:ascii="Arial" w:cs="Arial" w:eastAsia="Arial" w:hAnsi="Arial"/>
          <w:color w:val="4A5568"/>
          <w:sz w:val="22"/>
          <w:szCs w:val="22"/>
        </w:rPr>
        <w:t xml:space="preserve">Vital records data—with appropriate lag—provide complete-ascertainment surveillance for fatal outcomes including overdose, suicide, and injury.</w:t>
      </w:r>
    </w:p>
    <w:p>
      <w:pPr>
        <w:pStyle w:val="ListParagraph"/>
        <w:numPr>
          <w:ilvl w:val="0"/>
          <w:numId w:val="2"/>
        </w:numPr>
        <w:spacing w:after="40" w:before="40" w:line="300"/>
      </w:pPr>
      <w:r>
        <w:rPr>
          <w:rFonts w:ascii="Arial" w:cs="Arial" w:eastAsia="Arial" w:hAnsi="Arial"/>
          <w:b/>
          <w:bCs/>
          <w:color w:val="1B3A5C"/>
          <w:sz w:val="22"/>
          <w:szCs w:val="22"/>
        </w:rPr>
        <w:t xml:space="preserve">Electronic case reporting (eCR): </w:t>
      </w:r>
      <w:r>
        <w:rPr>
          <w:rFonts w:ascii="Arial" w:cs="Arial" w:eastAsia="Arial" w:hAnsi="Arial"/>
          <w:color w:val="4A5568"/>
          <w:sz w:val="22"/>
          <w:szCs w:val="22"/>
        </w:rPr>
        <w:t xml:space="preserve">Integration of EHR systems with reportable disease registries via eCR HL7 FHIR workflows is the future of notifiable disease surveillance and gradually reduces the physician-burden of manual reporting.</w:t>
      </w:r>
    </w:p>
    <w:p>
      <w:pPr>
        <w:pStyle w:val="Heading3"/>
        <w:spacing w:after="80" w:before="200"/>
      </w:pPr>
      <w:r>
        <w:rPr>
          <w:rFonts w:ascii="Arial" w:cs="Arial" w:eastAsia="Arial" w:hAnsi="Arial"/>
          <w:b/>
          <w:bCs/>
          <w:color w:val="1B3A5C"/>
          <w:sz w:val="24"/>
          <w:szCs w:val="24"/>
        </w:rPr>
        <w:t xml:space="preserve">16.2.2 Data Analysis and Signal Detection</w:t>
      </w:r>
    </w:p>
    <w:p>
      <w:pPr>
        <w:spacing w:after="120" w:before="80" w:line="320"/>
      </w:pPr>
      <w:r>
        <w:rPr>
          <w:rFonts w:ascii="Arial" w:cs="Arial" w:eastAsia="Arial" w:hAnsi="Arial"/>
          <w:color w:val="4A5568"/>
          <w:sz w:val="22"/>
          <w:szCs w:val="22"/>
        </w:rPr>
        <w:t xml:space="preserve">Statistical algorithms for outbreak detection monitor surveillance streams for anomalies—counts exceeding threshold values defined by historical baseline distributions. The most widely used algorithms are:</w:t>
      </w:r>
    </w:p>
    <w:p>
      <w:pPr>
        <w:pStyle w:val="ListParagraph"/>
        <w:numPr>
          <w:ilvl w:val="0"/>
          <w:numId w:val="2"/>
        </w:numPr>
        <w:spacing w:after="40" w:before="40" w:line="300"/>
      </w:pPr>
      <w:r>
        <w:rPr>
          <w:rFonts w:ascii="Arial" w:cs="Arial" w:eastAsia="Arial" w:hAnsi="Arial"/>
          <w:b/>
          <w:bCs/>
          <w:color w:val="1B3A5C"/>
          <w:sz w:val="22"/>
          <w:szCs w:val="22"/>
        </w:rPr>
        <w:t xml:space="preserve">CUSUM (Cumulative Sum): </w:t>
      </w:r>
      <w:r>
        <w:rPr>
          <w:rFonts w:ascii="Arial" w:cs="Arial" w:eastAsia="Arial" w:hAnsi="Arial"/>
          <w:color w:val="4A5568"/>
          <w:sz w:val="22"/>
          <w:szCs w:val="22"/>
        </w:rPr>
        <w:t xml:space="preserve">Accumulates deviations from baseline; sensitive to sustained small shifts. Used in hospital infection control for HAI monitoring.</w:t>
      </w:r>
    </w:p>
    <w:p>
      <w:pPr>
        <w:pStyle w:val="ListParagraph"/>
        <w:numPr>
          <w:ilvl w:val="0"/>
          <w:numId w:val="2"/>
        </w:numPr>
        <w:spacing w:after="40" w:before="40" w:line="300"/>
      </w:pPr>
      <w:r>
        <w:rPr>
          <w:rFonts w:ascii="Arial" w:cs="Arial" w:eastAsia="Arial" w:hAnsi="Arial"/>
          <w:b/>
          <w:bCs/>
          <w:color w:val="1B3A5C"/>
          <w:sz w:val="22"/>
          <w:szCs w:val="22"/>
        </w:rPr>
        <w:t xml:space="preserve">EWMA (Exponentially Weighted Moving Average): </w:t>
      </w:r>
      <w:r>
        <w:rPr>
          <w:rFonts w:ascii="Arial" w:cs="Arial" w:eastAsia="Arial" w:hAnsi="Arial"/>
          <w:color w:val="4A5568"/>
          <w:sz w:val="22"/>
          <w:szCs w:val="22"/>
        </w:rPr>
        <w:t xml:space="preserve">Weights recent observations more heavily; adapts to secular trends. Reduces false alarms from seasonal variation.</w:t>
      </w:r>
    </w:p>
    <w:p>
      <w:pPr>
        <w:pStyle w:val="ListParagraph"/>
        <w:numPr>
          <w:ilvl w:val="0"/>
          <w:numId w:val="2"/>
        </w:numPr>
        <w:spacing w:after="40" w:before="40" w:line="300"/>
      </w:pPr>
      <w:r>
        <w:rPr>
          <w:rFonts w:ascii="Arial" w:cs="Arial" w:eastAsia="Arial" w:hAnsi="Arial"/>
          <w:b/>
          <w:bCs/>
          <w:color w:val="1B3A5C"/>
          <w:sz w:val="22"/>
          <w:szCs w:val="22"/>
        </w:rPr>
        <w:t xml:space="preserve">CDC Early Aberration Reporting System (EARS) C1-C3: </w:t>
      </w:r>
      <w:r>
        <w:rPr>
          <w:rFonts w:ascii="Arial" w:cs="Arial" w:eastAsia="Arial" w:hAnsi="Arial"/>
          <w:color w:val="4A5568"/>
          <w:sz w:val="22"/>
          <w:szCs w:val="22"/>
        </w:rPr>
        <w:t xml:space="preserve">Temporal algorithms using 7-day baseline windows with Poisson statistics; designed for the small-number settings common in rural surveillance.</w:t>
      </w:r>
    </w:p>
    <w:p>
      <w:pPr>
        <w:pStyle w:val="Heading2"/>
        <w:spacing w:after="120" w:before="280"/>
      </w:pPr>
      <w:r>
        <w:rPr>
          <w:rFonts w:ascii="Arial" w:cs="Arial" w:eastAsia="Arial" w:hAnsi="Arial"/>
          <w:b/>
          <w:bCs/>
          <w:color w:val="2E7D6B"/>
          <w:sz w:val="28"/>
          <w:szCs w:val="28"/>
        </w:rPr>
        <w:t xml:space="preserve">16.3 One Health Framework for Rural Surveillance</w:t>
      </w:r>
    </w:p>
    <w:p>
      <w:pPr>
        <w:spacing w:after="120" w:before="80" w:line="320"/>
      </w:pPr>
      <w:r>
        <w:rPr>
          <w:rFonts w:ascii="Arial" w:cs="Arial" w:eastAsia="Arial" w:hAnsi="Arial"/>
          <w:color w:val="4A5568"/>
          <w:sz w:val="22"/>
          <w:szCs w:val="22"/>
        </w:rPr>
        <w:t xml:space="preserve">Many emerging infectious diseases of rural relevance are zoonoses—diseases transmissible between animals and humans. Rabies, brucellosis, leptospirosis, anthrax, West Nile encephalitis, and Q fever all circulate in animal reservoirs that rural residents and agricultural workers encounter regularly. Effective rural surveillance integrates animal, human, and environmental health data streams—the One Health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63D2F" w:sz="6"/>
              <w:bottom w:val="none"/>
              <w:right w:val="none"/>
            </w:tcBorders>
            <w:shd w:fill="FDF0EE" w:val="clear"/>
            <w:tcMar>
              <w:top w:type="dxa" w:w="120"/>
              <w:left w:type="dxa" w:w="280"/>
              <w:bottom w:type="dxa" w:w="40"/>
              <w:right w:type="dxa" w:w="200"/>
            </w:tcMar>
          </w:tcPr>
          <w:p>
            <w:r>
              <w:rPr>
                <w:rFonts w:ascii="Arial" w:cs="Arial" w:eastAsia="Arial" w:hAnsi="Arial"/>
                <w:b/>
                <w:bCs/>
                <w:color w:val="A63D2F"/>
                <w:sz w:val="18"/>
                <w:szCs w:val="18"/>
              </w:rPr>
              <w:t xml:space="preserve">⬛ RURAL CONTEXT</w:t>
            </w:r>
          </w:p>
        </w:tc>
      </w:tr>
      <w:tr>
        <w:tc>
          <w:tcPr>
            <w:tcW w:type="dxa" w:w="9360"/>
            <w:tcBorders>
              <w:top w:val="none"/>
              <w:left w:val="single" w:color="A63D2F" w:sz="6"/>
              <w:bottom w:val="none"/>
              <w:right w:val="none"/>
            </w:tcBorders>
            <w:shd w:fill="FDF0EE" w:val="clear"/>
            <w:tcMar>
              <w:top w:type="dxa" w:w="40"/>
              <w:left w:type="dxa" w:w="280"/>
              <w:bottom w:type="dxa" w:w="140"/>
              <w:right w:type="dxa" w:w="200"/>
            </w:tcMar>
          </w:tcPr>
          <w:p>
            <w:pPr>
              <w:spacing w:after="0" w:before="0" w:line="300"/>
            </w:pPr>
            <w:r>
              <w:rPr>
                <w:rFonts w:ascii="Arial" w:cs="Arial" w:eastAsia="Arial" w:hAnsi="Arial"/>
                <w:color w:val="4A5568"/>
                <w:sz w:val="20"/>
                <w:szCs w:val="20"/>
              </w:rPr>
              <w:t xml:space="preserve">A rural outbreak of brucellosis in farm workers will first appear in state veterinary records as Brucella abortus infection in cattle herds. Human cases may lag veterinary detection by weeks or months. A rural CAH with relationships with county extension agents, state veterinary laboratories, and the state epidemiologist creates the cross-sector communication infrastructure for early human case identification.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80"/>
              <w:left w:type="dxa" w:w="360"/>
              <w:bottom w:type="dxa" w:w="280"/>
              <w:right w:type="dxa" w:w="360"/>
            </w:tcMar>
          </w:tcPr>
          <w:p>
            <w:pPr>
              <w:spacing w:after="60" w:before="0"/>
            </w:pPr>
            <w:r>
              <w:rPr>
                <w:rFonts w:ascii="Arial" w:cs="Arial" w:eastAsia="Arial" w:hAnsi="Arial"/>
                <w:b/>
                <w:bCs/>
                <w:color w:val="B5892A"/>
                <w:sz w:val="22"/>
                <w:szCs w:val="22"/>
              </w:rPr>
              <w:t xml:space="preserve">CHAPTER 19</w:t>
            </w:r>
          </w:p>
          <w:p>
            <w:pPr>
              <w:spacing w:after="40" w:before="0"/>
            </w:pPr>
            <w:r>
              <w:rPr>
                <w:rFonts w:ascii="Arial" w:cs="Arial" w:eastAsia="Arial" w:hAnsi="Arial"/>
                <w:b/>
                <w:bCs/>
                <w:color w:val="FFFFFF"/>
                <w:sz w:val="38"/>
                <w:szCs w:val="38"/>
              </w:rPr>
              <w:t xml:space="preserve">Case Studies in Rural Epidemiology</w:t>
            </w:r>
          </w:p>
          <w:p>
            <w:pPr>
              <w:spacing w:after="0" w:before="0"/>
            </w:pPr>
            <w:r>
              <w:rPr>
                <w:rFonts w:ascii="Arial" w:cs="Arial" w:eastAsia="Arial" w:hAnsi="Arial"/>
                <w:i/>
                <w:iCs/>
                <w:color w:val="AABFD4"/>
                <w:sz w:val="22"/>
                <w:szCs w:val="22"/>
              </w:rPr>
              <w:t xml:space="preserve">Learning from the Field</w:t>
            </w:r>
          </w:p>
        </w:tc>
      </w:tr>
    </w:tbl>
    <w:p>
      <w:pPr>
        <w:spacing w:after="60" w:before="0"/>
      </w:pPr>
      <w:r>
        <w:t xml:space="preserve"/>
      </w:r>
    </w:p>
    <w:p>
      <w:pPr>
        <w:pStyle w:val="Heading2"/>
        <w:spacing w:after="120" w:before="280"/>
      </w:pPr>
      <w:r>
        <w:rPr>
          <w:rFonts w:ascii="Arial" w:cs="Arial" w:eastAsia="Arial" w:hAnsi="Arial"/>
          <w:b/>
          <w:bCs/>
          <w:color w:val="2E7D6B"/>
          <w:sz w:val="28"/>
          <w:szCs w:val="28"/>
        </w:rPr>
        <w:t xml:space="preserve">Case Study 1: Foodborne Outbreak at a Rural Church Potluck</w:t>
      </w:r>
    </w:p>
    <w:p>
      <w:pPr>
        <w:pStyle w:val="Heading3"/>
        <w:spacing w:after="80" w:before="200"/>
      </w:pPr>
      <w:r>
        <w:rPr>
          <w:rFonts w:ascii="Arial" w:cs="Arial" w:eastAsia="Arial" w:hAnsi="Arial"/>
          <w:b/>
          <w:bCs/>
          <w:color w:val="1B3A5C"/>
          <w:sz w:val="24"/>
          <w:szCs w:val="24"/>
        </w:rPr>
        <w:t xml:space="preserve">Background</w:t>
      </w:r>
    </w:p>
    <w:p>
      <w:pPr>
        <w:spacing w:after="120" w:before="80" w:line="320"/>
      </w:pPr>
      <w:r>
        <w:rPr>
          <w:rFonts w:ascii="Arial" w:cs="Arial" w:eastAsia="Arial" w:hAnsi="Arial"/>
          <w:color w:val="4A5568"/>
          <w:sz w:val="22"/>
          <w:szCs w:val="22"/>
        </w:rPr>
        <w:t xml:space="preserve">On a Sunday evening in August, the emergency department of a 15-bed Critical Access Hospital received 11 patients over 4 hours with acute onset nausea, vomiting, diarrhea, and abdominal cramps. All 11 had attended a church potluck held that afternoon. The ED physician recognized a cluster and called the county health officer.</w:t>
      </w:r>
    </w:p>
    <w:p>
      <w:pPr>
        <w:pStyle w:val="Heading3"/>
        <w:spacing w:after="80" w:before="200"/>
      </w:pPr>
      <w:r>
        <w:rPr>
          <w:rFonts w:ascii="Arial" w:cs="Arial" w:eastAsia="Arial" w:hAnsi="Arial"/>
          <w:b/>
          <w:bCs/>
          <w:color w:val="1B3A5C"/>
          <w:sz w:val="24"/>
          <w:szCs w:val="24"/>
        </w:rPr>
        <w:t xml:space="preserve">Investigation</w:t>
      </w:r>
    </w:p>
    <w:p>
      <w:pPr>
        <w:spacing w:after="120" w:before="80" w:line="320"/>
      </w:pPr>
      <w:r>
        <w:rPr>
          <w:rFonts w:ascii="Arial" w:cs="Arial" w:eastAsia="Arial" w:hAnsi="Arial"/>
          <w:color w:val="4A5568"/>
          <w:sz w:val="22"/>
          <w:szCs w:val="22"/>
        </w:rPr>
        <w:t xml:space="preserve">Using a standardized questionnaire adapted from CDC's foodborne investigation templates, the health department interviewed all 143 potluck attendees by phone within 24 hours. A line list was constructed with symptom onset time, duration, severity, and foods consumed. The epidemic curve showed a sharp single peak with cases onset 1–8 hours after the potluck, consistent with a short-incubation toxin-mediated illness (Staphylococcus aureus toxin or Bacillus cereus emetic toxin).</w:t>
      </w:r>
    </w:p>
    <w:p>
      <w:pPr>
        <w:pStyle w:val="Heading3"/>
        <w:spacing w:after="80" w:before="200"/>
      </w:pPr>
      <w:r>
        <w:rPr>
          <w:rFonts w:ascii="Arial" w:cs="Arial" w:eastAsia="Arial" w:hAnsi="Arial"/>
          <w:b/>
          <w:bCs/>
          <w:color w:val="1B3A5C"/>
          <w:sz w:val="24"/>
          <w:szCs w:val="24"/>
        </w:rPr>
        <w:t xml:space="preserve">Attack Rate Analysis</w:t>
      </w:r>
    </w:p>
    <w:p>
      <w:pPr>
        <w:spacing w:after="120" w:before="80" w:line="320"/>
      </w:pPr>
      <w:r>
        <w:rPr>
          <w:rFonts w:ascii="Arial" w:cs="Arial" w:eastAsia="Arial" w:hAnsi="Arial"/>
          <w:color w:val="4A5568"/>
          <w:sz w:val="22"/>
          <w:szCs w:val="22"/>
        </w:rPr>
        <w:t xml:space="preserve">Attack rate analysis identified creamed corn casserole (AR = 71% among eaters vs. 8% among non-eaters; RR = 8.9) and homemade potato salad (AR = 62% vs. 11%; RR = 5.6) as the two most likely vehicles. The dish preparer for the creamed corn was interviewed; she reported mild hand lesions consistent with staphylococcal skin infection and had been cutting vegetables for the casserole without gloves.</w:t>
      </w:r>
    </w:p>
    <w:p>
      <w:pPr>
        <w:pStyle w:val="Heading3"/>
        <w:spacing w:after="80" w:before="200"/>
      </w:pPr>
      <w:r>
        <w:rPr>
          <w:rFonts w:ascii="Arial" w:cs="Arial" w:eastAsia="Arial" w:hAnsi="Arial"/>
          <w:b/>
          <w:bCs/>
          <w:color w:val="1B3A5C"/>
          <w:sz w:val="24"/>
          <w:szCs w:val="24"/>
        </w:rPr>
        <w:t xml:space="preserve">Outcome and Lessons</w:t>
      </w:r>
    </w:p>
    <w:p>
      <w:pPr>
        <w:spacing w:after="120" w:before="80" w:line="320"/>
      </w:pPr>
      <w:r>
        <w:rPr>
          <w:rFonts w:ascii="Arial" w:cs="Arial" w:eastAsia="Arial" w:hAnsi="Arial"/>
          <w:color w:val="4A5568"/>
          <w:sz w:val="22"/>
          <w:szCs w:val="22"/>
        </w:rPr>
        <w:t xml:space="preserve">Culture of remaining casserole (retrieved from a attendee's refrigerator) grew S. aureus. All 11 ED patients recovered within 24 hours without complication. The investigation was completed within 48 hours by a 2-person team (county health officer + nurse). Key lessons: (1) Rapid line listing is feasible in small outbreaks; (2) Short-incubation curves point immediately to toxin-mediated illness; (3) Food handler health screening is the primary prevention intervention.</w:t>
      </w:r>
    </w:p>
    <w:p>
      <w:pPr>
        <w:pStyle w:val="Heading2"/>
        <w:spacing w:after="120" w:before="280"/>
      </w:pPr>
      <w:r>
        <w:rPr>
          <w:rFonts w:ascii="Arial" w:cs="Arial" w:eastAsia="Arial" w:hAnsi="Arial"/>
          <w:b/>
          <w:bCs/>
          <w:color w:val="2E7D6B"/>
          <w:sz w:val="28"/>
          <w:szCs w:val="28"/>
        </w:rPr>
        <w:t xml:space="preserve">Case Study 2: SEIR Modeling for Rural Influenza Surge Planning</w:t>
      </w:r>
    </w:p>
    <w:p>
      <w:pPr>
        <w:pStyle w:val="Heading3"/>
        <w:spacing w:after="80" w:before="200"/>
      </w:pPr>
      <w:r>
        <w:rPr>
          <w:rFonts w:ascii="Arial" w:cs="Arial" w:eastAsia="Arial" w:hAnsi="Arial"/>
          <w:b/>
          <w:bCs/>
          <w:color w:val="1B3A5C"/>
          <w:sz w:val="24"/>
          <w:szCs w:val="24"/>
        </w:rPr>
        <w:t xml:space="preserve">Background</w:t>
      </w:r>
    </w:p>
    <w:p>
      <w:pPr>
        <w:spacing w:after="120" w:before="80" w:line="320"/>
      </w:pPr>
      <w:r>
        <w:rPr>
          <w:rFonts w:ascii="Arial" w:cs="Arial" w:eastAsia="Arial" w:hAnsi="Arial"/>
          <w:color w:val="4A5568"/>
          <w:sz w:val="22"/>
          <w:szCs w:val="22"/>
        </w:rPr>
        <w:t xml:space="preserve">A rural hospital administrator at a 25-bed Critical Access Hospital asked: 'If a severe influenza season (H3N2 dominant, like 2017–18) hits our county of 12,000 residents, how many hospitalizations should we plan for, and when will the peak occur?'</w:t>
      </w:r>
    </w:p>
    <w:p>
      <w:pPr>
        <w:pStyle w:val="Heading3"/>
        <w:spacing w:after="80" w:before="200"/>
      </w:pPr>
      <w:r>
        <w:rPr>
          <w:rFonts w:ascii="Arial" w:cs="Arial" w:eastAsia="Arial" w:hAnsi="Arial"/>
          <w:b/>
          <w:bCs/>
          <w:color w:val="1B3A5C"/>
          <w:sz w:val="24"/>
          <w:szCs w:val="24"/>
        </w:rPr>
        <w:t xml:space="preserve">Model Parameterization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Parameter</w:t>
            </w:r>
          </w:p>
        </w:tc>
        <w:tc>
          <w:tcPr>
            <w:tcW w:type="dxa" w:w="312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c>
          <w:tcPr>
            <w:tcW w:type="dxa" w:w="312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Population (N)</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12,000</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Census estimate</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R₀ (H3N2 severe season)</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1.35</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CDC FluView historical</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Transmission rate (β)</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0.27/day</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R₀ × γ</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Recovery rate (γ)</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1/5 = 0.20/day</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~5-day infectious period</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Latent period (1/σ)</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2 days</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H3N2 incubation data</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Hospitalization rate</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1.8% of cases</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CDC estimate, age-adjusted</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Vaccination coverage</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43%</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NC immunization registry</w:t>
            </w:r>
          </w:p>
        </w:tc>
      </w:tr>
      <w:tr>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Vaccine effectiveness</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27%</w:t>
            </w:r>
          </w:p>
        </w:tc>
        <w:tc>
          <w:tcPr>
            <w:tcW w:type="dxa" w:w="312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CDC MMWR 2017-18</w:t>
            </w:r>
          </w:p>
        </w:tc>
      </w:tr>
    </w:tbl>
    <w:p>
      <w:pPr>
        <w:spacing w:after="60" w:before="0"/>
      </w:pPr>
      <w:r>
        <w:t xml:space="preserve"/>
      </w:r>
    </w:p>
    <w:p>
      <w:pPr>
        <w:pStyle w:val="Heading3"/>
        <w:spacing w:after="80" w:before="200"/>
      </w:pPr>
      <w:r>
        <w:rPr>
          <w:rFonts w:ascii="Arial" w:cs="Arial" w:eastAsia="Arial" w:hAnsi="Arial"/>
          <w:b/>
          <w:bCs/>
          <w:color w:val="1B3A5C"/>
          <w:sz w:val="24"/>
          <w:szCs w:val="24"/>
        </w:rPr>
        <w:t xml:space="preserve">Model Results (SEIRD, 365-day horizon)</w:t>
      </w:r>
    </w:p>
    <w:p>
      <w:pPr>
        <w:spacing w:after="120" w:before="80" w:line="320"/>
      </w:pPr>
      <w:r>
        <w:rPr>
          <w:rFonts w:ascii="Arial" w:cs="Arial" w:eastAsia="Arial" w:hAnsi="Arial"/>
          <w:color w:val="4A5568"/>
          <w:sz w:val="22"/>
          <w:szCs w:val="22"/>
        </w:rPr>
        <w:t xml:space="preserve">After adjusting for pre-existing immunity (estimated at 45% from prior seasons) and vaccination, the effective R₀ was approximately 1.12, generating a peak infection incidence around day 67 post-season-onset. Total expected hospitalizations: 81 (95% CI: 54–118). Peak weekly hospital admissions: approximately 12–15 over a 2-week period.</w:t>
      </w:r>
    </w:p>
    <w:p>
      <w:pPr>
        <w:spacing w:after="120" w:before="80" w:line="320"/>
      </w:pPr>
      <w:r>
        <w:rPr>
          <w:rFonts w:ascii="Arial" w:cs="Arial" w:eastAsia="Arial" w:hAnsi="Arial"/>
          <w:color w:val="4A5568"/>
          <w:sz w:val="22"/>
          <w:szCs w:val="22"/>
        </w:rPr>
        <w:t xml:space="preserve">This meant the 25-bed CAH should anticipate needing surge capacity of approximately 5–7 additional beds for 2 weeks, and should pre-position ventilator and IV medication supplies accordingly. The model also demonstrated that raising vaccination coverage to 70% would reduce expected hospitalizations by approximately 35%.</w:t>
      </w:r>
    </w:p>
    <w:p>
      <w:pPr>
        <w:pStyle w:val="Heading2"/>
        <w:spacing w:after="120" w:before="280"/>
      </w:pPr>
      <w:r>
        <w:rPr>
          <w:rFonts w:ascii="Arial" w:cs="Arial" w:eastAsia="Arial" w:hAnsi="Arial"/>
          <w:b/>
          <w:bCs/>
          <w:color w:val="2E7D6B"/>
          <w:sz w:val="28"/>
          <w:szCs w:val="28"/>
        </w:rPr>
        <w:t xml:space="preserve">Case Study 3: Opioid Overdose Spatial Analysis in a Rural County</w:t>
      </w:r>
    </w:p>
    <w:p>
      <w:pPr>
        <w:pStyle w:val="Heading3"/>
        <w:spacing w:after="80" w:before="200"/>
      </w:pPr>
      <w:r>
        <w:rPr>
          <w:rFonts w:ascii="Arial" w:cs="Arial" w:eastAsia="Arial" w:hAnsi="Arial"/>
          <w:b/>
          <w:bCs/>
          <w:color w:val="1B3A5C"/>
          <w:sz w:val="24"/>
          <w:szCs w:val="24"/>
        </w:rPr>
        <w:t xml:space="preserve">Background</w:t>
      </w:r>
    </w:p>
    <w:p>
      <w:pPr>
        <w:spacing w:after="120" w:before="80" w:line="320"/>
      </w:pPr>
      <w:r>
        <w:rPr>
          <w:rFonts w:ascii="Arial" w:cs="Arial" w:eastAsia="Arial" w:hAnsi="Arial"/>
          <w:color w:val="4A5568"/>
          <w:sz w:val="22"/>
          <w:szCs w:val="22"/>
        </w:rPr>
        <w:t xml:space="preserve">A county health department in a predominantly rural Appalachian county identified a 340% increase in opioid overdose EMS calls over a 36-month period. The health officer requested spatial analysis to identify whether overdose events clustered in specific geographic areas to guide harm reduction resource deployment.</w:t>
      </w:r>
    </w:p>
    <w:p>
      <w:pPr>
        <w:pStyle w:val="Heading3"/>
        <w:spacing w:after="80" w:before="200"/>
      </w:pPr>
      <w:r>
        <w:rPr>
          <w:rFonts w:ascii="Arial" w:cs="Arial" w:eastAsia="Arial" w:hAnsi="Arial"/>
          <w:b/>
          <w:bCs/>
          <w:color w:val="1B3A5C"/>
          <w:sz w:val="24"/>
          <w:szCs w:val="24"/>
        </w:rPr>
        <w:t xml:space="preserve">Spatial Analysis</w:t>
      </w:r>
    </w:p>
    <w:p>
      <w:pPr>
        <w:spacing w:after="120" w:before="80" w:line="320"/>
      </w:pPr>
      <w:r>
        <w:rPr>
          <w:rFonts w:ascii="Arial" w:cs="Arial" w:eastAsia="Arial" w:hAnsi="Arial"/>
          <w:color w:val="4A5568"/>
          <w:sz w:val="22"/>
          <w:szCs w:val="22"/>
        </w:rPr>
        <w:t xml:space="preserve">Geocoded EMS call data were analyzed using kernel density estimation and Kulldorff's spatial scan statistic. The analysis identified two significant spatial clusters: one centered on a mobile home park in the county's only incorporated town (RR = 4.2 vs. county background), and a second cluster along a rural highway corridor associated with a known fentanyl distribution network.</w:t>
      </w:r>
    </w:p>
    <w:p>
      <w:pPr>
        <w:pStyle w:val="Heading3"/>
        <w:spacing w:after="80" w:before="200"/>
      </w:pPr>
      <w:r>
        <w:rPr>
          <w:rFonts w:ascii="Arial" w:cs="Arial" w:eastAsia="Arial" w:hAnsi="Arial"/>
          <w:b/>
          <w:bCs/>
          <w:color w:val="1B3A5C"/>
          <w:sz w:val="24"/>
          <w:szCs w:val="24"/>
        </w:rPr>
        <w:t xml:space="preserve">Intervention</w:t>
      </w:r>
    </w:p>
    <w:p>
      <w:pPr>
        <w:spacing w:after="120" w:before="80" w:line="320"/>
      </w:pPr>
      <w:r>
        <w:rPr>
          <w:rFonts w:ascii="Arial" w:cs="Arial" w:eastAsia="Arial" w:hAnsi="Arial"/>
          <w:color w:val="4A5568"/>
          <w:sz w:val="22"/>
          <w:szCs w:val="22"/>
        </w:rPr>
        <w:t xml:space="preserve">Naloxone distribution kits were targeted to the two identified clusters—placed in convenience stores, laundromats, and with local churches serving the affected populations. A mobile treatment outreach unit was deployed to the rural highway corridor on a weekly schedule. At 12-month follow-up, overdose mortality in the two cluster areas had declined by 28% compared to the non-cluster county baseline, while non-cluster rates continued to rise.</w:t>
      </w:r>
    </w:p>
    <w:p>
      <w:r>
        <w:br w:type="page"/>
      </w:r>
    </w:p>
    <w:p>
      <w:pPr>
        <w:pStyle w:val="Heading1"/>
        <w:spacing w:after="160" w:before="360"/>
      </w:pPr>
      <w:r>
        <w:rPr>
          <w:rFonts w:ascii="Arial" w:cs="Arial" w:eastAsia="Arial" w:hAnsi="Arial"/>
          <w:b/>
          <w:bCs/>
          <w:color w:val="1B3A5C"/>
          <w:sz w:val="36"/>
          <w:szCs w:val="36"/>
        </w:rPr>
        <w:t xml:space="preserve">Glossary of Key Epidemiological Terms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w:t>
            </w:r>
          </w:p>
        </w:tc>
        <w:tc>
          <w:tcPr>
            <w:tcW w:type="dxa" w:w="5760"/>
            <w:tcBorders>
              <w:top w:val="single" w:color="D0D5DE" w:sz="6"/>
              <w:left w:val="single" w:color="D0D5DE" w:sz="6"/>
              <w:bottom w:val="single" w:color="D0D5DE" w:sz="6"/>
              <w:right w:val="single" w:color="D0D5DE"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Attack Rate</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Cumulative incidence in a defined population during an outbreak or epidemic period; expressed as a percentage.</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Attributable Risk</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The absolute difference in risk between exposed and unexposed groups; also called risk difference.</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Basic Reproduction Number (R₀)</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Average number of secondary cases from one case in a fully susceptible population.</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Case Fatality Rate (CFR)</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Proportion of diagnosed cases that result in death during a defined period.</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Cohort</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 group of persons sharing a common characteristic followed over time.</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Confounding</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Distortion of an exposure-outcome association by a third variable associated with both.</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Cumulative Incidence</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Proportion of a disease-free population developing disease during a defined period.</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Ecological Study</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Study where the unit of analysis is a group or population, not an individual.</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Effective Reproduction Number (Rₑ)</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R₀ adjusted for current population immunity; Rₑ = R₀ × S/N.</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Herd Immunity Threshold</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Proportion of population that must be immune to prevent sustained epidemic spread; 1 − 1/R₀.</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Incidence Rate</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Number of new events per unit of person-time at risk.</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Incubation Period</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Time from exposure to symptom onset.</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Latent Period</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Time from infection to becoming infectious (may differ from incubation period).</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Negative Predictive Value</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Probability that a test-negative person truly does not have the disease.</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Odds Ratio</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Ratio of odds of exposure in cases to odds of exposure in controls.</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Person-Time</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Sum of time individuals contribute to the at-risk period; denominator of incidence rates.</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Positive Predictive Value</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Probability that a test-positive person truly has the disease.</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Prevalence</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Proportion of a population with a condition at a specific point or period.</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Risk Ratio (Relative Risk)</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Ratio of cumulative incidence in exposed to unexposed populations.</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Sensitivity</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Proportion of truly diseased persons who test positive; TP/(TP+FN).</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Specificity</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Proportion of truly disease-free persons who test negative; TN/(TN+FP).</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Syndromic Surveillance</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Real-time tracking of symptom clusters as a proxy for disease incidence before diagnosis is confirmed.</w:t>
            </w:r>
          </w:p>
        </w:tc>
      </w:tr>
      <w:tr>
        <w:tc>
          <w:tcPr>
            <w:tcW w:type="dxa" w:w="3600"/>
            <w:tcBorders>
              <w:top w:val="single" w:color="D0D5DE" w:sz="6"/>
              <w:left w:val="single" w:color="D0D5DE" w:sz="6"/>
              <w:bottom w:val="single" w:color="D0D5DE" w:sz="6"/>
              <w:right w:val="single" w:color="D0D5DE" w:sz="6"/>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B3A5C"/>
                <w:sz w:val="20"/>
                <w:szCs w:val="20"/>
              </w:rPr>
              <w:t xml:space="preserve">Years of Potential Life Lost (YPLL)</w:t>
            </w:r>
          </w:p>
        </w:tc>
        <w:tc>
          <w:tcPr>
            <w:tcW w:type="dxa" w:w="5760"/>
            <w:tcBorders>
              <w:top w:val="single" w:color="D0D5DE" w:sz="6"/>
              <w:left w:val="single" w:color="D0D5DE" w:sz="6"/>
              <w:bottom w:val="single" w:color="D0D5DE" w:sz="6"/>
              <w:right w:val="single" w:color="D0D5DE" w:sz="6"/>
            </w:tcBorders>
            <w:shd w:fill="F2F4F7"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Measure of premature mortality weighting deaths by years lost before a reference age.</w:t>
            </w:r>
          </w:p>
        </w:tc>
      </w:tr>
    </w:tbl>
    <w:p>
      <w:pPr>
        <w:spacing w:after="60" w:before="0"/>
      </w:pPr>
      <w:r>
        <w:t xml:space="preserve"/>
      </w:r>
    </w:p>
    <w:p>
      <w:pPr>
        <w:spacing w:after="60" w:before="0"/>
      </w:pPr>
      <w:r>
        <w:t xml:space="preserve"/>
      </w:r>
    </w:p>
    <w:p>
      <w:pPr>
        <w:pStyle w:val="Heading1"/>
        <w:spacing w:after="160" w:before="360"/>
      </w:pPr>
      <w:r>
        <w:rPr>
          <w:rFonts w:ascii="Arial" w:cs="Arial" w:eastAsia="Arial" w:hAnsi="Arial"/>
          <w:b/>
          <w:bCs/>
          <w:color w:val="1B3A5C"/>
          <w:sz w:val="36"/>
          <w:szCs w:val="36"/>
        </w:rPr>
        <w:t xml:space="preserve">Selected References</w:t>
      </w:r>
    </w:p>
    <w:p>
      <w:pPr>
        <w:pStyle w:val="ListParagraph"/>
        <w:numPr>
          <w:ilvl w:val="0"/>
          <w:numId w:val="2"/>
        </w:numPr>
        <w:spacing w:after="40" w:before="40" w:line="300"/>
      </w:pPr>
      <w:r>
        <w:rPr>
          <w:rFonts w:ascii="Arial" w:cs="Arial" w:eastAsia="Arial" w:hAnsi="Arial"/>
          <w:color w:val="4A5568"/>
          <w:sz w:val="22"/>
          <w:szCs w:val="22"/>
        </w:rPr>
        <w:t xml:space="preserve">Aschengrau A, Seage GR. Essentials of Epidemiology in Public Health. 4th ed. Jones &amp; Bartlett Learning; 2020.</w:t>
      </w:r>
    </w:p>
    <w:p>
      <w:pPr>
        <w:pStyle w:val="ListParagraph"/>
        <w:numPr>
          <w:ilvl w:val="0"/>
          <w:numId w:val="2"/>
        </w:numPr>
        <w:spacing w:after="40" w:before="40" w:line="300"/>
      </w:pPr>
      <w:r>
        <w:rPr>
          <w:rFonts w:ascii="Arial" w:cs="Arial" w:eastAsia="Arial" w:hAnsi="Arial"/>
          <w:color w:val="4A5568"/>
          <w:sz w:val="22"/>
          <w:szCs w:val="22"/>
        </w:rPr>
        <w:t xml:space="preserve">Brownson RC, Baker EA, Deshpande AD, Gillespie KN. Evidence-Based Public Health. 3rd ed. Oxford University Press; 2017.</w:t>
      </w:r>
    </w:p>
    <w:p>
      <w:pPr>
        <w:pStyle w:val="ListParagraph"/>
        <w:numPr>
          <w:ilvl w:val="0"/>
          <w:numId w:val="2"/>
        </w:numPr>
        <w:spacing w:after="40" w:before="40" w:line="300"/>
      </w:pPr>
      <w:r>
        <w:rPr>
          <w:rFonts w:ascii="Arial" w:cs="Arial" w:eastAsia="Arial" w:hAnsi="Arial"/>
          <w:color w:val="4A5568"/>
          <w:sz w:val="22"/>
          <w:szCs w:val="22"/>
        </w:rPr>
        <w:t xml:space="preserve">CDC. Principles of Epidemiology in Public Health Practice, Third Edition: An Introduction to Applied Epidemiology and Biostatistics. 2012. Available at: https://www.cdc.gov/csels/dsepd/ss1978/</w:t>
      </w:r>
    </w:p>
    <w:p>
      <w:pPr>
        <w:pStyle w:val="ListParagraph"/>
        <w:numPr>
          <w:ilvl w:val="0"/>
          <w:numId w:val="2"/>
        </w:numPr>
        <w:spacing w:after="40" w:before="40" w:line="300"/>
      </w:pPr>
      <w:r>
        <w:rPr>
          <w:rFonts w:ascii="Arial" w:cs="Arial" w:eastAsia="Arial" w:hAnsi="Arial"/>
          <w:color w:val="4A5568"/>
          <w:sz w:val="22"/>
          <w:szCs w:val="22"/>
        </w:rPr>
        <w:t xml:space="preserve">Dicker RC, Coronado F, Koo D, Parrish RG. Principles of Epidemiology in Public Health Practice, 3rd Ed. CDC Office of Workforce and Career Development; 2006.</w:t>
      </w:r>
    </w:p>
    <w:p>
      <w:pPr>
        <w:pStyle w:val="ListParagraph"/>
        <w:numPr>
          <w:ilvl w:val="0"/>
          <w:numId w:val="2"/>
        </w:numPr>
        <w:spacing w:after="40" w:before="40" w:line="300"/>
      </w:pPr>
      <w:r>
        <w:rPr>
          <w:rFonts w:ascii="Arial" w:cs="Arial" w:eastAsia="Arial" w:hAnsi="Arial"/>
          <w:color w:val="4A5568"/>
          <w:sz w:val="22"/>
          <w:szCs w:val="22"/>
        </w:rPr>
        <w:t xml:space="preserve">Dunn PM, Tan L, Kim G, Zuckerman M. Epidemiology Kept Simple: An Introduction to Traditional and Modern Epidemiology. 3rd ed. Wiley-Blackwell; 2011.</w:t>
      </w:r>
    </w:p>
    <w:p>
      <w:pPr>
        <w:pStyle w:val="ListParagraph"/>
        <w:numPr>
          <w:ilvl w:val="0"/>
          <w:numId w:val="2"/>
        </w:numPr>
        <w:spacing w:after="40" w:before="40" w:line="300"/>
      </w:pPr>
      <w:r>
        <w:rPr>
          <w:rFonts w:ascii="Arial" w:cs="Arial" w:eastAsia="Arial" w:hAnsi="Arial"/>
          <w:color w:val="4A5568"/>
          <w:sz w:val="22"/>
          <w:szCs w:val="22"/>
        </w:rPr>
        <w:t xml:space="preserve">Giorgi E, Thomson MC. Advances in Spatial Epidemiology. Wiley; 2021.</w:t>
      </w:r>
    </w:p>
    <w:p>
      <w:pPr>
        <w:pStyle w:val="ListParagraph"/>
        <w:numPr>
          <w:ilvl w:val="0"/>
          <w:numId w:val="2"/>
        </w:numPr>
        <w:spacing w:after="40" w:before="40" w:line="300"/>
      </w:pPr>
      <w:r>
        <w:rPr>
          <w:rFonts w:ascii="Arial" w:cs="Arial" w:eastAsia="Arial" w:hAnsi="Arial"/>
          <w:color w:val="4A5568"/>
          <w:sz w:val="22"/>
          <w:szCs w:val="22"/>
        </w:rPr>
        <w:t xml:space="preserve">Gordis L. Epidemiology. 6th ed. Elsevier; 2018.</w:t>
      </w:r>
    </w:p>
    <w:p>
      <w:pPr>
        <w:pStyle w:val="ListParagraph"/>
        <w:numPr>
          <w:ilvl w:val="0"/>
          <w:numId w:val="2"/>
        </w:numPr>
        <w:spacing w:after="40" w:before="40" w:line="300"/>
      </w:pPr>
      <w:r>
        <w:rPr>
          <w:rFonts w:ascii="Arial" w:cs="Arial" w:eastAsia="Arial" w:hAnsi="Arial"/>
          <w:color w:val="4A5568"/>
          <w:sz w:val="22"/>
          <w:szCs w:val="22"/>
        </w:rPr>
        <w:t xml:space="preserve">Keeling MJ, Rohani P. Modeling Infectious Diseases in Humans and Animals. Princeton University Press; 2008.</w:t>
      </w:r>
    </w:p>
    <w:p>
      <w:pPr>
        <w:pStyle w:val="ListParagraph"/>
        <w:numPr>
          <w:ilvl w:val="0"/>
          <w:numId w:val="2"/>
        </w:numPr>
        <w:spacing w:after="40" w:before="40" w:line="300"/>
      </w:pPr>
      <w:r>
        <w:rPr>
          <w:rFonts w:ascii="Arial" w:cs="Arial" w:eastAsia="Arial" w:hAnsi="Arial"/>
          <w:color w:val="4A5568"/>
          <w:sz w:val="22"/>
          <w:szCs w:val="22"/>
        </w:rPr>
        <w:t xml:space="preserve">Lash TL, VanderWeele TJ, Haneuse S, Rothman KJ. Modern Epidemiology. 4th ed. Wolters Kluwer; 2021.</w:t>
      </w:r>
    </w:p>
    <w:p>
      <w:pPr>
        <w:pStyle w:val="ListParagraph"/>
        <w:numPr>
          <w:ilvl w:val="0"/>
          <w:numId w:val="2"/>
        </w:numPr>
        <w:spacing w:after="40" w:before="40" w:line="300"/>
      </w:pPr>
      <w:r>
        <w:rPr>
          <w:rFonts w:ascii="Arial" w:cs="Arial" w:eastAsia="Arial" w:hAnsi="Arial"/>
          <w:color w:val="4A5568"/>
          <w:sz w:val="22"/>
          <w:szCs w:val="22"/>
        </w:rPr>
        <w:t xml:space="preserve">National Center for Health Statistics. Rural-Urban Continuum Codes. USDA Economic Research Service. https://www.ers.usda.gov/data-products/rural-urban-continuum-codes/</w:t>
      </w:r>
    </w:p>
    <w:p>
      <w:pPr>
        <w:pStyle w:val="ListParagraph"/>
        <w:numPr>
          <w:ilvl w:val="0"/>
          <w:numId w:val="2"/>
        </w:numPr>
        <w:spacing w:after="40" w:before="40" w:line="300"/>
      </w:pPr>
      <w:r>
        <w:rPr>
          <w:rFonts w:ascii="Arial" w:cs="Arial" w:eastAsia="Arial" w:hAnsi="Arial"/>
          <w:color w:val="4A5568"/>
          <w:sz w:val="22"/>
          <w:szCs w:val="22"/>
        </w:rPr>
        <w:t xml:space="preserve">Rural Health Information Hub. Rural Health Disparities. https://www.ruralhealthinfo.org/topics/rural-health-disparities</w:t>
      </w:r>
    </w:p>
    <w:p>
      <w:pPr>
        <w:pStyle w:val="ListParagraph"/>
        <w:numPr>
          <w:ilvl w:val="0"/>
          <w:numId w:val="2"/>
        </w:numPr>
        <w:spacing w:after="40" w:before="40" w:line="300"/>
      </w:pPr>
      <w:r>
        <w:rPr>
          <w:rFonts w:ascii="Arial" w:cs="Arial" w:eastAsia="Arial" w:hAnsi="Arial"/>
          <w:color w:val="4A5568"/>
          <w:sz w:val="22"/>
          <w:szCs w:val="22"/>
        </w:rPr>
        <w:t xml:space="preserve">Siegel R. Cancer Statistics, 2023. CA Cancer J Clin. 2023.</w:t>
      </w:r>
    </w:p>
    <w:p>
      <w:pPr>
        <w:pStyle w:val="ListParagraph"/>
        <w:numPr>
          <w:ilvl w:val="0"/>
          <w:numId w:val="2"/>
        </w:numPr>
        <w:spacing w:after="40" w:before="40" w:line="300"/>
      </w:pPr>
      <w:r>
        <w:rPr>
          <w:rFonts w:ascii="Arial" w:cs="Arial" w:eastAsia="Arial" w:hAnsi="Arial"/>
          <w:color w:val="4A5568"/>
          <w:sz w:val="22"/>
          <w:szCs w:val="22"/>
        </w:rPr>
        <w:t xml:space="preserve">Stoto MA. Public Health Surveillance in the Twenty-First Century: Achieving Population Health Goals While Protecting Individuals' Privacy and Confidentiality. Georgetown Law Journal. 2017.</w:t>
      </w:r>
    </w:p>
    <w:p>
      <w:pPr>
        <w:pStyle w:val="ListParagraph"/>
        <w:numPr>
          <w:ilvl w:val="0"/>
          <w:numId w:val="2"/>
        </w:numPr>
        <w:spacing w:after="40" w:before="40" w:line="300"/>
      </w:pPr>
      <w:r>
        <w:rPr>
          <w:rFonts w:ascii="Arial" w:cs="Arial" w:eastAsia="Arial" w:hAnsi="Arial"/>
          <w:color w:val="4A5568"/>
          <w:sz w:val="22"/>
          <w:szCs w:val="22"/>
        </w:rPr>
        <w:t xml:space="preserve">van den Driessche P. Reproduction numbers of infectious disease models. Infect Dis Model. 2017;2(3):288-303.</w:t>
      </w:r>
    </w:p>
    <w:p>
      <w:pPr>
        <w:pStyle w:val="ListParagraph"/>
        <w:numPr>
          <w:ilvl w:val="0"/>
          <w:numId w:val="2"/>
        </w:numPr>
        <w:spacing w:after="40" w:before="40" w:line="300"/>
      </w:pPr>
      <w:r>
        <w:rPr>
          <w:rFonts w:ascii="Arial" w:cs="Arial" w:eastAsia="Arial" w:hAnsi="Arial"/>
          <w:color w:val="4A5568"/>
          <w:sz w:val="22"/>
          <w:szCs w:val="22"/>
        </w:rPr>
        <w:t xml:space="preserve">Weinstein MC, et al. Recommendations of the Panel on Cost-Effectiveness in Health and Medicine. JAMA. 2016;316(10):1093-1103.</w:t>
      </w:r>
    </w:p>
    <w:p>
      <w:pPr>
        <w:pStyle w:val="ListParagraph"/>
        <w:numPr>
          <w:ilvl w:val="0"/>
          <w:numId w:val="2"/>
        </w:numPr>
        <w:spacing w:after="40" w:before="40" w:line="300"/>
      </w:pPr>
      <w:r>
        <w:rPr>
          <w:rFonts w:ascii="Arial" w:cs="Arial" w:eastAsia="Arial" w:hAnsi="Arial"/>
          <w:color w:val="4A5568"/>
          <w:sz w:val="22"/>
          <w:szCs w:val="22"/>
        </w:rPr>
        <w:t xml:space="preserve">Zhao D, Yu Y, Xu L, Du Y. Rural-Urban Disparities in Health Insurance and Health-Care Utilization Among US Adults Aged 18-64 Years. Prev Chronic Dis. 2023.</w:t>
      </w:r>
    </w:p>
    <w:p>
      <w:pPr>
        <w:spacing w:after="60" w:before="0"/>
      </w:pPr>
      <w:r>
        <w:t xml:space="preserve"/>
      </w:r>
    </w:p>
    <w:p>
      <w:pPr>
        <w:spacing w:after="60" w:before="0"/>
      </w:pPr>
      <w:r>
        <w:t xml:space="preserve"/>
      </w:r>
    </w:p>
    <w:p>
      <w:pPr>
        <w:pStyle w:val="Heading1"/>
        <w:spacing w:after="160" w:before="360"/>
      </w:pPr>
      <w:r>
        <w:rPr>
          <w:rFonts w:ascii="Arial" w:cs="Arial" w:eastAsia="Arial" w:hAnsi="Arial"/>
          <w:b/>
          <w:bCs/>
          <w:color w:val="1B3A5C"/>
          <w:sz w:val="36"/>
          <w:szCs w:val="36"/>
        </w:rPr>
        <w:t xml:space="preserve">Appendix: Interactive Application Guide</w:t>
      </w:r>
    </w:p>
    <w:p>
      <w:pPr>
        <w:spacing w:after="120" w:before="80" w:line="320"/>
      </w:pPr>
      <w:r>
        <w:rPr>
          <w:rFonts w:ascii="Arial" w:cs="Arial" w:eastAsia="Arial" w:hAnsi="Arial"/>
          <w:color w:val="4A5568"/>
          <w:sz w:val="22"/>
          <w:szCs w:val="22"/>
        </w:rPr>
        <w:t xml:space="preserve">This textbook is designed to be used in conjunction with the companion interactive web application: 'Epidemiology Calculator Suite for Rural Healthcare Providers.' The application implements the following interactive tools:</w:t>
      </w:r>
    </w:p>
    <w:p>
      <w:pPr>
        <w:pStyle w:val="ListParagraph"/>
        <w:numPr>
          <w:ilvl w:val="0"/>
          <w:numId w:val="2"/>
        </w:numPr>
        <w:spacing w:after="40" w:before="40" w:line="300"/>
      </w:pPr>
      <w:r>
        <w:rPr>
          <w:rFonts w:ascii="Arial" w:cs="Arial" w:eastAsia="Arial" w:hAnsi="Arial"/>
          <w:b/>
          <w:bCs/>
          <w:color w:val="1B3A5C"/>
          <w:sz w:val="22"/>
          <w:szCs w:val="22"/>
        </w:rPr>
        <w:t xml:space="preserve">SEIR/SEIRD Epidemic Model: </w:t>
      </w:r>
      <w:r>
        <w:rPr>
          <w:rFonts w:ascii="Arial" w:cs="Arial" w:eastAsia="Arial" w:hAnsi="Arial"/>
          <w:color w:val="4A5568"/>
          <w:sz w:val="22"/>
          <w:szCs w:val="22"/>
        </w:rPr>
        <w:t xml:space="preserve">Live simulation of epidemic curves with adjustable parameters (β, γ, σ, μ, N, initial conditions). Powered by the Rust/WASM computational module described in Chapter 14.</w:t>
      </w:r>
    </w:p>
    <w:p>
      <w:pPr>
        <w:pStyle w:val="ListParagraph"/>
        <w:numPr>
          <w:ilvl w:val="0"/>
          <w:numId w:val="2"/>
        </w:numPr>
        <w:spacing w:after="40" w:before="40" w:line="300"/>
      </w:pPr>
      <w:r>
        <w:rPr>
          <w:rFonts w:ascii="Arial" w:cs="Arial" w:eastAsia="Arial" w:hAnsi="Arial"/>
          <w:b/>
          <w:bCs/>
          <w:color w:val="1B3A5C"/>
          <w:sz w:val="22"/>
          <w:szCs w:val="22"/>
        </w:rPr>
        <w:t xml:space="preserve">R₀ and Herd Immunity Calculator: </w:t>
      </w:r>
      <w:r>
        <w:rPr>
          <w:rFonts w:ascii="Arial" w:cs="Arial" w:eastAsia="Arial" w:hAnsi="Arial"/>
          <w:color w:val="4A5568"/>
          <w:sz w:val="22"/>
          <w:szCs w:val="22"/>
        </w:rPr>
        <w:t xml:space="preserve">Input transmission rate and recovery rate; outputs R₀, herd immunity threshold, and expected final attack rate.</w:t>
      </w:r>
    </w:p>
    <w:p>
      <w:pPr>
        <w:pStyle w:val="ListParagraph"/>
        <w:numPr>
          <w:ilvl w:val="0"/>
          <w:numId w:val="2"/>
        </w:numPr>
        <w:spacing w:after="40" w:before="40" w:line="300"/>
      </w:pPr>
      <w:r>
        <w:rPr>
          <w:rFonts w:ascii="Arial" w:cs="Arial" w:eastAsia="Arial" w:hAnsi="Arial"/>
          <w:b/>
          <w:bCs/>
          <w:color w:val="1B3A5C"/>
          <w:sz w:val="22"/>
          <w:szCs w:val="22"/>
        </w:rPr>
        <w:t xml:space="preserve">Attack Rate Analyzer: </w:t>
      </w:r>
      <w:r>
        <w:rPr>
          <w:rFonts w:ascii="Arial" w:cs="Arial" w:eastAsia="Arial" w:hAnsi="Arial"/>
          <w:color w:val="4A5568"/>
          <w:sz w:val="22"/>
          <w:szCs w:val="22"/>
        </w:rPr>
        <w:t xml:space="preserve">Input 2×2 table data for foodborne outbreak analysis; outputs food-specific attack rates, risk ratios, odds ratios, and attributable fractions.</w:t>
      </w:r>
    </w:p>
    <w:p>
      <w:pPr>
        <w:pStyle w:val="ListParagraph"/>
        <w:numPr>
          <w:ilvl w:val="0"/>
          <w:numId w:val="2"/>
        </w:numPr>
        <w:spacing w:after="40" w:before="40" w:line="300"/>
      </w:pPr>
      <w:r>
        <w:rPr>
          <w:rFonts w:ascii="Arial" w:cs="Arial" w:eastAsia="Arial" w:hAnsi="Arial"/>
          <w:b/>
          <w:bCs/>
          <w:color w:val="1B3A5C"/>
          <w:sz w:val="22"/>
          <w:szCs w:val="22"/>
        </w:rPr>
        <w:t xml:space="preserve">Diagnostic Test Evaluator: </w:t>
      </w:r>
      <w:r>
        <w:rPr>
          <w:rFonts w:ascii="Arial" w:cs="Arial" w:eastAsia="Arial" w:hAnsi="Arial"/>
          <w:color w:val="4A5568"/>
          <w:sz w:val="22"/>
          <w:szCs w:val="22"/>
        </w:rPr>
        <w:t xml:space="preserve">Calculates sensitivity, specificity, PPV, NPV, and likelihood ratios. Bayesian pre-test/post-test probability visualizer shows how PPV varies with disease prevalence.</w:t>
      </w:r>
    </w:p>
    <w:p>
      <w:pPr>
        <w:pStyle w:val="ListParagraph"/>
        <w:numPr>
          <w:ilvl w:val="0"/>
          <w:numId w:val="2"/>
        </w:numPr>
        <w:spacing w:after="40" w:before="40" w:line="300"/>
      </w:pPr>
      <w:r>
        <w:rPr>
          <w:rFonts w:ascii="Arial" w:cs="Arial" w:eastAsia="Arial" w:hAnsi="Arial"/>
          <w:b/>
          <w:bCs/>
          <w:color w:val="1B3A5C"/>
          <w:sz w:val="22"/>
          <w:szCs w:val="22"/>
        </w:rPr>
        <w:t xml:space="preserve">Outbreak Line List Builder: </w:t>
      </w:r>
      <w:r>
        <w:rPr>
          <w:rFonts w:ascii="Arial" w:cs="Arial" w:eastAsia="Arial" w:hAnsi="Arial"/>
          <w:color w:val="4A5568"/>
          <w:sz w:val="22"/>
          <w:szCs w:val="22"/>
        </w:rPr>
        <w:t xml:space="preserve">Electronic tool for constructing case line lists from outbreak investigations, with automated epidemic curve generation.</w:t>
      </w:r>
    </w:p>
    <w:p>
      <w:pPr>
        <w:pStyle w:val="ListParagraph"/>
        <w:numPr>
          <w:ilvl w:val="0"/>
          <w:numId w:val="2"/>
        </w:numPr>
        <w:spacing w:after="40" w:before="40" w:line="300"/>
      </w:pPr>
      <w:r>
        <w:rPr>
          <w:rFonts w:ascii="Arial" w:cs="Arial" w:eastAsia="Arial" w:hAnsi="Arial"/>
          <w:b/>
          <w:bCs/>
          <w:color w:val="1B3A5C"/>
          <w:sz w:val="22"/>
          <w:szCs w:val="22"/>
        </w:rPr>
        <w:t xml:space="preserve">Age-Adjusted Rate Calculator: </w:t>
      </w:r>
      <w:r>
        <w:rPr>
          <w:rFonts w:ascii="Arial" w:cs="Arial" w:eastAsia="Arial" w:hAnsi="Arial"/>
          <w:color w:val="4A5568"/>
          <w:sz w:val="22"/>
          <w:szCs w:val="22"/>
        </w:rPr>
        <w:t xml:space="preserve">Direct standardization to the 2000 US Standard Population, with confidence intervals via Poisson methods.</w:t>
      </w:r>
    </w:p>
    <w:p>
      <w:pPr>
        <w:pStyle w:val="ListParagraph"/>
        <w:numPr>
          <w:ilvl w:val="0"/>
          <w:numId w:val="2"/>
        </w:numPr>
        <w:spacing w:after="40" w:before="40" w:line="300"/>
      </w:pPr>
      <w:r>
        <w:rPr>
          <w:rFonts w:ascii="Arial" w:cs="Arial" w:eastAsia="Arial" w:hAnsi="Arial"/>
          <w:b/>
          <w:bCs/>
          <w:color w:val="1B3A5C"/>
          <w:sz w:val="22"/>
          <w:szCs w:val="22"/>
        </w:rPr>
        <w:t xml:space="preserve">Confidence Interval Calculator for Small Counts: </w:t>
      </w:r>
      <w:r>
        <w:rPr>
          <w:rFonts w:ascii="Arial" w:cs="Arial" w:eastAsia="Arial" w:hAnsi="Arial"/>
          <w:color w:val="4A5568"/>
          <w:sz w:val="22"/>
          <w:szCs w:val="22"/>
        </w:rPr>
        <w:t xml:space="preserve">Poisson exact 95% CI for event counts, with rate calculation and rolling multi-year average option.</w:t>
      </w:r>
    </w:p>
    <w:p>
      <w:pPr>
        <w:pStyle w:val="ListParagraph"/>
        <w:numPr>
          <w:ilvl w:val="0"/>
          <w:numId w:val="2"/>
        </w:numPr>
        <w:spacing w:after="40" w:before="40" w:line="300"/>
      </w:pPr>
      <w:r>
        <w:rPr>
          <w:rFonts w:ascii="Arial" w:cs="Arial" w:eastAsia="Arial" w:hAnsi="Arial"/>
          <w:b/>
          <w:bCs/>
          <w:color w:val="1B3A5C"/>
          <w:sz w:val="22"/>
          <w:szCs w:val="22"/>
        </w:rPr>
        <w:t xml:space="preserve">Number Needed to Treat/Screen Calculator: </w:t>
      </w:r>
      <w:r>
        <w:rPr>
          <w:rFonts w:ascii="Arial" w:cs="Arial" w:eastAsia="Arial" w:hAnsi="Arial"/>
          <w:color w:val="4A5568"/>
          <w:sz w:val="22"/>
          <w:szCs w:val="22"/>
        </w:rPr>
        <w:t xml:space="preserve">From ARR or NNT directly; includes population impact calculator (events prevented per 1,000 treated).</w:t>
      </w:r>
    </w:p>
    <w:p>
      <w:pPr>
        <w:spacing w:after="60" w:before="0"/>
      </w:pPr>
      <w:r>
        <w:t xml:space="preserve"/>
      </w:r>
    </w:p>
    <w:p>
      <w:pPr>
        <w:spacing w:after="120" w:before="80" w:line="320"/>
      </w:pPr>
      <w:r>
        <w:rPr>
          <w:rFonts w:ascii="Arial" w:cs="Arial" w:eastAsia="Arial" w:hAnsi="Arial"/>
          <w:color w:val="4A5568"/>
          <w:sz w:val="22"/>
          <w:szCs w:val="22"/>
        </w:rPr>
        <w:t xml:space="preserve">The Rust source code for the WASM computational module is available at the project repository and can be compiled locally or deployed as a PWA (Progressive Web Application) for offline use in areas with limited internet connectivity—a critical consideration for rural healthcare providers.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6B" w:sz="6" w:space="4"/>
      </w:pBdr>
      <w:spacing w:after="0" w:before="120"/>
    </w:pPr>
    <w:r>
      <w:rPr>
        <w:rFonts w:ascii="Arial" w:cs="Arial" w:eastAsia="Arial" w:hAnsi="Arial"/>
        <w:color w:val="D0D5DE"/>
        <w:sz w:val="16"/>
        <w:szCs w:val="16"/>
      </w:rPr>
      <w:t xml:space="preserve">For educational use. Consult CDC and state epidemiologist for jurisdiction-specific guidance.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6" w:space="4"/>
      </w:pBdr>
      <w:spacing w:after="120" w:before="0"/>
    </w:pPr>
    <w:r>
      <w:rPr>
        <w:rFonts w:ascii="Arial" w:cs="Arial" w:eastAsia="Arial" w:hAnsi="Arial"/>
        <w:i/>
        <w:iCs/>
        <w:color w:val="4A5568"/>
        <w:sz w:val="18"/>
        <w:szCs w:val="18"/>
      </w:rPr>
      <w:t xml:space="preserve">Epidemiology for Rural Healthcare Providers</w:t>
    </w:r>
    <w:r>
      <w:rPr>
        <w:rFonts w:ascii="Arial" w:cs="Arial" w:eastAsia="Arial" w:hAnsi="Arial"/>
        <w:color w:val="D0D5DE"/>
        <w:sz w:val="18"/>
        <w:szCs w:val="18"/>
      </w:rPr>
      <w:t xml:space="preserve">  |  </w:t>
    </w:r>
    <w:r>
      <w:rPr>
        <w:rFonts w:ascii="Arial" w:cs="Arial" w:eastAsia="Arial" w:hAnsi="Arial"/>
        <w:color w:val="4A5568"/>
        <w:sz w:val="18"/>
        <w:szCs w:val="18"/>
      </w:rPr>
      <w:t xml:space="preserve">CAH/Rural Emergency Reference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6B" w:sz="8" w:space="4"/>
      </w:pBd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D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5C"/>
      <w:sz w:val="24"/>
      <w:szCs w:val="24"/>
    </w:rPr>
  </w:style>
  <w:style w:type="paragraph" w:styleId="Heading4">
    <w:name w:val="Heading 4"/>
    <w:basedOn w:val="Normal"/>
    <w:next w:val="Normal"/>
    <w:qFormat/>
    <w:pPr>
      <w:spacing w:after="60" w:before="160"/>
      <w:outlineLvl w:val="3"/>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2026-03-20T00:08:59.854Z</dcterms:created>
  <dcterms:modified xsi:type="dcterms:W3CDTF">2026-03-20T00:08:59.855Z</dcterms:modified>
</cp:coreProperties>
</file>

<file path=docProps/custom.xml><?xml version="1.0" encoding="utf-8"?>
<Properties xmlns="http://schemas.openxmlformats.org/officeDocument/2006/custom-properties" xmlns:vt="http://schemas.openxmlformats.org/officeDocument/2006/docPropsVTypes"/>
</file>