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B7F" w:rsidRPr="002772E5" w:rsidRDefault="001E4B7F" w:rsidP="001E4B7F">
      <w:pPr>
        <w:spacing w:line="276" w:lineRule="auto"/>
        <w:jc w:val="both"/>
        <w:rPr>
          <w:rFonts w:cs="Times New Roman"/>
          <w:b/>
          <w:shd w:val="clear" w:color="auto" w:fill="FFFFFF"/>
        </w:rPr>
      </w:pPr>
      <w:r w:rsidRPr="002772E5">
        <w:rPr>
          <w:rFonts w:cs="Times New Roman"/>
          <w:b/>
          <w:shd w:val="clear" w:color="auto" w:fill="FFFFFF"/>
        </w:rPr>
        <w:t xml:space="preserve">Prevalence of severe anaemia among children less than </w:t>
      </w:r>
      <w:r>
        <w:rPr>
          <w:rFonts w:cs="Times New Roman"/>
          <w:b/>
          <w:shd w:val="clear" w:color="auto" w:fill="FFFFFF"/>
        </w:rPr>
        <w:t>5 years</w:t>
      </w:r>
      <w:r w:rsidRPr="002772E5">
        <w:rPr>
          <w:rFonts w:cs="Times New Roman"/>
          <w:b/>
          <w:shd w:val="clear" w:color="auto" w:fill="FFFFFF"/>
        </w:rPr>
        <w:t xml:space="preserve"> in SSA countries</w:t>
      </w:r>
    </w:p>
    <w:p w:rsidR="001E4B7F" w:rsidRPr="00DF4ED9" w:rsidRDefault="001E4B7F" w:rsidP="001E4B7F">
      <w:pPr>
        <w:spacing w:line="276" w:lineRule="auto"/>
        <w:jc w:val="both"/>
        <w:rPr>
          <w:rFonts w:cs="Times New Roman"/>
          <w:shd w:val="clear" w:color="auto" w:fill="FFFFFF"/>
        </w:rPr>
      </w:pPr>
      <w:r w:rsidRPr="00DF4ED9">
        <w:rPr>
          <w:rFonts w:cs="Times New Roman"/>
          <w:shd w:val="clear" w:color="auto" w:fill="FFFFFF"/>
        </w:rPr>
        <w:t>By Rachael Nagaddya, 19</w:t>
      </w:r>
      <w:r w:rsidRPr="00DF4ED9">
        <w:rPr>
          <w:rFonts w:cs="Times New Roman"/>
          <w:shd w:val="clear" w:color="auto" w:fill="FFFFFF"/>
          <w:vertAlign w:val="superscript"/>
        </w:rPr>
        <w:t>th</w:t>
      </w:r>
      <w:r w:rsidRPr="00DF4ED9">
        <w:rPr>
          <w:rFonts w:cs="Times New Roman"/>
          <w:shd w:val="clear" w:color="auto" w:fill="FFFFFF"/>
        </w:rPr>
        <w:t xml:space="preserve"> August 2025.</w:t>
      </w:r>
    </w:p>
    <w:p w:rsidR="001E4B7F" w:rsidRPr="00DF4ED9" w:rsidRDefault="001E4B7F" w:rsidP="001E4B7F">
      <w:pPr>
        <w:spacing w:line="276" w:lineRule="auto"/>
        <w:jc w:val="both"/>
        <w:rPr>
          <w:rFonts w:cs="Times New Roman"/>
          <w:shd w:val="clear" w:color="auto" w:fill="FFFFFF"/>
          <w:lang w:val="en-US"/>
        </w:rPr>
      </w:pPr>
      <w:r w:rsidRPr="00DF4ED9">
        <w:rPr>
          <w:rFonts w:cs="Times New Roman"/>
          <w:shd w:val="clear" w:color="auto" w:fill="FFFFFF"/>
        </w:rPr>
        <w:t>Anaemia is the below-normal red blood cell count or haemoglobin level per unit volume in peripheral blood</w:t>
      </w:r>
      <w:r w:rsidRPr="00DF4ED9">
        <w:rPr>
          <w:rFonts w:cs="Times New Roman"/>
          <w:shd w:val="clear" w:color="auto" w:fill="FFFFFF"/>
          <w:lang w:val="en-US"/>
        </w:rPr>
        <w:t xml:space="preserve"> and in severe anemic cases this measurement is below 7g/dl. </w:t>
      </w:r>
      <w:r w:rsidRPr="00DF4ED9">
        <w:rPr>
          <w:rFonts w:cs="Times New Roman"/>
        </w:rPr>
        <w:t>The top three contributing causes globally</w:t>
      </w:r>
      <w:r w:rsidRPr="00DF4ED9">
        <w:rPr>
          <w:rFonts w:cs="Times New Roman"/>
          <w:lang w:val="en-US"/>
        </w:rPr>
        <w:t xml:space="preserve"> are</w:t>
      </w:r>
      <w:r w:rsidRPr="00DF4ED9">
        <w:rPr>
          <w:rFonts w:cs="Times New Roman"/>
        </w:rPr>
        <w:t xml:space="preserve"> dietary iron deficiency, Vitamin A deficiency, and Beta-thalassemia trait</w:t>
      </w:r>
      <w:r w:rsidRPr="00DF4ED9">
        <w:rPr>
          <w:rFonts w:cs="Times New Roman"/>
          <w:lang w:val="en-US"/>
        </w:rPr>
        <w:t>.</w:t>
      </w:r>
      <w:r w:rsidRPr="00DF4ED9">
        <w:rPr>
          <w:rFonts w:cs="Times New Roman"/>
          <w:shd w:val="clear" w:color="auto" w:fill="FFFFFF"/>
        </w:rPr>
        <w:t> </w:t>
      </w:r>
      <w:r w:rsidRPr="00DF4ED9">
        <w:rPr>
          <w:rFonts w:cs="Times New Roman"/>
          <w:shd w:val="clear" w:color="auto" w:fill="FFFFFF"/>
          <w:lang w:val="en-US"/>
        </w:rPr>
        <w:t xml:space="preserve">Anemia in children below 5 years </w:t>
      </w:r>
      <w:r w:rsidRPr="00DF4ED9">
        <w:rPr>
          <w:rFonts w:cs="Times New Roman"/>
          <w:shd w:val="clear" w:color="auto" w:fill="FFFFFF"/>
        </w:rPr>
        <w:t>is a public health problem worldwide</w:t>
      </w:r>
      <w:r w:rsidRPr="00DF4ED9">
        <w:rPr>
          <w:rFonts w:cs="Times New Roman"/>
          <w:shd w:val="clear" w:color="auto" w:fill="FFFFFF"/>
          <w:lang w:val="en-US"/>
        </w:rPr>
        <w:t xml:space="preserve"> because it under mines the attainment of SDG 2.2. </w:t>
      </w:r>
    </w:p>
    <w:p w:rsidR="001E4B7F" w:rsidRPr="00DF4ED9" w:rsidRDefault="001E4B7F" w:rsidP="001E4B7F">
      <w:pPr>
        <w:spacing w:line="276" w:lineRule="auto"/>
        <w:jc w:val="both"/>
        <w:rPr>
          <w:rFonts w:cs="Times New Roman"/>
          <w:lang w:val="en-US"/>
        </w:rPr>
      </w:pPr>
      <w:r w:rsidRPr="00DF4ED9">
        <w:rPr>
          <w:rFonts w:cs="Arial"/>
        </w:rPr>
        <w:t xml:space="preserve">Children under 5 years have a greater need for nutrition and higher consequence as a result of the lack thereof due to lesser reserves which makes anaemia in under-five children is a special case. At an individual level, childhood anaemia contributes to poor motor and cognitive development, poor school performance, as well as increased morbidity and mortality while socioeconomically, it negatively impacts the well-being and productivity of a country. </w:t>
      </w:r>
      <w:r>
        <w:rPr>
          <w:rFonts w:cs="Arial"/>
        </w:rPr>
        <w:t>From the recent data, 5 percent of children under 5 years in Nigeria are severely anaemic in comparison to Uganda’s approximate 2 percent. Ultimately, programs that ensure distribution of iron supplements, nutrition interventions and malaria chemoprevention are mandatory across SSA.</w:t>
      </w:r>
    </w:p>
    <w:p w:rsidR="001E4B7F" w:rsidRDefault="001E4B7F">
      <w:bookmarkStart w:id="0" w:name="_GoBack"/>
      <w:bookmarkEnd w:id="0"/>
    </w:p>
    <w:sectPr w:rsidR="001E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7F"/>
    <w:rsid w:val="001E4B7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40B09-6574-415E-91B0-4ABD61B2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B7F"/>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2025-08-29T12:41:00Z</dcterms:created>
  <dcterms:modified xsi:type="dcterms:W3CDTF">2025-08-29T12:42:00Z</dcterms:modified>
</cp:coreProperties>
</file>