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2a61341daf39a35c139948beecc811d6241ef7"/>
    <w:p>
      <w:pPr>
        <w:pStyle w:val="Heading1"/>
      </w:pPr>
      <w:r>
        <w:t xml:space="preserve">Action Plan Addendum — CP-14–CP-20 Determinism Constraints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once merged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addendum formalizes determinism-critical constraints identified in the PHB/DMG audit so future instruction packets (CP-14–CP-20) do not implicitly violate replayability, event ordering, or scope discipline.</w:t>
      </w:r>
    </w:p>
    <w:p>
      <w:r>
        <w:pict>
          <v:rect style="width:0;height:1.5pt" o:hralign="center" o:hrstd="t" o:hr="t"/>
        </w:pict>
      </w:r>
    </w:p>
    <w:bookmarkStart w:id="22" w:name="locked-deferrals-non-negotiable"/>
    <w:p>
      <w:pPr>
        <w:pStyle w:val="Heading2"/>
      </w:pPr>
      <w:r>
        <w:t xml:space="preserve">1. Locked Deferrals (Non-Negotiable)</w:t>
      </w:r>
    </w:p>
    <w:bookmarkStart w:id="20" w:name="readied-delay-actions"/>
    <w:p>
      <w:pPr>
        <w:pStyle w:val="Heading3"/>
      </w:pPr>
      <w:r>
        <w:t xml:space="preserve">1.1 Readied &amp; Delay 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Readied actions</w:t>
      </w:r>
      <w:r>
        <w:t xml:space="preserve"> </w:t>
      </w:r>
      <w:r>
        <w:t xml:space="preserve">(PHB p.160) are</w:t>
      </w:r>
      <w:r>
        <w:t xml:space="preserve"> </w:t>
      </w:r>
      <w:r>
        <w:rPr>
          <w:b/>
          <w:bCs/>
        </w:rPr>
        <w:t xml:space="preserve">explicitly deferred beyond CP-20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Rationale: interrupt-driven execution introduces nested event ordering and natural-language triggers incompatible with current deterministic guarantees.</w:t>
      </w:r>
    </w:p>
    <w:p>
      <w:pPr>
        <w:pStyle w:val="Compact"/>
        <w:numPr>
          <w:ilvl w:val="0"/>
          <w:numId w:val="1001"/>
        </w:numPr>
      </w:pPr>
      <w:r>
        <w:t xml:space="preserve">Allowed: static analysis notes and schema placeholders only.</w:t>
      </w:r>
    </w:p>
    <w:bookmarkEnd w:id="20"/>
    <w:bookmarkStart w:id="21" w:name="grapple-system-scope"/>
    <w:p>
      <w:pPr>
        <w:pStyle w:val="Heading3"/>
      </w:pPr>
      <w:r>
        <w:t xml:space="preserve">1.2 Grapple System Scope</w:t>
      </w:r>
    </w:p>
    <w:p>
      <w:pPr>
        <w:pStyle w:val="Compact"/>
        <w:numPr>
          <w:ilvl w:val="0"/>
          <w:numId w:val="1002"/>
        </w:numPr>
      </w:pPr>
      <w:r>
        <w:t xml:space="preserve">Grapple is</w:t>
      </w:r>
      <w:r>
        <w:t xml:space="preserve"> </w:t>
      </w:r>
      <w:r>
        <w:rPr>
          <w:b/>
          <w:bCs/>
        </w:rPr>
        <w:t xml:space="preserve">limited to a simplified model</w:t>
      </w:r>
      <w:r>
        <w:t xml:space="preserve"> </w:t>
      </w:r>
      <w:r>
        <w:t xml:space="preserve">in CP-18:</w:t>
      </w:r>
    </w:p>
    <w:p>
      <w:pPr>
        <w:pStyle w:val="Compact"/>
        <w:numPr>
          <w:ilvl w:val="1"/>
          <w:numId w:val="1003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grappled</w:t>
      </w:r>
      <w:r>
        <w:t xml:space="preserve"> </w:t>
      </w:r>
      <w:r>
        <w:t xml:space="preserve">condition only (movement denied; limited actions).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Pinned</w:t>
      </w:r>
      <w:r>
        <w:t xml:space="preserve">, escape sequences, and grapple damage loops are deferred.</w:t>
      </w:r>
    </w:p>
    <w:p>
      <w:pPr>
        <w:pStyle w:val="Compact"/>
        <w:numPr>
          <w:ilvl w:val="0"/>
          <w:numId w:val="1002"/>
        </w:numPr>
      </w:pPr>
      <w:r>
        <w:t xml:space="preserve">Rationale: full grapple creates state explosion and complex interrupt windows.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eterminism-requirements-must-hold"/>
    <w:p>
      <w:pPr>
        <w:pStyle w:val="Heading2"/>
      </w:pPr>
      <w:r>
        <w:t xml:space="preserve">2. Determinism Requirements (Must Hold)</w:t>
      </w:r>
    </w:p>
    <w:bookmarkStart w:id="23" w:name="diagonal-movement"/>
    <w:p>
      <w:pPr>
        <w:pStyle w:val="Heading3"/>
      </w:pPr>
      <w:r>
        <w:t xml:space="preserve">2.1 Diagonal Movement</w:t>
      </w:r>
    </w:p>
    <w:p>
      <w:pPr>
        <w:pStyle w:val="Compact"/>
        <w:numPr>
          <w:ilvl w:val="0"/>
          <w:numId w:val="1004"/>
        </w:numPr>
      </w:pPr>
      <w:r>
        <w:t xml:space="preserve">Diagonal movement (PHB p.148)</w:t>
      </w:r>
      <w:r>
        <w:t xml:space="preserve"> </w:t>
      </w:r>
      <w:r>
        <w:rPr>
          <w:b/>
          <w:bCs/>
        </w:rPr>
        <w:t xml:space="preserve">must record path history</w:t>
      </w:r>
      <w:r>
        <w:t xml:space="preserve"> </w:t>
      </w:r>
      <w:r>
        <w:t xml:space="preserve">to enforce RAW 1-2-1-2 cost.</w:t>
      </w:r>
    </w:p>
    <w:p>
      <w:pPr>
        <w:pStyle w:val="Compact"/>
        <w:numPr>
          <w:ilvl w:val="0"/>
          <w:numId w:val="1004"/>
        </w:numPr>
      </w:pPr>
      <w:r>
        <w:t xml:space="preserve">No Euclidean or Manhattan shortcuts are permitted.</w:t>
      </w:r>
    </w:p>
    <w:p>
      <w:pPr>
        <w:pStyle w:val="Compact"/>
        <w:numPr>
          <w:ilvl w:val="0"/>
          <w:numId w:val="1004"/>
        </w:numPr>
      </w:pPr>
      <w:r>
        <w:t xml:space="preserve">Movement intents must carry</w:t>
      </w:r>
      <w:r>
        <w:t xml:space="preserve"> </w:t>
      </w:r>
      <w:r>
        <w:rPr>
          <w:rStyle w:val="VerbatimChar"/>
        </w:rPr>
        <w:t xml:space="preserve">path_taken</w:t>
      </w:r>
      <w:r>
        <w:t xml:space="preserve"> </w:t>
      </w:r>
      <w:r>
        <w:t xml:space="preserve">(ordered grid points).</w:t>
      </w:r>
    </w:p>
    <w:bookmarkEnd w:id="23"/>
    <w:bookmarkStart w:id="24" w:name="interrupt-ordering"/>
    <w:p>
      <w:pPr>
        <w:pStyle w:val="Heading3"/>
      </w:pPr>
      <w:r>
        <w:t xml:space="preserve">2.2 Interrupt Ordering</w:t>
      </w:r>
    </w:p>
    <w:p>
      <w:pPr>
        <w:pStyle w:val="Compact"/>
        <w:numPr>
          <w:ilvl w:val="0"/>
          <w:numId w:val="1005"/>
        </w:numPr>
      </w:pPr>
      <w:r>
        <w:t xml:space="preserve">No mid-action interrupts are allowed prior to CP-15.</w:t>
      </w:r>
    </w:p>
    <w:p>
      <w:pPr>
        <w:pStyle w:val="Compact"/>
        <w:numPr>
          <w:ilvl w:val="0"/>
          <w:numId w:val="1005"/>
        </w:numPr>
      </w:pPr>
      <w:r>
        <w:t xml:space="preserve">AoO (CP-15) must resolve as:</w:t>
      </w:r>
    </w:p>
    <w:p>
      <w:pPr>
        <w:pStyle w:val="Compact"/>
        <w:numPr>
          <w:ilvl w:val="1"/>
          <w:numId w:val="1006"/>
        </w:numPr>
      </w:pPr>
      <w:r>
        <w:t xml:space="preserve">Trigger emission</w:t>
      </w:r>
    </w:p>
    <w:p>
      <w:pPr>
        <w:pStyle w:val="Compact"/>
        <w:numPr>
          <w:ilvl w:val="1"/>
          <w:numId w:val="1006"/>
        </w:numPr>
      </w:pPr>
      <w:r>
        <w:t xml:space="preserve">All legal AoOs resolved</w:t>
      </w:r>
    </w:p>
    <w:p>
      <w:pPr>
        <w:pStyle w:val="Compact"/>
        <w:numPr>
          <w:ilvl w:val="1"/>
          <w:numId w:val="1006"/>
        </w:numPr>
      </w:pPr>
      <w:r>
        <w:t xml:space="preserve">Original action completes or aborts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ritical-path-confirmation"/>
    <w:p>
      <w:pPr>
        <w:pStyle w:val="Heading2"/>
      </w:pPr>
      <w:r>
        <w:t xml:space="preserve">3. Critical Path Confirmation</w:t>
      </w:r>
    </w:p>
    <w:p>
      <w:pPr>
        <w:pStyle w:val="FirstParagraph"/>
      </w:pPr>
      <w:r>
        <w:t xml:space="preserve">The only</w:t>
      </w:r>
      <w:r>
        <w:t xml:space="preserve"> </w:t>
      </w:r>
      <w:r>
        <w:rPr>
          <w:b/>
          <w:bCs/>
        </w:rPr>
        <w:t xml:space="preserve">critical path</w:t>
      </w:r>
      <w:r>
        <w:t xml:space="preserve"> </w:t>
      </w:r>
      <w:r>
        <w:t xml:space="preserve">for playable combat remains: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CP-14:</w:t>
      </w:r>
      <w:r>
        <w:t xml:space="preserve"> </w:t>
      </w:r>
      <w:r>
        <w:t xml:space="preserve">Initiative &amp; Action Economy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CP-15:</w:t>
      </w:r>
      <w:r>
        <w:t xml:space="preserve"> </w:t>
      </w:r>
      <w:r>
        <w:t xml:space="preserve">Attacks of Opportunity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CP-16:</w:t>
      </w:r>
      <w:r>
        <w:t xml:space="preserve"> </w:t>
      </w:r>
      <w:r>
        <w:t xml:space="preserve">Conditions &amp; Status Effects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CP-17:</w:t>
      </w:r>
      <w:r>
        <w:t xml:space="preserve"> </w:t>
      </w:r>
      <w:r>
        <w:t xml:space="preserve">Saving Throws</w:t>
      </w:r>
    </w:p>
    <w:p>
      <w:pPr>
        <w:pStyle w:val="BodyText"/>
      </w:pPr>
      <w:r>
        <w:t xml:space="preserve">No packet may skip or collapse this order.</w:t>
      </w:r>
    </w:p>
    <w:p>
      <w:r>
        <w:pict>
          <v:rect style="width:0;height:1.5pt" o:hralign="center" o:hrstd="t" o:hr="t"/>
        </w:pict>
      </w:r>
    </w:p>
    <w:bookmarkEnd w:id="26"/>
    <w:bookmarkStart w:id="27" w:name="documentation-consistency-rule"/>
    <w:p>
      <w:pPr>
        <w:pStyle w:val="Heading2"/>
      </w:pPr>
      <w:r>
        <w:t xml:space="preserve">4. Documentation Consistency Rule</w:t>
      </w:r>
    </w:p>
    <w:p>
      <w:pPr>
        <w:pStyle w:val="FirstParagraph"/>
      </w:pPr>
      <w:r>
        <w:t xml:space="preserve">Any future packet that touches:</w:t>
      </w:r>
      <w:r>
        <w:t xml:space="preserve"> </w:t>
      </w:r>
      <w:r>
        <w:t xml:space="preserve">- Initiative order</w:t>
      </w:r>
      <w:r>
        <w:t xml:space="preserve"> </w:t>
      </w:r>
      <w:r>
        <w:t xml:space="preserve">- Movement costs</w:t>
      </w:r>
      <w:r>
        <w:t xml:space="preserve"> </w:t>
      </w:r>
      <w:r>
        <w:t xml:space="preserve">- Interrupts or reactions</w:t>
      </w:r>
      <w:r>
        <w:t xml:space="preserve"> </w:t>
      </w:r>
      <w:r>
        <w:t xml:space="preserve">- Condition mechanics</w:t>
      </w:r>
    </w:p>
    <w:p>
      <w:pPr>
        <w:pStyle w:val="BodyText"/>
      </w:pPr>
      <w:r>
        <w:rPr>
          <w:b/>
          <w:bCs/>
        </w:rPr>
        <w:t xml:space="preserve">Must reference this addendum explicitly</w:t>
      </w:r>
      <w:r>
        <w:t xml:space="preserve"> </w:t>
      </w:r>
      <w:r>
        <w:t xml:space="preserve">in its acceptance section.</w:t>
      </w:r>
    </w:p>
    <w:p>
      <w:r>
        <w:pict>
          <v:rect style="width:0;height:1.5pt" o:hralign="center" o:hrstd="t" o:hr="t"/>
        </w:pict>
      </w:r>
    </w:p>
    <w:bookmarkEnd w:id="27"/>
    <w:bookmarkStart w:id="28" w:name="scope-integrity"/>
    <w:p>
      <w:pPr>
        <w:pStyle w:val="Heading2"/>
      </w:pPr>
      <w:r>
        <w:t xml:space="preserve">5. Scope Integrity</w:t>
      </w:r>
    </w:p>
    <w:p>
      <w:pPr>
        <w:pStyle w:val="FirstParagraph"/>
      </w:pPr>
      <w:r>
        <w:t xml:space="preserve">This addendum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Expand runtime scope</w:t>
      </w:r>
      <w:r>
        <w:t xml:space="preserve"> </w:t>
      </w:r>
      <w:r>
        <w:t xml:space="preserve">- Introduce new systems</w:t>
      </w:r>
      <w:r>
        <w:t xml:space="preserve"> </w:t>
      </w:r>
      <w:r>
        <w:t xml:space="preserve">- Authorize LLM decision-making</w:t>
      </w:r>
    </w:p>
    <w:p>
      <w:pPr>
        <w:pStyle w:val="BodyText"/>
      </w:pPr>
      <w:r>
        <w:t xml:space="preserve">It only locks constraints already assumed by audits and plans.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Effective Upon Merge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2026-02-08T01:38:40Z</dcterms:created>
  <dcterms:modified xsi:type="dcterms:W3CDTF">2026-02-08T01:38:40Z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