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0b21caf62908f44b5a48feed81d46ac5999e3e8"/>
    <w:p>
      <w:pPr>
        <w:pStyle w:val="Heading1"/>
      </w:pPr>
      <w:r>
        <w:t xml:space="preserve">Action Plan Amendment — Cross‑Cutting Mechanics Coverage &amp; Mounted Combat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Binding once merged</w:t>
      </w:r>
      <w:r>
        <w:br/>
      </w:r>
      <w:r>
        <w:rPr>
          <w:b/>
          <w:bCs/>
        </w:rPr>
        <w:t xml:space="preserve">Applies To:</w:t>
      </w:r>
      <w:r>
        <w:t xml:space="preserve"> </w:t>
      </w:r>
      <w:r>
        <w:t xml:space="preserve">All instruction packets CP‑17 and onward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amendment addresses a discovered structural risk: the existence of</w:t>
      </w:r>
      <w:r>
        <w:t xml:space="preserve"> </w:t>
      </w:r>
      <w:r>
        <w:rPr>
          <w:i/>
          <w:iCs/>
        </w:rPr>
        <w:t xml:space="preserve">cross‑cutting RAW subsystems</w:t>
      </w:r>
      <w:r>
        <w:t xml:space="preserve"> </w:t>
      </w:r>
      <w:r>
        <w:t xml:space="preserve">(e.g., mounted combat) that cannot be safely implemented as emergent behavior from isolated kernels (movement, attacks, saves, conditions).</w:t>
      </w:r>
    </w:p>
    <w:p>
      <w:pPr>
        <w:pStyle w:val="BodyText"/>
      </w:pPr>
      <w:r>
        <w:t xml:space="preserve">The amendment introduces:</w:t>
      </w:r>
      <w:r>
        <w:t xml:space="preserve"> </w:t>
      </w:r>
      <w:r>
        <w:t xml:space="preserve">- An explicit governance mechanism to prevent silent omissions</w:t>
      </w:r>
      <w:r>
        <w:t xml:space="preserve"> </w:t>
      </w:r>
      <w:r>
        <w:t xml:space="preserve">- A mandatory audit process to surface similar subsystems</w:t>
      </w:r>
      <w:r>
        <w:t xml:space="preserve"> </w:t>
      </w:r>
      <w:r>
        <w:t xml:space="preserve">- A correction to the core action plan to include Mounted Combat as a first‑class packet</w:t>
      </w:r>
    </w:p>
    <w:p>
      <w:r>
        <w:pict>
          <v:rect style="width:0;height:1.5pt" o:hralign="center" o:hrstd="t" o:hr="t"/>
        </w:pict>
      </w:r>
    </w:p>
    <w:bookmarkEnd w:id="20"/>
    <w:bookmarkStart w:id="23" w:name="X958b6729b5c3798f3e87a7d0f059701824d9ef7"/>
    <w:p>
      <w:pPr>
        <w:pStyle w:val="Heading2"/>
      </w:pPr>
      <w:r>
        <w:t xml:space="preserve">2. Rules Coverage Ledger (New Required Artifact)</w:t>
      </w:r>
    </w:p>
    <w:bookmarkStart w:id="21" w:name="definition"/>
    <w:p>
      <w:pPr>
        <w:pStyle w:val="Heading3"/>
      </w:pPr>
      <w:r>
        <w:t xml:space="preserve">2.1 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Rules Coverage Ledger (RCL)</w:t>
      </w:r>
      <w:r>
        <w:t xml:space="preserve"> </w:t>
      </w:r>
      <w:r>
        <w:t xml:space="preserve">is a canonical, append‑only project artifact that enumerates</w:t>
      </w:r>
      <w:r>
        <w:t xml:space="preserve"> </w:t>
      </w:r>
      <w:r>
        <w:rPr>
          <w:i/>
          <w:iCs/>
        </w:rPr>
        <w:t xml:space="preserve">all RAW mechanical subsystems</w:t>
      </w:r>
      <w:r>
        <w:t xml:space="preserve"> </w:t>
      </w:r>
      <w:r>
        <w:t xml:space="preserve">relevant to runtime play.</w:t>
      </w:r>
    </w:p>
    <w:p>
      <w:pPr>
        <w:pStyle w:val="BodyText"/>
      </w:pPr>
      <w:r>
        <w:t xml:space="preserve">Each entry MUST include:</w:t>
      </w:r>
      <w:r>
        <w:t xml:space="preserve"> </w:t>
      </w:r>
      <w:r>
        <w:t xml:space="preserve">- Subsystem name</w:t>
      </w:r>
      <w:r>
        <w:t xml:space="preserve"> </w:t>
      </w:r>
      <w:r>
        <w:t xml:space="preserve">- Source reference (PHB / DMG / MM section)</w:t>
      </w:r>
      <w:r>
        <w:t xml:space="preserve"> </w:t>
      </w:r>
      <w:r>
        <w:t xml:space="preserve">- Classification:</w:t>
      </w:r>
      <w:r>
        <w:t xml:space="preserve"> </w:t>
      </w:r>
      <w:r>
        <w:rPr>
          <w:rStyle w:val="VerbatimChar"/>
        </w:rPr>
        <w:t xml:space="preserve">atomic | cross‑cutting | dm‑discretion</w:t>
      </w:r>
      <w:r>
        <w:t xml:space="preserve"> </w:t>
      </w:r>
      <w:r>
        <w:t xml:space="preserve">- Coverage status:</w:t>
      </w:r>
      <w:r>
        <w:t xml:space="preserve"> </w:t>
      </w:r>
      <w:r>
        <w:rPr>
          <w:rStyle w:val="VerbatimChar"/>
        </w:rPr>
        <w:t xml:space="preserve">implemented | partial | deferred | out_of_scope</w:t>
      </w:r>
      <w:r>
        <w:t xml:space="preserve"> </w:t>
      </w:r>
      <w:r>
        <w:t xml:space="preserve">- Owning packet (CP‑## or amendment)</w:t>
      </w:r>
      <w:r>
        <w:t xml:space="preserve"> </w:t>
      </w:r>
      <w:r>
        <w:t xml:space="preserve">- Determinism risk:</w:t>
      </w:r>
      <w:r>
        <w:t xml:space="preserve"> </w:t>
      </w:r>
      <w:r>
        <w:rPr>
          <w:rStyle w:val="VerbatimChar"/>
        </w:rPr>
        <w:t xml:space="preserve">low | medium | high</w:t>
      </w:r>
      <w:r>
        <w:t xml:space="preserve"> </w:t>
      </w:r>
      <w:r>
        <w:t xml:space="preserve">- Notes (edge cases, propagation rules, known hazards)</w:t>
      </w:r>
    </w:p>
    <w:bookmarkEnd w:id="21"/>
    <w:bookmarkStart w:id="22" w:name="governance-rule"/>
    <w:p>
      <w:pPr>
        <w:pStyle w:val="Heading3"/>
      </w:pPr>
      <w:r>
        <w:t xml:space="preserve">2.2 Governance Rule</w:t>
      </w:r>
    </w:p>
    <w:p>
      <w:pPr>
        <w:pStyle w:val="FirstParagraph"/>
      </w:pPr>
      <w:r>
        <w:t xml:space="preserve">No packet may be frozen unless:</w:t>
      </w:r>
      <w:r>
        <w:t xml:space="preserve"> </w:t>
      </w:r>
      <w:r>
        <w:t xml:space="preserve">- All subsystems it touches are present in the RCL</w:t>
      </w:r>
      <w:r>
        <w:t xml:space="preserve"> </w:t>
      </w:r>
      <w:r>
        <w:t xml:space="preserve">- Each such subsystem has an explicit coverage status</w:t>
      </w:r>
    </w:p>
    <w:p>
      <w:pPr>
        <w:pStyle w:val="BodyText"/>
      </w:pPr>
      <w:r>
        <w:t xml:space="preserve">Silence is forbidden. Every subsystem must have a declared disposition.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mandatory-crosscutting-mechanics-audit"/>
    <w:p>
      <w:pPr>
        <w:pStyle w:val="Heading2"/>
      </w:pPr>
      <w:r>
        <w:t xml:space="preserve">3. Mandatory Cross‑Cutting Mechanics Audit</w:t>
      </w:r>
    </w:p>
    <w:bookmarkStart w:id="24" w:name="audit-trigger"/>
    <w:p>
      <w:pPr>
        <w:pStyle w:val="Heading3"/>
      </w:pPr>
      <w:r>
        <w:t xml:space="preserve">3.1 Audit Trigger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Cross‑Cutting Mechanics Audit (CCMA)</w:t>
      </w:r>
      <w:r>
        <w:t xml:space="preserve"> </w:t>
      </w:r>
      <w:r>
        <w:t xml:space="preserve">MUST be performed when:</w:t>
      </w:r>
      <w:r>
        <w:t xml:space="preserve"> </w:t>
      </w:r>
      <w:r>
        <w:t xml:space="preserve">- A new interaction class is introduced,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- A packet alters assumptions about actor identity, position, or action ownership</w:t>
      </w:r>
    </w:p>
    <w:bookmarkEnd w:id="24"/>
    <w:bookmarkStart w:id="25" w:name="audit-scope"/>
    <w:p>
      <w:pPr>
        <w:pStyle w:val="Heading3"/>
      </w:pPr>
      <w:r>
        <w:t xml:space="preserve">3.2 Audit Scope</w:t>
      </w:r>
    </w:p>
    <w:p>
      <w:pPr>
        <w:pStyle w:val="FirstParagraph"/>
      </w:pPr>
      <w:r>
        <w:t xml:space="preserve">The audit MUST examine PHB, DMG, and MM mechanics to identify subsystems that:</w:t>
      </w:r>
      <w:r>
        <w:t xml:space="preserve"> </w:t>
      </w:r>
      <w:r>
        <w:t xml:space="preserve">- Span two or more kernels (e.g., movement + AoO + saves)</w:t>
      </w:r>
      <w:r>
        <w:t xml:space="preserve"> </w:t>
      </w:r>
      <w:r>
        <w:t xml:space="preserve">- Introduce composite or coupled actors</w:t>
      </w:r>
      <w:r>
        <w:t xml:space="preserve"> </w:t>
      </w:r>
      <w:r>
        <w:t xml:space="preserve">- Cause bidirectional state propagation</w:t>
      </w:r>
    </w:p>
    <w:bookmarkEnd w:id="25"/>
    <w:bookmarkStart w:id="26" w:name="required-outputs"/>
    <w:p>
      <w:pPr>
        <w:pStyle w:val="Heading3"/>
      </w:pPr>
      <w:r>
        <w:t xml:space="preserve">3.3 Required Outputs</w:t>
      </w:r>
    </w:p>
    <w:p>
      <w:pPr>
        <w:pStyle w:val="FirstParagraph"/>
      </w:pPr>
      <w:r>
        <w:t xml:space="preserve">The audit MUST produce:</w:t>
      </w:r>
      <w:r>
        <w:t xml:space="preserve"> </w:t>
      </w:r>
      <w:r>
        <w:t xml:space="preserve">- An updated Rules Coverage Ledger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Gap Register</w:t>
      </w:r>
      <w:r>
        <w:t xml:space="preserve"> </w:t>
      </w:r>
      <w:r>
        <w:t xml:space="preserve">listing uncovered or mis‑sequenced subsystems</w:t>
      </w:r>
      <w:r>
        <w:t xml:space="preserve"> </w:t>
      </w:r>
      <w:r>
        <w:t xml:space="preserve">- A sequencing proposal for any newly discovered packets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action-plan-correction-mounted-combat"/>
    <w:p>
      <w:pPr>
        <w:pStyle w:val="Heading2"/>
      </w:pPr>
      <w:r>
        <w:t xml:space="preserve">4. Action Plan Correction — Mounted Combat</w:t>
      </w:r>
    </w:p>
    <w:bookmarkStart w:id="28" w:name="finding"/>
    <w:p>
      <w:pPr>
        <w:pStyle w:val="Heading3"/>
      </w:pPr>
      <w:r>
        <w:t xml:space="preserve">4.1 Finding</w:t>
      </w:r>
    </w:p>
    <w:p>
      <w:pPr>
        <w:pStyle w:val="FirstParagraph"/>
      </w:pPr>
      <w:r>
        <w:t xml:space="preserve">Mounted combat is a RAW‑critical, cross‑cutting subsystem that:</w:t>
      </w:r>
      <w:r>
        <w:t xml:space="preserve"> </w:t>
      </w:r>
      <w:r>
        <w:t xml:space="preserve">- Couples two independent entities (rider and mount)</w:t>
      </w:r>
      <w:r>
        <w:t xml:space="preserve"> </w:t>
      </w:r>
      <w:r>
        <w:t xml:space="preserve">- Rewrites movement, AoO, attack geometry, saves, and condition propagation</w:t>
      </w:r>
    </w:p>
    <w:p>
      <w:pPr>
        <w:pStyle w:val="BodyText"/>
      </w:pPr>
      <w:r>
        <w:t xml:space="preserve">It cannot emerge safely from existing kernels.</w:t>
      </w:r>
    </w:p>
    <w:bookmarkEnd w:id="28"/>
    <w:bookmarkStart w:id="29" w:name="new-packet-inserted"/>
    <w:p>
      <w:pPr>
        <w:pStyle w:val="Heading3"/>
      </w:pPr>
      <w:r>
        <w:t xml:space="preserve">4.2 New Packet (Inserted)</w:t>
      </w:r>
    </w:p>
    <w:p>
      <w:pPr>
        <w:pStyle w:val="FirstParagraph"/>
      </w:pPr>
      <w:r>
        <w:rPr>
          <w:b/>
          <w:bCs/>
        </w:rPr>
        <w:t xml:space="preserve">CP‑18A — Mounted Combat &amp; Rider–Mount Coupling</w:t>
      </w:r>
    </w:p>
    <w:p>
      <w:pPr>
        <w:pStyle w:val="Body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CP‑14 Initiative &amp; Action Economy</w:t>
      </w:r>
      <w:r>
        <w:t xml:space="preserve"> </w:t>
      </w:r>
      <w:r>
        <w:t xml:space="preserve">- CP‑15 Attacks of Opportunity</w:t>
      </w:r>
      <w:r>
        <w:t xml:space="preserve"> </w:t>
      </w:r>
      <w:r>
        <w:t xml:space="preserve">- CP‑16 Conditions</w:t>
      </w:r>
      <w:r>
        <w:t xml:space="preserve"> </w:t>
      </w:r>
      <w:r>
        <w:t xml:space="preserve">- CP‑17 Saving Throws</w:t>
      </w:r>
    </w:p>
    <w:p>
      <w:pPr>
        <w:pStyle w:val="BodyText"/>
      </w:pPr>
      <w:r>
        <w:rPr>
          <w:b/>
          <w:bCs/>
        </w:rPr>
        <w:t xml:space="preserve">Scope (Non‑Negotiable):</w:t>
      </w:r>
      <w:r>
        <w:t xml:space="preserve"> </w:t>
      </w:r>
      <w:r>
        <w:t xml:space="preserve">- Rider–mount coupling state</w:t>
      </w:r>
      <w:r>
        <w:t xml:space="preserve"> </w:t>
      </w:r>
      <w:r>
        <w:t xml:space="preserve">- Controlled vs independent mounts</w:t>
      </w:r>
      <w:r>
        <w:t xml:space="preserve"> </w:t>
      </w:r>
      <w:r>
        <w:t xml:space="preserve">- Shared movement and AoO routing</w:t>
      </w:r>
      <w:r>
        <w:t xml:space="preserve"> </w:t>
      </w:r>
      <w:r>
        <w:t xml:space="preserve">- Mounted attack modifiers and charge rules</w:t>
      </w:r>
      <w:r>
        <w:t xml:space="preserve"> </w:t>
      </w:r>
      <w:r>
        <w:t xml:space="preserve">- Save and condition propagation (mount ↔ rider)</w:t>
      </w:r>
      <w:r>
        <w:t xml:space="preserve"> </w:t>
      </w:r>
      <w:r>
        <w:t xml:space="preserve">- Dismount and fall resolution</w:t>
      </w:r>
    </w:p>
    <w:p>
      <w:pPr>
        <w:pStyle w:val="BodyText"/>
      </w:pPr>
      <w:r>
        <w:rPr>
          <w:b/>
          <w:bCs/>
        </w:rPr>
        <w:t xml:space="preserve">Explicit Non‑Goals:</w:t>
      </w:r>
      <w:r>
        <w:t xml:space="preserve"> </w:t>
      </w:r>
      <w:r>
        <w:t xml:space="preserve">- Exotic mounts</w:t>
      </w:r>
      <w:r>
        <w:t xml:space="preserve"> </w:t>
      </w:r>
      <w:r>
        <w:t xml:space="preserve">- Mounted spellcasting edge cases</w:t>
      </w:r>
      <w:r>
        <w:t xml:space="preserve"> </w:t>
      </w:r>
      <w:r>
        <w:t xml:space="preserve">- Ride skill optimization beyond legality checks</w:t>
      </w:r>
    </w:p>
    <w:bookmarkEnd w:id="29"/>
    <w:bookmarkStart w:id="30" w:name="action-plan-ordering"/>
    <w:p>
      <w:pPr>
        <w:pStyle w:val="Heading3"/>
      </w:pPr>
      <w:r>
        <w:t xml:space="preserve">4.3 Action Plan Ordering</w:t>
      </w:r>
    </w:p>
    <w:p>
      <w:pPr>
        <w:pStyle w:val="FirstParagraph"/>
      </w:pPr>
      <w:r>
        <w:t xml:space="preserve">The critical path is amended as follows:</w:t>
      </w:r>
    </w:p>
    <w:p>
      <w:pPr>
        <w:pStyle w:val="BodyText"/>
      </w:pPr>
      <w:r>
        <w:t xml:space="preserve">CP‑14 → CP‑15 → CP‑16 → CP‑17 →</w:t>
      </w:r>
      <w:r>
        <w:t xml:space="preserve"> </w:t>
      </w:r>
      <w:r>
        <w:rPr>
          <w:b/>
          <w:bCs/>
        </w:rPr>
        <w:t xml:space="preserve">CP‑18A (Mounted Combat)</w:t>
      </w:r>
      <w:r>
        <w:t xml:space="preserve"> </w:t>
      </w:r>
      <w:r>
        <w:t xml:space="preserve">→ CP‑18 (Combat Maneuvers)</w:t>
      </w:r>
    </w:p>
    <w:p>
      <w:pPr>
        <w:pStyle w:val="BodyText"/>
      </w:pPr>
      <w:r>
        <w:t xml:space="preserve">No packet may bypass CP‑18A if it depends on mounted interactions.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nforcement"/>
    <w:p>
      <w:pPr>
        <w:pStyle w:val="Heading2"/>
      </w:pPr>
      <w:r>
        <w:t xml:space="preserve">5. Enforcement</w:t>
      </w:r>
    </w:p>
    <w:p>
      <w:pPr>
        <w:pStyle w:val="Compact"/>
        <w:numPr>
          <w:ilvl w:val="0"/>
          <w:numId w:val="1001"/>
        </w:numPr>
      </w:pPr>
      <w:r>
        <w:t xml:space="preserve">The Rules Coverage Ledger is a blocking artifact for packet freeze</w:t>
      </w:r>
    </w:p>
    <w:p>
      <w:pPr>
        <w:pStyle w:val="Compact"/>
        <w:numPr>
          <w:ilvl w:val="0"/>
          <w:numId w:val="1001"/>
        </w:numPr>
      </w:pPr>
      <w:r>
        <w:t xml:space="preserve">CCMA findings are binding once merged</w:t>
      </w:r>
    </w:p>
    <w:p>
      <w:pPr>
        <w:pStyle w:val="Compact"/>
        <w:numPr>
          <w:ilvl w:val="0"/>
          <w:numId w:val="1001"/>
        </w:numPr>
      </w:pPr>
      <w:r>
        <w:t xml:space="preserve">Any discovered omission MUST be resolved via a new packet or explicit deferral</w:t>
      </w:r>
    </w:p>
    <w:p>
      <w:r>
        <w:pict>
          <v:rect style="width:0;height:1.5pt" o:hralign="center" o:hrstd="t" o:hr="t"/>
        </w:pict>
      </w:r>
    </w:p>
    <w:bookmarkEnd w:id="32"/>
    <w:bookmarkStart w:id="33" w:name="summary"/>
    <w:p>
      <w:pPr>
        <w:pStyle w:val="Heading2"/>
      </w:pPr>
      <w:r>
        <w:t xml:space="preserve">6. Summary</w:t>
      </w:r>
    </w:p>
    <w:p>
      <w:pPr>
        <w:pStyle w:val="FirstParagraph"/>
      </w:pPr>
      <w:r>
        <w:t xml:space="preserve">This amendment eliminates the failure mode of</w:t>
      </w:r>
      <w:r>
        <w:t xml:space="preserve"> </w:t>
      </w:r>
      <w:r>
        <w:rPr>
          <w:i/>
          <w:iCs/>
        </w:rPr>
        <w:t xml:space="preserve">silent system omission</w:t>
      </w:r>
      <w:r>
        <w:t xml:space="preserve"> </w:t>
      </w:r>
      <w:r>
        <w:t xml:space="preserve">by:</w:t>
      </w:r>
      <w:r>
        <w:t xml:space="preserve"> </w:t>
      </w:r>
      <w:r>
        <w:t xml:space="preserve">- Forcing explicit coverage declarations</w:t>
      </w:r>
      <w:r>
        <w:t xml:space="preserve"> </w:t>
      </w:r>
      <w:r>
        <w:t xml:space="preserve">- Elevating cross‑cutting mechanics to first‑class design concerns</w:t>
      </w:r>
      <w:r>
        <w:t xml:space="preserve"> </w:t>
      </w:r>
      <w:r>
        <w:t xml:space="preserve">- Correcting the action plan to include Mounted Combat as required infrastructure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2026-02-08T03:12:52Z</dcterms:created>
  <dcterms:modified xsi:type="dcterms:W3CDTF">2026-02-08T03:12:52Z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