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6f774301dfc407c518fb2a1b4c816a033c3b15"/>
    <w:p>
      <w:pPr>
        <w:pStyle w:val="Heading1"/>
      </w:pPr>
      <w:r>
        <w:t xml:space="preserve">Action Plan Amendment — High-Risk Cross-Cutting Combat Subsystems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Binding once merged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Core action plan, Rules Coverage Ledger, and all instruction packets CP-17 and onward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amendment incorporates findings from the Cross-Cutting Mechanics Audit and addresses a second class of structural risk beyond mounted combat:</w:t>
      </w:r>
      <w:r>
        <w:t xml:space="preserve"> </w:t>
      </w:r>
      <w:r>
        <w:rPr>
          <w:i/>
          <w:iCs/>
        </w:rPr>
        <w:t xml:space="preserve">high‑risk combat subsystems that silently violate core engine assumptions if treated as emergent or modifier‑only behavior</w:t>
      </w:r>
      <w:r>
        <w:t xml:space="preserve">.</w:t>
      </w:r>
    </w:p>
    <w:p>
      <w:pPr>
        <w:pStyle w:val="BodyText"/>
      </w:pPr>
      <w:r>
        <w:t xml:space="preserve">The goal is to ensure that all such subsystems are:</w:t>
      </w:r>
      <w:r>
        <w:t xml:space="preserve"> </w:t>
      </w:r>
      <w:r>
        <w:t xml:space="preserve">- Explicitly identified</w:t>
      </w:r>
      <w:r>
        <w:t xml:space="preserve"> </w:t>
      </w:r>
      <w:r>
        <w:t xml:space="preserve">- Tracked in the Rules Coverage Ledger (RCL)</w:t>
      </w:r>
      <w:r>
        <w:t xml:space="preserve"> </w:t>
      </w:r>
      <w:r>
        <w:t xml:space="preserve">- Either scheduled as first‑class packets or explicitly deferred</w:t>
      </w:r>
    </w:p>
    <w:p>
      <w:pPr>
        <w:pStyle w:val="BodyText"/>
      </w:pPr>
      <w:r>
        <w:t xml:space="preserve">No RAW subsystem that alters targeting legality, spatial reasoning, or actor identity may remain implicit.</w:t>
      </w:r>
    </w:p>
    <w:p>
      <w:r>
        <w:pict>
          <v:rect style="width:0;height:1.5pt" o:hralign="center" o:hrstd="t" o:hr="t"/>
        </w:pict>
      </w:r>
    </w:p>
    <w:bookmarkEnd w:id="20"/>
    <w:bookmarkStart w:id="21" w:name="Xf724078beb00061faafcd3ab4f9b35d8ef4c2fc"/>
    <w:p>
      <w:pPr>
        <w:pStyle w:val="Heading2"/>
      </w:pPr>
      <w:r>
        <w:t xml:space="preserve">2. Definition: High‑Risk Cross‑Cutting Subsystem</w:t>
      </w:r>
    </w:p>
    <w:p>
      <w:pPr>
        <w:pStyle w:val="FirstParagraph"/>
      </w:pPr>
      <w:r>
        <w:t xml:space="preserve">A subsystem is classified as</w:t>
      </w:r>
      <w:r>
        <w:t xml:space="preserve"> </w:t>
      </w:r>
      <w:r>
        <w:rPr>
          <w:b/>
          <w:bCs/>
        </w:rPr>
        <w:t xml:space="preserve">High‑Risk Cross‑Cutting</w:t>
      </w:r>
      <w:r>
        <w:t xml:space="preserve"> </w:t>
      </w:r>
      <w:r>
        <w:t xml:space="preserve">if it meets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following criteria:</w:t>
      </w:r>
    </w:p>
    <w:p>
      <w:pPr>
        <w:pStyle w:val="Compact"/>
        <w:numPr>
          <w:ilvl w:val="0"/>
          <w:numId w:val="1001"/>
        </w:numPr>
      </w:pPr>
      <w:r>
        <w:t xml:space="preserve">Couples multiple entities into a composite or dependent state</w:t>
      </w:r>
    </w:p>
    <w:p>
      <w:pPr>
        <w:pStyle w:val="Compact"/>
        <w:numPr>
          <w:ilvl w:val="0"/>
          <w:numId w:val="1001"/>
        </w:numPr>
      </w:pPr>
      <w:r>
        <w:t xml:space="preserve">Alters who can target whom, or whether targeting is legal at all</w:t>
      </w:r>
    </w:p>
    <w:p>
      <w:pPr>
        <w:pStyle w:val="Compact"/>
        <w:numPr>
          <w:ilvl w:val="0"/>
          <w:numId w:val="1001"/>
        </w:numPr>
      </w:pPr>
      <w:r>
        <w:t xml:space="preserve">Changes threatened areas or reaction (AoO) geometry</w:t>
      </w:r>
    </w:p>
    <w:p>
      <w:pPr>
        <w:pStyle w:val="Compact"/>
        <w:numPr>
          <w:ilvl w:val="0"/>
          <w:numId w:val="1001"/>
        </w:numPr>
      </w:pPr>
      <w:r>
        <w:t xml:space="preserve">Introduces epistemic state (who is observed, hidden, or detectable)</w:t>
      </w:r>
    </w:p>
    <w:p>
      <w:pPr>
        <w:pStyle w:val="Compact"/>
        <w:numPr>
          <w:ilvl w:val="0"/>
          <w:numId w:val="1001"/>
        </w:numPr>
      </w:pPr>
      <w:r>
        <w:t xml:space="preserve">Requires bidirectional propagation of damage, saves, or conditions</w:t>
      </w:r>
    </w:p>
    <w:p>
      <w:pPr>
        <w:pStyle w:val="Compact"/>
        <w:numPr>
          <w:ilvl w:val="0"/>
          <w:numId w:val="1001"/>
        </w:numPr>
      </w:pPr>
      <w:r>
        <w:t xml:space="preserve">Breaks the assumption of 2D ground‑based movement</w:t>
      </w:r>
    </w:p>
    <w:p>
      <w:pPr>
        <w:pStyle w:val="FirstParagraph"/>
      </w:pPr>
      <w:r>
        <w:t xml:space="preserve">Such subsystems MUST NOT be implemented as:</w:t>
      </w:r>
      <w:r>
        <w:t xml:space="preserve"> </w:t>
      </w:r>
      <w:r>
        <w:t xml:space="preserve">- Pure numeric modifiers</w:t>
      </w:r>
      <w:r>
        <w:t xml:space="preserve"> </w:t>
      </w:r>
      <w:r>
        <w:t xml:space="preserve">- Narrative‑only rulings</w:t>
      </w:r>
      <w:r>
        <w:t xml:space="preserve"> </w:t>
      </w:r>
      <w:r>
        <w:t xml:space="preserve">- Side effects hidden inside other resolvers</w:t>
      </w:r>
    </w:p>
    <w:p>
      <w:r>
        <w:pict>
          <v:rect style="width:0;height:1.5pt" o:hralign="center" o:hrstd="t" o:hr="t"/>
        </w:pict>
      </w:r>
    </w:p>
    <w:bookmarkEnd w:id="21"/>
    <w:bookmarkStart w:id="28" w:name="newly-identified-highrisk-subsystems"/>
    <w:p>
      <w:pPr>
        <w:pStyle w:val="Heading2"/>
      </w:pPr>
      <w:r>
        <w:t xml:space="preserve">3. Newly Identified High‑Risk Subsystems</w:t>
      </w:r>
    </w:p>
    <w:p>
      <w:pPr>
        <w:pStyle w:val="FirstParagraph"/>
      </w:pPr>
      <w:r>
        <w:t xml:space="preserve">The following subsystems are formally designated</w:t>
      </w:r>
      <w:r>
        <w:t xml:space="preserve"> </w:t>
      </w:r>
      <w:r>
        <w:rPr>
          <w:b/>
          <w:bCs/>
        </w:rPr>
        <w:t xml:space="preserve">High‑Risk Cross‑Cutting</w:t>
      </w:r>
      <w:r>
        <w:t xml:space="preserve"> </w:t>
      </w:r>
      <w:r>
        <w:t xml:space="preserve">and MUST appear in the Rules Coverage Ledger with explicit disposition.</w:t>
      </w:r>
    </w:p>
    <w:bookmarkStart w:id="22" w:name="flight-threedimensional-movement"/>
    <w:p>
      <w:pPr>
        <w:pStyle w:val="Heading3"/>
      </w:pPr>
      <w:r>
        <w:t xml:space="preserve">3.1 Flight &amp; Three‑Dimensional Movement</w:t>
      </w:r>
    </w:p>
    <w:p>
      <w:pPr>
        <w:pStyle w:val="FirstParagraph"/>
      </w:pPr>
      <w:r>
        <w:rPr>
          <w:b/>
          <w:bCs/>
        </w:rPr>
        <w:t xml:space="preserve">RAW Characteristics:</w:t>
      </w:r>
      <w:r>
        <w:t xml:space="preserve"> </w:t>
      </w:r>
      <w:r>
        <w:t xml:space="preserve">- Altitude and vertical positioning</w:t>
      </w:r>
      <w:r>
        <w:t xml:space="preserve"> </w:t>
      </w:r>
      <w:r>
        <w:t xml:space="preserve">- Ascent/descent limits</w:t>
      </w:r>
      <w:r>
        <w:t xml:space="preserve"> </w:t>
      </w:r>
      <w:r>
        <w:t xml:space="preserve">- Falling and stall behavior</w:t>
      </w:r>
      <w:r>
        <w:t xml:space="preserve"> </w:t>
      </w:r>
      <w:r>
        <w:t xml:space="preserve">- AoO geometry in three dimensions</w:t>
      </w:r>
      <w:r>
        <w:t xml:space="preserve"> </w:t>
      </w:r>
      <w:r>
        <w:t xml:space="preserve">- Prone, helpless, or stunned interactions while airborne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Breaks 2D positioning, gravity assumptions, and AoO resolution.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Not implemented. Requires a dedicated packet before any broad environmental expansion.</w:t>
      </w:r>
    </w:p>
    <w:p>
      <w:r>
        <w:pict>
          <v:rect style="width:0;height:1.5pt" o:hralign="center" o:hrstd="t" o:hr="t"/>
        </w:pict>
      </w:r>
    </w:p>
    <w:bookmarkEnd w:id="22"/>
    <w:bookmarkStart w:id="23" w:name="cover-concealment-and-miss-chance"/>
    <w:p>
      <w:pPr>
        <w:pStyle w:val="Heading3"/>
      </w:pPr>
      <w:r>
        <w:t xml:space="preserve">3.2 Cover, Concealment, and Miss Chance</w:t>
      </w:r>
    </w:p>
    <w:p>
      <w:pPr>
        <w:pStyle w:val="FirstParagraph"/>
      </w:pPr>
      <w:r>
        <w:rPr>
          <w:b/>
          <w:bCs/>
        </w:rPr>
        <w:t xml:space="preserve">RAW Characteristics:</w:t>
      </w:r>
      <w:r>
        <w:t xml:space="preserve"> </w:t>
      </w:r>
      <w:r>
        <w:t xml:space="preserve">- Partial vs total cover</w:t>
      </w:r>
      <w:r>
        <w:t xml:space="preserve"> </w:t>
      </w:r>
      <w:r>
        <w:t xml:space="preserve">- Concealment percentages</w:t>
      </w:r>
      <w:r>
        <w:t xml:space="preserve"> </w:t>
      </w:r>
      <w:r>
        <w:t xml:space="preserve">- Total concealment (illegal targeting)</w:t>
      </w:r>
      <w:r>
        <w:t xml:space="preserve"> </w:t>
      </w:r>
      <w:r>
        <w:t xml:space="preserve">- Soft cover via creatures</w:t>
      </w:r>
      <w:r>
        <w:t xml:space="preserve"> </w:t>
      </w:r>
      <w:r>
        <w:t xml:space="preserve">- Interactions with AoOs, sneak attack, and touch attacks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Affects attack legality, not just attack math; intersects perception and positioning.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Not implemented. Must be modeled explicitly as a visibility/targeting kernel.</w:t>
      </w:r>
    </w:p>
    <w:p>
      <w:r>
        <w:pict>
          <v:rect style="width:0;height:1.5pt" o:hralign="center" o:hrstd="t" o:hr="t"/>
        </w:pict>
      </w:r>
    </w:p>
    <w:bookmarkEnd w:id="23"/>
    <w:bookmarkStart w:id="24" w:name="Xe7b40c6b599ce793fa07799eed8dbf9d967d485"/>
    <w:p>
      <w:pPr>
        <w:pStyle w:val="Heading3"/>
      </w:pPr>
      <w:r>
        <w:t xml:space="preserve">3.3 Invisibility and Observed vs Unobserved State</w:t>
      </w:r>
    </w:p>
    <w:p>
      <w:pPr>
        <w:pStyle w:val="FirstParagraph"/>
      </w:pPr>
      <w:r>
        <w:rPr>
          <w:b/>
          <w:bCs/>
        </w:rPr>
        <w:t xml:space="preserve">RAW Characteristics:</w:t>
      </w:r>
      <w:r>
        <w:t xml:space="preserve"> </w:t>
      </w:r>
      <w:r>
        <w:t xml:space="preserve">- Invisible but audible creatures</w:t>
      </w:r>
      <w:r>
        <w:t xml:space="preserve"> </w:t>
      </w:r>
      <w:r>
        <w:t xml:space="preserve">- Flat‑footed interactions</w:t>
      </w:r>
      <w:r>
        <w:t xml:space="preserve"> </w:t>
      </w:r>
      <w:r>
        <w:t xml:space="preserve">- Loss of invisibility on attack</w:t>
      </w:r>
      <w:r>
        <w:t xml:space="preserve"> </w:t>
      </w:r>
      <w:r>
        <w:t xml:space="preserve">- AoO restrictions</w:t>
      </w:r>
      <w:r>
        <w:t xml:space="preserve"> </w:t>
      </w:r>
      <w:r>
        <w:t xml:space="preserve">- Targeting failures without precise location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Introduces epistemic state and breaks the assumption that all entities are mutually observable.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Not implemented. Requires explicit observation state tracking.</w:t>
      </w:r>
    </w:p>
    <w:p>
      <w:r>
        <w:pict>
          <v:rect style="width:0;height:1.5pt" o:hralign="center" o:hrstd="t" o:hr="t"/>
        </w:pict>
      </w:r>
    </w:p>
    <w:bookmarkEnd w:id="24"/>
    <w:bookmarkStart w:id="25" w:name="charge-full-raw-semantics"/>
    <w:p>
      <w:pPr>
        <w:pStyle w:val="Heading3"/>
      </w:pPr>
      <w:r>
        <w:t xml:space="preserve">3.4 Charge (Full RAW Semantics)</w:t>
      </w:r>
    </w:p>
    <w:p>
      <w:pPr>
        <w:pStyle w:val="FirstParagraph"/>
      </w:pPr>
      <w:r>
        <w:rPr>
          <w:b/>
          <w:bCs/>
        </w:rPr>
        <w:t xml:space="preserve">RAW Characteristics:</w:t>
      </w:r>
      <w:r>
        <w:t xml:space="preserve"> </w:t>
      </w:r>
      <w:r>
        <w:t xml:space="preserve">- Straight‑line movement constraints</w:t>
      </w:r>
      <w:r>
        <w:t xml:space="preserve"> </w:t>
      </w:r>
      <w:r>
        <w:t xml:space="preserve">- AoO exposure</w:t>
      </w:r>
      <w:r>
        <w:t xml:space="preserve"> </w:t>
      </w:r>
      <w:r>
        <w:t xml:space="preserve">- Attack bonuses and AC penalties</w:t>
      </w:r>
      <w:r>
        <w:t xml:space="preserve"> </w:t>
      </w:r>
      <w:r>
        <w:t xml:space="preserve">- Weapon‑specific interactions (e.g., lance)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Charge is not equivalent to</w:t>
      </w:r>
      <w:r>
        <w:t xml:space="preserve"> </w:t>
      </w:r>
      <w:r>
        <w:t xml:space="preserve">“move + attack”</w:t>
      </w:r>
      <w:r>
        <w:t xml:space="preserve"> </w:t>
      </w:r>
      <w:r>
        <w:t xml:space="preserve">and will misresolve if treated as such.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Partially represented. Full RAW behavior must be isolated into a dedicated resolver or packet.</w:t>
      </w:r>
    </w:p>
    <w:p>
      <w:r>
        <w:pict>
          <v:rect style="width:0;height:1.5pt" o:hralign="center" o:hrstd="t" o:hr="t"/>
        </w:pict>
      </w:r>
    </w:p>
    <w:bookmarkEnd w:id="25"/>
    <w:bookmarkStart w:id="26" w:name="underwater-combat"/>
    <w:p>
      <w:pPr>
        <w:pStyle w:val="Heading3"/>
      </w:pPr>
      <w:r>
        <w:t xml:space="preserve">3.5 Underwater Combat</w:t>
      </w:r>
    </w:p>
    <w:p>
      <w:pPr>
        <w:pStyle w:val="FirstParagraph"/>
      </w:pPr>
      <w:r>
        <w:rPr>
          <w:b/>
          <w:bCs/>
        </w:rPr>
        <w:t xml:space="preserve">RAW Characteristics:</w:t>
      </w:r>
      <w:r>
        <w:t xml:space="preserve"> </w:t>
      </w:r>
      <w:r>
        <w:t xml:space="preserve">- Movement mode replacement</w:t>
      </w:r>
      <w:r>
        <w:t xml:space="preserve"> </w:t>
      </w:r>
      <w:r>
        <w:t xml:space="preserve">- Weapon effectiveness changes</w:t>
      </w:r>
      <w:r>
        <w:t xml:space="preserve"> </w:t>
      </w:r>
      <w:r>
        <w:t xml:space="preserve">- Spell and fire restrictions</w:t>
      </w:r>
      <w:r>
        <w:t xml:space="preserve"> </w:t>
      </w:r>
      <w:r>
        <w:t xml:space="preserve">- Drowning and suffocation rules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Cross‑cuts movement, attacks, saves, and conditions; incompatible with land‑based assumptions.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Not implemented. Explicit deferral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falling-and-forced-movement"/>
    <w:p>
      <w:pPr>
        <w:pStyle w:val="Heading3"/>
      </w:pPr>
      <w:r>
        <w:t xml:space="preserve">3.6 Falling and Forced Movement</w:t>
      </w:r>
    </w:p>
    <w:p>
      <w:pPr>
        <w:pStyle w:val="FirstParagraph"/>
      </w:pPr>
      <w:r>
        <w:rPr>
          <w:b/>
          <w:bCs/>
        </w:rPr>
        <w:t xml:space="preserve">RAW Characteristics:</w:t>
      </w:r>
      <w:r>
        <w:t xml:space="preserve"> </w:t>
      </w:r>
      <w:r>
        <w:t xml:space="preserve">- Damage scaling by distance</w:t>
      </w:r>
      <w:r>
        <w:t xml:space="preserve"> </w:t>
      </w:r>
      <w:r>
        <w:t xml:space="preserve">- Forced movement into hazards</w:t>
      </w:r>
      <w:r>
        <w:t xml:space="preserve"> </w:t>
      </w:r>
      <w:r>
        <w:t xml:space="preserve">- Trip/bull rush leading to falls</w:t>
      </w:r>
      <w:r>
        <w:t xml:space="preserve"> </w:t>
      </w:r>
      <w:r>
        <w:t xml:space="preserve">- Mounted and flying edge cases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Introduces non‑voluntary movement and delayed damage resolution.</w:t>
      </w:r>
    </w:p>
    <w:p>
      <w:pPr>
        <w:pStyle w:val="BodyText"/>
      </w:pPr>
      <w:r>
        <w:rPr>
          <w:b/>
          <w:bCs/>
        </w:rPr>
        <w:t xml:space="preserve">Disposition:</w:t>
      </w:r>
      <w:r>
        <w:t xml:space="preserve"> </w:t>
      </w:r>
      <w:r>
        <w:t xml:space="preserve">Not implemented. Must not be handled narratively.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ction-plan-requirements"/>
    <w:p>
      <w:pPr>
        <w:pStyle w:val="Heading2"/>
      </w:pPr>
      <w:r>
        <w:t xml:space="preserve">4. Action Plan Requirements</w:t>
      </w:r>
    </w:p>
    <w:bookmarkStart w:id="29" w:name="mandatory-ledger-entries"/>
    <w:p>
      <w:pPr>
        <w:pStyle w:val="Heading3"/>
      </w:pPr>
      <w:r>
        <w:t xml:space="preserve">4.1 Mandatory Ledger Entries</w:t>
      </w:r>
    </w:p>
    <w:p>
      <w:pPr>
        <w:pStyle w:val="FirstParagraph"/>
      </w:pPr>
      <w:r>
        <w:t xml:space="preserve">All subsystems listed in Section 3 MUST:</w:t>
      </w:r>
      <w:r>
        <w:t xml:space="preserve"> </w:t>
      </w:r>
      <w:r>
        <w:t xml:space="preserve">- Appear in the Rules Coverage Ledger</w:t>
      </w:r>
      <w:r>
        <w:t xml:space="preserve"> </w:t>
      </w:r>
      <w:r>
        <w:t xml:space="preserve">- Be marked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- Identify expected owning packets</w:t>
      </w:r>
    </w:p>
    <w:p>
      <w:pPr>
        <w:pStyle w:val="BodyText"/>
      </w:pPr>
      <w:r>
        <w:t xml:space="preserve">Silence or implicit assumption is forbidden.</w:t>
      </w:r>
    </w:p>
    <w:p>
      <w:r>
        <w:pict>
          <v:rect style="width:0;height:1.5pt" o:hralign="center" o:hrstd="t" o:hr="t"/>
        </w:pict>
      </w:r>
    </w:p>
    <w:bookmarkEnd w:id="29"/>
    <w:bookmarkStart w:id="30" w:name="sequencing-rule"/>
    <w:p>
      <w:pPr>
        <w:pStyle w:val="Heading3"/>
      </w:pPr>
      <w:r>
        <w:t xml:space="preserve">4.2 Sequencing Rule</w:t>
      </w:r>
    </w:p>
    <w:p>
      <w:pPr>
        <w:pStyle w:val="FirstParagraph"/>
      </w:pPr>
      <w:r>
        <w:t xml:space="preserve">No packet may:</w:t>
      </w:r>
      <w:r>
        <w:t xml:space="preserve"> </w:t>
      </w:r>
      <w:r>
        <w:t xml:space="preserve">- Introduce partial behavior for a High‑Risk subsystem, or</w:t>
      </w:r>
      <w:r>
        <w:t xml:space="preserve"> </w:t>
      </w:r>
      <w:r>
        <w:t xml:space="preserve">- Depend on such a subsystem</w:t>
      </w:r>
    </w:p>
    <w:p>
      <w:pPr>
        <w:pStyle w:val="BodyText"/>
      </w:pPr>
      <w:r>
        <w:t xml:space="preserve">unless that subsystem has either:</w:t>
      </w:r>
      <w:r>
        <w:t xml:space="preserve"> </w:t>
      </w:r>
      <w:r>
        <w:t xml:space="preserve">- A completed owning packet, or</w:t>
      </w:r>
      <w:r>
        <w:t xml:space="preserve"> </w:t>
      </w:r>
      <w:r>
        <w:t xml:space="preserve">- An explicit deferral with enforced non‑use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nforcement-audit"/>
    <w:p>
      <w:pPr>
        <w:pStyle w:val="Heading2"/>
      </w:pPr>
      <w:r>
        <w:t xml:space="preserve">5. Enforcement &amp; Audit</w:t>
      </w:r>
    </w:p>
    <w:p>
      <w:pPr>
        <w:pStyle w:val="Compact"/>
        <w:numPr>
          <w:ilvl w:val="0"/>
          <w:numId w:val="1002"/>
        </w:numPr>
      </w:pPr>
      <w:r>
        <w:t xml:space="preserve">PBHAs MUST verify that no High‑Risk subsystem has leaked partial behavior</w:t>
      </w:r>
    </w:p>
    <w:p>
      <w:pPr>
        <w:pStyle w:val="Compact"/>
        <w:numPr>
          <w:ilvl w:val="0"/>
          <w:numId w:val="1002"/>
        </w:numPr>
      </w:pPr>
      <w:r>
        <w:t xml:space="preserve">Any discovered leak constitutes a blocking defect</w:t>
      </w:r>
    </w:p>
    <w:p>
      <w:pPr>
        <w:pStyle w:val="Compact"/>
        <w:numPr>
          <w:ilvl w:val="0"/>
          <w:numId w:val="1002"/>
        </w:numPr>
      </w:pPr>
      <w:r>
        <w:t xml:space="preserve">Corrections MUST occur via new packets or amendments, not ad‑hoc fixes</w:t>
      </w:r>
    </w:p>
    <w:p>
      <w:r>
        <w:pict>
          <v:rect style="width:0;height:1.5pt" o:hralign="center" o:hrstd="t" o:hr="t"/>
        </w:pict>
      </w:r>
    </w:p>
    <w:bookmarkEnd w:id="32"/>
    <w:bookmarkStart w:id="33" w:name="summary"/>
    <w:p>
      <w:pPr>
        <w:pStyle w:val="Heading2"/>
      </w:pPr>
      <w:r>
        <w:t xml:space="preserve">6. Summary</w:t>
      </w:r>
    </w:p>
    <w:p>
      <w:pPr>
        <w:pStyle w:val="FirstParagraph"/>
      </w:pPr>
      <w:r>
        <w:t xml:space="preserve">This amendment expands project governance from</w:t>
      </w:r>
      <w:r>
        <w:t xml:space="preserve"> </w:t>
      </w:r>
      <w:r>
        <w:rPr>
          <w:i/>
          <w:iCs/>
        </w:rPr>
        <w:t xml:space="preserve">“what we are building next”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“what we are explicitly choosing not to build yet.”</w:t>
      </w:r>
    </w:p>
    <w:p>
      <w:pPr>
        <w:pStyle w:val="BodyText"/>
      </w:pPr>
      <w:r>
        <w:t xml:space="preserve">By classifying and tracking High‑Risk Cross‑Cutting subsystems, the project prevents a second mounted‑combat‑class failure mode and preserves determinism, correctness, and auditability as scope increases.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2026-02-08T03:15:20Z</dcterms:created>
  <dcterms:modified xsi:type="dcterms:W3CDTF">2026-02-08T03:15:20Z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