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e62579f7c9d2e81542d0b2a3a785a3887fe7e8"/>
    <w:p>
      <w:pPr>
        <w:pStyle w:val="Heading1"/>
      </w:pPr>
      <w:r>
        <w:t xml:space="preserve">Action Plan Amendment — Structural Closure &amp; Triggered Reactions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Core Action Plan, Rules Coverage Ledger (RCL), Structural Kernel Register (SKR), and all packets CP-18 and onward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formally records the results of all completed cross-cutting mechanics audits (CCMA-C1, CCMA-C2, SCA-MM-1 primary and secondary passes) and updates the project action plan to reflect</w:t>
      </w:r>
      <w:r>
        <w:t xml:space="preserve"> </w:t>
      </w:r>
      <w:r>
        <w:rPr>
          <w:b/>
          <w:bCs/>
        </w:rPr>
        <w:t xml:space="preserve">structural closure of the D&amp;D 3.5 Core Rulebooks</w:t>
      </w:r>
      <w:r>
        <w:t xml:space="preserve"> </w:t>
      </w:r>
      <w:r>
        <w:t xml:space="preserve">with one explicitly deferred exception.</w:t>
      </w:r>
    </w:p>
    <w:p>
      <w:pPr>
        <w:pStyle w:val="BodyText"/>
      </w:pPr>
      <w:r>
        <w:t xml:space="preserve">The goal of this amendment is to:</w:t>
      </w:r>
      <w:r>
        <w:t xml:space="preserve"> </w:t>
      </w:r>
      <w:r>
        <w:t xml:space="preserve">- Prevent rediscovery of already-analyzed mechanics</w:t>
      </w:r>
      <w:r>
        <w:t xml:space="preserve"> </w:t>
      </w:r>
      <w:r>
        <w:t xml:space="preserve">- Lock the set of known structural kernels</w:t>
      </w:r>
      <w:r>
        <w:t xml:space="preserve"> </w:t>
      </w:r>
      <w:r>
        <w:t xml:space="preserve">- Explicitly defer remaining non-blocking kernel work</w:t>
      </w:r>
      <w:r>
        <w:t xml:space="preserve"> </w:t>
      </w:r>
      <w:r>
        <w:t xml:space="preserve">- Ensure future packet sequencing remains aligned with proven architectural boundaries</w:t>
      </w:r>
    </w:p>
    <w:p>
      <w:r>
        <w:pict>
          <v:rect style="width:0;height:1.5pt" o:hralign="center" o:hrstd="t" o:hr="t"/>
        </w:pict>
      </w:r>
    </w:p>
    <w:bookmarkEnd w:id="20"/>
    <w:bookmarkStart w:id="21" w:name="accepted-audit-outcomes-authoritative"/>
    <w:p>
      <w:pPr>
        <w:pStyle w:val="Heading2"/>
      </w:pPr>
      <w:r>
        <w:t xml:space="preserve">2. Accepted Audit Outcomes (Authoritative)</w:t>
      </w:r>
    </w:p>
    <w:p>
      <w:pPr>
        <w:pStyle w:val="FirstParagraph"/>
      </w:pPr>
      <w:r>
        <w:t xml:space="preserve">The following audit results are hereby accepted as authoritative: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PHB / DMG Cross-Cutting Mechanics Audit</w:t>
      </w:r>
      <w:r>
        <w:t xml:space="preserve"> </w:t>
      </w:r>
      <w:r>
        <w:t xml:space="preserve">— Accepted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Monster Manual Structural Closure Audit (SCA-MM-1)</w:t>
      </w:r>
      <w:r>
        <w:t xml:space="preserve"> </w:t>
      </w:r>
      <w:r>
        <w:t xml:space="preserve">— Accepted</w:t>
      </w:r>
    </w:p>
    <w:p>
      <w:pPr>
        <w:pStyle w:val="Compact"/>
        <w:numPr>
          <w:ilvl w:val="1"/>
          <w:numId w:val="1002"/>
        </w:numPr>
      </w:pPr>
      <w:r>
        <w:t xml:space="preserve">Including secondary verification pass</w:t>
      </w:r>
    </w:p>
    <w:p>
      <w:pPr>
        <w:pStyle w:val="FirstParagraph"/>
      </w:pPr>
      <w:r>
        <w:t xml:space="preserve">Based on these audits:</w:t>
      </w:r>
    </w:p>
    <w:p>
      <w:pPr>
        <w:pStyle w:val="Compact"/>
        <w:numPr>
          <w:ilvl w:val="0"/>
          <w:numId w:val="1003"/>
        </w:numPr>
      </w:pPr>
      <w:r>
        <w:t xml:space="preserve">All RAW mechanics in PHB, DMG, and MM either:</w:t>
      </w:r>
    </w:p>
    <w:p>
      <w:pPr>
        <w:pStyle w:val="Compact"/>
        <w:numPr>
          <w:ilvl w:val="1"/>
          <w:numId w:val="1004"/>
        </w:numPr>
      </w:pPr>
      <w:r>
        <w:t xml:space="preserve">Map to an existing structural kernel, or</w:t>
      </w:r>
    </w:p>
    <w:p>
      <w:pPr>
        <w:pStyle w:val="Compact"/>
        <w:numPr>
          <w:ilvl w:val="1"/>
          <w:numId w:val="1004"/>
        </w:numPr>
      </w:pPr>
      <w:r>
        <w:t xml:space="preserve">Are explicitly deferred with defined ownership</w:t>
      </w:r>
    </w:p>
    <w:p>
      <w:pPr>
        <w:pStyle w:val="FirstParagraph"/>
      </w:pPr>
      <w:r>
        <w:t xml:space="preserve">No additional undiscovered high-risk cross-cutting systems remain in scope for Core Rulebooks.</w:t>
      </w:r>
    </w:p>
    <w:p>
      <w:r>
        <w:pict>
          <v:rect style="width:0;height:1.5pt" o:hralign="center" o:hrstd="t" o:hr="t"/>
        </w:pict>
      </w:r>
    </w:p>
    <w:bookmarkEnd w:id="21"/>
    <w:bookmarkStart w:id="22" w:name="structural-closure-declaration"/>
    <w:p>
      <w:pPr>
        <w:pStyle w:val="Heading2"/>
      </w:pPr>
      <w:r>
        <w:t xml:space="preserve">3. Structural Closure Declaration</w:t>
      </w:r>
    </w:p>
    <w:p>
      <w:pPr>
        <w:pStyle w:val="FirstParagraph"/>
      </w:pPr>
      <w:r>
        <w:t xml:space="preserve">The Core Rulebooks (PHB, DMG, MM) are hereby declared</w:t>
      </w:r>
      <w:r>
        <w:t xml:space="preserve"> </w:t>
      </w:r>
      <w:r>
        <w:rPr>
          <w:b/>
          <w:bCs/>
        </w:rPr>
        <w:t xml:space="preserve">structurally closed</w:t>
      </w:r>
      <w:r>
        <w:t xml:space="preserve"> </w:t>
      </w:r>
      <w:r>
        <w:t xml:space="preserve">with respect to kernel discovery.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No further discovery-phase audits are planned</w:t>
      </w:r>
      <w:r>
        <w:t xml:space="preserve"> </w:t>
      </w:r>
      <w:r>
        <w:t xml:space="preserve">- Future work may assume the current kernel set is complete</w:t>
      </w:r>
      <w:r>
        <w:t xml:space="preserve"> </w:t>
      </w:r>
      <w:r>
        <w:t xml:space="preserve">- Any newly encountered RAW mechanic must map to an existing kernel or be explicitly escalated</w:t>
      </w:r>
    </w:p>
    <w:p>
      <w:pPr>
        <w:pStyle w:val="BodyText"/>
      </w:pPr>
      <w:r>
        <w:t xml:space="preserve">This declaration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all mechanics are implemented—only that all required kernel categories are known.</w:t>
      </w:r>
    </w:p>
    <w:p>
      <w:r>
        <w:pict>
          <v:rect style="width:0;height:1.5pt" o:hralign="center" o:hrstd="t" o:hr="t"/>
        </w:pict>
      </w:r>
    </w:p>
    <w:bookmarkEnd w:id="22"/>
    <w:bookmarkStart w:id="24" w:name="newly-identified-kernel-deferred"/>
    <w:p>
      <w:pPr>
        <w:pStyle w:val="Heading2"/>
      </w:pPr>
      <w:r>
        <w:t xml:space="preserve">4. Newly Identified Kernel (Deferred)</w:t>
      </w:r>
    </w:p>
    <w:bookmarkStart w:id="23" w:name="triggered-reactions-kernel"/>
    <w:p>
      <w:pPr>
        <w:pStyle w:val="Heading3"/>
      </w:pPr>
      <w:r>
        <w:t xml:space="preserve">4.1 Triggered Reactions Kernel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Mechanics that trigger automatically in response to a state transition or event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resolution of another action (e.g., death-triggered explosions).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Death Throes (Balor, Glabrezu)</w:t>
      </w:r>
      <w:r>
        <w:t xml:space="preserve"> </w:t>
      </w:r>
      <w:r>
        <w:t xml:space="preserve">- Reactive abilities that trigger on defeat, damage thresholds, or state changes</w:t>
      </w:r>
    </w:p>
    <w:p>
      <w:pPr>
        <w:pStyle w:val="BodyText"/>
      </w:pPr>
      <w:r>
        <w:rPr>
          <w:b/>
          <w:bCs/>
        </w:rPr>
        <w:t xml:space="preserve">Structural Characteristics:</w:t>
      </w:r>
      <w:r>
        <w:t xml:space="preserve"> </w:t>
      </w:r>
      <w:r>
        <w:t xml:space="preserve">- Post-resolution event triggers</w:t>
      </w:r>
      <w:r>
        <w:t xml:space="preserve"> </w:t>
      </w:r>
      <w:r>
        <w:t xml:space="preserve">- Forced saves or effects after an entity is defeated</w:t>
      </w:r>
      <w:r>
        <w:t xml:space="preserve"> </w:t>
      </w:r>
      <w:r>
        <w:t xml:space="preserve">- Distinct from interrupts (AoO) and reactive saves (CP-17)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Deferred</w:t>
      </w:r>
    </w:p>
    <w:p>
      <w:pPr>
        <w:pStyle w:val="BodyText"/>
      </w:pPr>
      <w:r>
        <w:rPr>
          <w:b/>
          <w:bCs/>
        </w:rPr>
        <w:t xml:space="preserve">Planned Ownership: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CP-19+ — Triggered Reactions Kernel</w:t>
      </w:r>
    </w:p>
    <w:p>
      <w:pPr>
        <w:pStyle w:val="BodyText"/>
      </w:pPr>
      <w:r>
        <w:rPr>
          <w:b/>
          <w:bCs/>
        </w:rPr>
        <w:t xml:space="preserve">Blocking Status:</w:t>
      </w:r>
      <w:r>
        <w:t xml:space="preserve"> </w:t>
      </w:r>
      <w:r>
        <w:t xml:space="preserve">- Non-blocking for CP-18A, CP-18B, CP-18C</w:t>
      </w:r>
    </w:p>
    <w:p>
      <w:pPr>
        <w:pStyle w:val="BodyText"/>
      </w:pPr>
      <w:r>
        <w:t xml:space="preserve">This kernel MUST NOT be implemented implicitly or folded into existing kernels.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ction-plan-sequencing-reaffirmed"/>
    <w:p>
      <w:pPr>
        <w:pStyle w:val="Heading2"/>
      </w:pPr>
      <w:r>
        <w:t xml:space="preserve">5. Action Plan Sequencing (Reaffirmed)</w:t>
      </w:r>
    </w:p>
    <w:p>
      <w:pPr>
        <w:pStyle w:val="FirstParagraph"/>
      </w:pPr>
      <w:r>
        <w:t xml:space="preserve">The near-term combat roadmap is reaffirmed 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CP-18A — Mounted Combat &amp; Rider–Mount Coupling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CP-18B — Targeting &amp; Visibility Kernel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CP-18C — Forced Movement &amp; Collision Kernel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CP-18 — Combat Maneuvers (Non-Grapple)</w:t>
      </w:r>
    </w:p>
    <w:p>
      <w:pPr>
        <w:pStyle w:val="FirstParagraph"/>
      </w:pPr>
      <w:r>
        <w:t xml:space="preserve">The Triggered Reactions kernel is explicitly deferred beyond this sequence.</w:t>
      </w:r>
    </w:p>
    <w:p>
      <w:r>
        <w:pict>
          <v:rect style="width:0;height:1.5pt" o:hralign="center" o:hrstd="t" o:hr="t"/>
        </w:pict>
      </w:r>
    </w:p>
    <w:bookmarkEnd w:id="25"/>
    <w:bookmarkStart w:id="28" w:name="governance-updates"/>
    <w:p>
      <w:pPr>
        <w:pStyle w:val="Heading2"/>
      </w:pPr>
      <w:r>
        <w:t xml:space="preserve">6. Governance Updates</w:t>
      </w:r>
    </w:p>
    <w:bookmarkStart w:id="26" w:name="rules-coverage-ledger-rcl"/>
    <w:p>
      <w:pPr>
        <w:pStyle w:val="Heading3"/>
      </w:pPr>
      <w:r>
        <w:t xml:space="preserve">6.1 Rules Coverage Ledger (RCL)</w:t>
      </w:r>
    </w:p>
    <w:p>
      <w:pPr>
        <w:pStyle w:val="FirstParagraph"/>
      </w:pPr>
      <w:r>
        <w:t xml:space="preserve">The RCL MUST:</w:t>
      </w:r>
      <w:r>
        <w:t xml:space="preserve"> </w:t>
      </w:r>
      <w:r>
        <w:t xml:space="preserve">- Record Triggered Reactions as a deferred kernel</w:t>
      </w:r>
      <w:r>
        <w:t xml:space="preserve"> </w:t>
      </w:r>
      <w:r>
        <w:t xml:space="preserve">- Record Poison and Disease as CP-18+ duration/delayed-effects extensions</w:t>
      </w:r>
      <w:r>
        <w:t xml:space="preserve"> </w:t>
      </w:r>
      <w:r>
        <w:t xml:space="preserve">- Mark Monster Manual mechanics as structurally closed</w:t>
      </w:r>
    </w:p>
    <w:bookmarkEnd w:id="26"/>
    <w:bookmarkStart w:id="27" w:name="structural-kernel-register-skr"/>
    <w:p>
      <w:pPr>
        <w:pStyle w:val="Heading3"/>
      </w:pPr>
      <w:r>
        <w:t xml:space="preserve">6.2 Structural Kernel Register (SKR)</w:t>
      </w:r>
    </w:p>
    <w:p>
      <w:pPr>
        <w:pStyle w:val="FirstParagraph"/>
      </w:pPr>
      <w:r>
        <w:t xml:space="preserve">The SKR is now designated as a</w:t>
      </w:r>
      <w:r>
        <w:t xml:space="preserve"> </w:t>
      </w:r>
      <w:r>
        <w:rPr>
          <w:b/>
          <w:bCs/>
        </w:rPr>
        <w:t xml:space="preserve">required project artifact</w:t>
      </w:r>
      <w:r>
        <w:t xml:space="preserve"> </w:t>
      </w:r>
      <w:r>
        <w:t xml:space="preserve">and MUST list:</w:t>
      </w:r>
      <w:r>
        <w:t xml:space="preserve"> </w:t>
      </w:r>
      <w:r>
        <w:t xml:space="preserve">- All known structural kernels</w:t>
      </w:r>
      <w:r>
        <w:t xml:space="preserve"> </w:t>
      </w:r>
      <w:r>
        <w:t xml:space="preserve">- Their status (Implemented / Planned / Deferred)</w:t>
      </w:r>
      <w:r>
        <w:t xml:space="preserve"> </w:t>
      </w:r>
      <w:r>
        <w:t xml:space="preserve">- Owning packet (CP-##)</w:t>
      </w:r>
      <w:r>
        <w:t xml:space="preserve"> </w:t>
      </w:r>
      <w:r>
        <w:t xml:space="preserve">- Blocking status</w:t>
      </w:r>
    </w:p>
    <w:p>
      <w:pPr>
        <w:pStyle w:val="BodyText"/>
      </w:pPr>
      <w:r>
        <w:t xml:space="preserve">Future packet design MUST reference the SKR explicitly.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mmary"/>
    <w:p>
      <w:pPr>
        <w:pStyle w:val="Heading2"/>
      </w:pPr>
      <w:r>
        <w:t xml:space="preserve">7. Summary</w:t>
      </w:r>
    </w:p>
    <w:p>
      <w:pPr>
        <w:pStyle w:val="FirstParagraph"/>
      </w:pPr>
      <w:r>
        <w:t xml:space="preserve">This amendment locks in the results of extensive audit work, formally declares structural closure of the Core Rulebooks, and prevents silent reintroduction of already-analyzed mechanics.</w:t>
      </w:r>
    </w:p>
    <w:p>
      <w:pPr>
        <w:pStyle w:val="BodyText"/>
      </w:pPr>
      <w:r>
        <w:t xml:space="preserve">With this amendment in force, future development can proceed with high confidence that architectural boundaries are known, tracked, and enforced.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2026-02-08T03:42:48Z</dcterms:created>
  <dcterms:modified xsi:type="dcterms:W3CDTF">2026-02-08T03:42:48Z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