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9a05d34b270b3ee7e2a9c489bc9331e6bfdf66"/>
    <w:p>
      <w:pPr>
        <w:pStyle w:val="Heading1"/>
      </w:pPr>
      <w:r>
        <w:t xml:space="preserve">Action Plan Update — PHB/DMG Gap Audit &amp; Next Packets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updates the AI-DM action plan following CP-10–CP-12 completion and initiates a parallel PHB/DMG audit to ensure rules coverage is deliberate, explicit, and sequenced without violating determinism or event-sourcing constraints.</w:t>
      </w:r>
    </w:p>
    <w:bookmarkEnd w:id="20"/>
    <w:bookmarkStart w:id="21" w:name="current-built-scope-locked"/>
    <w:p>
      <w:pPr>
        <w:pStyle w:val="Heading2"/>
      </w:pPr>
      <w:r>
        <w:t xml:space="preserve">Current Built Scope (Locked)</w:t>
      </w:r>
    </w:p>
    <w:p>
      <w:pPr>
        <w:pStyle w:val="Compact"/>
        <w:numPr>
          <w:ilvl w:val="0"/>
          <w:numId w:val="1001"/>
        </w:numPr>
      </w:pPr>
      <w:r>
        <w:t xml:space="preserve">Deterministic, event-sourced core with replay guarantees.</w:t>
      </w:r>
    </w:p>
    <w:p>
      <w:pPr>
        <w:pStyle w:val="Compact"/>
        <w:numPr>
          <w:ilvl w:val="0"/>
          <w:numId w:val="1001"/>
        </w:numPr>
      </w:pPr>
      <w:r>
        <w:t xml:space="preserve">Combat mechanics:</w:t>
      </w:r>
    </w:p>
    <w:p>
      <w:pPr>
        <w:pStyle w:val="Compact"/>
        <w:numPr>
          <w:ilvl w:val="1"/>
          <w:numId w:val="1002"/>
        </w:numPr>
      </w:pPr>
      <w:r>
        <w:t xml:space="preserve">CP-10: Single attack resolution (d20 vs AC, damage, HP, defeat).</w:t>
      </w:r>
    </w:p>
    <w:p>
      <w:pPr>
        <w:pStyle w:val="Compact"/>
        <w:numPr>
          <w:ilvl w:val="1"/>
          <w:numId w:val="1002"/>
        </w:numPr>
      </w:pPr>
      <w:r>
        <w:t xml:space="preserve">CP-11: Full attack sequences, iterative BAB, critical threat/confirm/multipliers.</w:t>
      </w:r>
    </w:p>
    <w:p>
      <w:pPr>
        <w:pStyle w:val="Compact"/>
        <w:numPr>
          <w:ilvl w:val="1"/>
          <w:numId w:val="1002"/>
        </w:numPr>
      </w:pPr>
      <w:r>
        <w:t xml:space="preserve">CP-12: Play-loop integration for player combat intents with validation and narration tokens.</w:t>
      </w:r>
    </w:p>
    <w:p>
      <w:pPr>
        <w:pStyle w:val="Compact"/>
        <w:numPr>
          <w:ilvl w:val="0"/>
          <w:numId w:val="1001"/>
        </w:numPr>
      </w:pPr>
      <w:r>
        <w:t xml:space="preserve">Monster combat mapping authorized (CP-13) with bounded scope.</w:t>
      </w:r>
    </w:p>
    <w:bookmarkEnd w:id="21"/>
    <w:bookmarkStart w:id="22" w:name="audit-finding-rulebook-coverage-status"/>
    <w:p>
      <w:pPr>
        <w:pStyle w:val="Heading2"/>
      </w:pPr>
      <w:r>
        <w:t xml:space="preserve">Audit Finding: Rulebook Coverage Status</w:t>
      </w:r>
    </w:p>
    <w:p>
      <w:pPr>
        <w:pStyle w:val="FirstParagraph"/>
      </w:pPr>
      <w:r>
        <w:t xml:space="preserve">The system currently implements a</w:t>
      </w:r>
      <w:r>
        <w:t xml:space="preserve"> </w:t>
      </w:r>
      <w:r>
        <w:rPr>
          <w:b/>
          <w:bCs/>
        </w:rPr>
        <w:t xml:space="preserve">combat micro-kernel</w:t>
      </w:r>
      <w:r>
        <w:t xml:space="preserve">. Core PHB/DMG combat-round foundations remain intentionally unimplemented:</w:t>
      </w:r>
      <w:r>
        <w:t xml:space="preserve"> </w:t>
      </w:r>
      <w:r>
        <w:t xml:space="preserve">- Initiative &amp; surprise.</w:t>
      </w:r>
      <w:r>
        <w:t xml:space="preserve"> </w:t>
      </w:r>
      <w:r>
        <w:t xml:space="preserve">- Action economy (standard/move/full/5-ft step).</w:t>
      </w:r>
      <w:r>
        <w:t xml:space="preserve"> </w:t>
      </w:r>
      <w:r>
        <w:t xml:space="preserve">- Movement &amp; positioning legality.</w:t>
      </w:r>
      <w:r>
        <w:t xml:space="preserve"> </w:t>
      </w:r>
      <w:r>
        <w:t xml:space="preserve">- Attacks of Opportunity (AoO).</w:t>
      </w:r>
      <w:r>
        <w:t xml:space="preserve"> </w:t>
      </w:r>
      <w:r>
        <w:t xml:space="preserve">- Conditions with mechanical modifiers.</w:t>
      </w:r>
      <w:r>
        <w:t xml:space="preserve"> </w:t>
      </w:r>
      <w:r>
        <w:t xml:space="preserve">- Saves, skills, spell resolution, and DMG subsystems (XP/treasure) are deferred.</w:t>
      </w:r>
    </w:p>
    <w:bookmarkEnd w:id="22"/>
    <w:bookmarkStart w:id="23" w:name="parallel-phbdmg-audit-assigned"/>
    <w:p>
      <w:pPr>
        <w:pStyle w:val="Heading2"/>
      </w:pPr>
      <w:r>
        <w:t xml:space="preserve">Parallel PHB/DMG Audit (Assigned)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Claude Code (parallel audit)</w:t>
      </w:r>
      <w:r>
        <w:t xml:space="preserve"> </w:t>
      </w:r>
      <w:r>
        <w:rPr>
          <w:b/>
          <w:bCs/>
        </w:rPr>
        <w:t xml:space="preserve">Inputs:</w:t>
      </w:r>
      <w:r>
        <w:t xml:space="preserve"> </w:t>
      </w:r>
      <w:r>
        <w:t xml:space="preserve">Local rulebooks (PHB, DMG, MM) available at F:</w:t>
      </w:r>
      <w:r>
        <w:t xml:space="preserve">Rulebooks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- A concise gap matrix mapping PHB/DMG chapters → engine capabilities.</w:t>
      </w:r>
      <w:r>
        <w:t xml:space="preserve"> </w:t>
      </w:r>
      <w:r>
        <w:t xml:space="preserve">- Page/section references for:</w:t>
      </w:r>
      <w:r>
        <w:t xml:space="preserve"> </w:t>
      </w:r>
      <w:r>
        <w:t xml:space="preserve">- Initiative &amp; surprise</w:t>
      </w:r>
      <w:r>
        <w:t xml:space="preserve"> </w:t>
      </w:r>
      <w:r>
        <w:t xml:space="preserve">- Action types &amp; economy</w:t>
      </w:r>
      <w:r>
        <w:t xml:space="preserve"> </w:t>
      </w:r>
      <w:r>
        <w:t xml:space="preserve">- Movement &amp; AoO</w:t>
      </w:r>
      <w:r>
        <w:t xml:space="preserve"> </w:t>
      </w:r>
      <w:r>
        <w:t xml:space="preserve">- Conditions &amp; modifiers</w:t>
      </w:r>
      <w:r>
        <w:t xml:space="preserve"> </w:t>
      </w:r>
      <w:r>
        <w:t xml:space="preserve">- Notes on any rules that materially impact determinism/event schemas.</w:t>
      </w:r>
    </w:p>
    <w:bookmarkEnd w:id="23"/>
    <w:bookmarkStart w:id="30" w:name="action-plan-next-packets-proposed"/>
    <w:p>
      <w:pPr>
        <w:pStyle w:val="Heading2"/>
      </w:pPr>
      <w:r>
        <w:t xml:space="preserve">Action Plan — Next Packets (Proposed)</w:t>
      </w:r>
    </w:p>
    <w:bookmarkStart w:id="24" w:name="X8f03038b74d61549b124e4c9a4bd9444defb9fa"/>
    <w:p>
      <w:pPr>
        <w:pStyle w:val="Heading3"/>
      </w:pPr>
      <w:r>
        <w:t xml:space="preserve">CP-13 — Monster Combat Integration (In Progress)</w:t>
      </w:r>
    </w:p>
    <w:p>
      <w:pPr>
        <w:pStyle w:val="Compact"/>
        <w:numPr>
          <w:ilvl w:val="0"/>
          <w:numId w:val="1003"/>
        </w:numPr>
      </w:pPr>
      <w:r>
        <w:t xml:space="preserve">Map limited tactics → AttackIntent (no FullAttackIntent for monsters).</w:t>
      </w:r>
    </w:p>
    <w:p>
      <w:pPr>
        <w:pStyle w:val="Compact"/>
        <w:numPr>
          <w:ilvl w:val="0"/>
          <w:numId w:val="1003"/>
        </w:numPr>
      </w:pPr>
      <w:r>
        <w:t xml:space="preserve">Weapon + attack_bonus sourced from MonsterDoctrine (optional; fail-closed).</w:t>
      </w:r>
    </w:p>
    <w:bookmarkEnd w:id="24"/>
    <w:bookmarkStart w:id="25" w:name="cp-14-initiative-round-controller"/>
    <w:p>
      <w:pPr>
        <w:pStyle w:val="Heading3"/>
      </w:pPr>
      <w:r>
        <w:t xml:space="preserve">CP-14 — Initiative &amp; Round Controller</w:t>
      </w:r>
    </w:p>
    <w:p>
      <w:pPr>
        <w:pStyle w:val="Compact"/>
        <w:numPr>
          <w:ilvl w:val="0"/>
          <w:numId w:val="1004"/>
        </w:numPr>
      </w:pPr>
      <w:r>
        <w:t xml:space="preserve">Deterministic initiative order and round advancement events.</w:t>
      </w:r>
    </w:p>
    <w:p>
      <w:pPr>
        <w:pStyle w:val="Compact"/>
        <w:numPr>
          <w:ilvl w:val="0"/>
          <w:numId w:val="1004"/>
        </w:numPr>
      </w:pPr>
      <w:r>
        <w:t xml:space="preserve">Surprise round support (minimal).</w:t>
      </w:r>
    </w:p>
    <w:p>
      <w:pPr>
        <w:pStyle w:val="Compact"/>
        <w:numPr>
          <w:ilvl w:val="0"/>
          <w:numId w:val="1004"/>
        </w:numPr>
      </w:pPr>
      <w:r>
        <w:t xml:space="preserve">Acceptance: identical seeds → identical initiative order and turn sequence.</w:t>
      </w:r>
    </w:p>
    <w:bookmarkEnd w:id="25"/>
    <w:bookmarkStart w:id="26" w:name="cp-15-action-economy-kernel"/>
    <w:p>
      <w:pPr>
        <w:pStyle w:val="Heading3"/>
      </w:pPr>
      <w:r>
        <w:t xml:space="preserve">CP-15 — Action Economy Kernel</w:t>
      </w:r>
    </w:p>
    <w:p>
      <w:pPr>
        <w:pStyle w:val="Compact"/>
        <w:numPr>
          <w:ilvl w:val="0"/>
          <w:numId w:val="1005"/>
        </w:numPr>
      </w:pPr>
      <w:r>
        <w:t xml:space="preserve">Standard/move/full actions; 5-ft step legality.</w:t>
      </w:r>
    </w:p>
    <w:p>
      <w:pPr>
        <w:pStyle w:val="Compact"/>
        <w:numPr>
          <w:ilvl w:val="0"/>
          <w:numId w:val="1005"/>
        </w:numPr>
      </w:pPr>
      <w:r>
        <w:t xml:space="preserve">Action legality validation with explicit events.</w:t>
      </w:r>
    </w:p>
    <w:bookmarkEnd w:id="26"/>
    <w:bookmarkStart w:id="27" w:name="cp-16-movement-positioning-minimal"/>
    <w:p>
      <w:pPr>
        <w:pStyle w:val="Heading3"/>
      </w:pPr>
      <w:r>
        <w:t xml:space="preserve">CP-16 — Movement &amp; Positioning (Minimal)</w:t>
      </w:r>
    </w:p>
    <w:p>
      <w:pPr>
        <w:pStyle w:val="Compact"/>
        <w:numPr>
          <w:ilvl w:val="0"/>
          <w:numId w:val="1006"/>
        </w:numPr>
      </w:pPr>
      <w:r>
        <w:t xml:space="preserve">Coordinates/grid, speed, distance checks.</w:t>
      </w:r>
    </w:p>
    <w:p>
      <w:pPr>
        <w:pStyle w:val="Compact"/>
        <w:numPr>
          <w:ilvl w:val="0"/>
          <w:numId w:val="1006"/>
        </w:numPr>
      </w:pPr>
      <w:r>
        <w:t xml:space="preserve">Enable melee reach vs ranged legality; no cover/LoS yet.</w:t>
      </w:r>
    </w:p>
    <w:bookmarkEnd w:id="27"/>
    <w:bookmarkStart w:id="28" w:name="cp-17-aoo-kernel"/>
    <w:p>
      <w:pPr>
        <w:pStyle w:val="Heading3"/>
      </w:pPr>
      <w:r>
        <w:t xml:space="preserve">CP-17 — AoO Kernel</w:t>
      </w:r>
    </w:p>
    <w:p>
      <w:pPr>
        <w:pStyle w:val="Compact"/>
        <w:numPr>
          <w:ilvl w:val="0"/>
          <w:numId w:val="1007"/>
        </w:numPr>
      </w:pPr>
      <w:r>
        <w:t xml:space="preserve">Threatened squares, provoking actions, reach.</w:t>
      </w:r>
    </w:p>
    <w:p>
      <w:pPr>
        <w:pStyle w:val="Compact"/>
        <w:numPr>
          <w:ilvl w:val="0"/>
          <w:numId w:val="1007"/>
        </w:numPr>
      </w:pPr>
      <w:r>
        <w:t xml:space="preserve">Deterministic triggers and resolution routing.</w:t>
      </w:r>
    </w:p>
    <w:bookmarkEnd w:id="28"/>
    <w:bookmarkStart w:id="29" w:name="cp-18-conditions-framework"/>
    <w:p>
      <w:pPr>
        <w:pStyle w:val="Heading3"/>
      </w:pPr>
      <w:r>
        <w:t xml:space="preserve">CP-18 — Conditions Framework</w:t>
      </w:r>
    </w:p>
    <w:p>
      <w:pPr>
        <w:pStyle w:val="Compact"/>
        <w:numPr>
          <w:ilvl w:val="0"/>
          <w:numId w:val="1008"/>
        </w:numPr>
      </w:pPr>
      <w:r>
        <w:t xml:space="preserve">Condition schema; application/removal via events.</w:t>
      </w:r>
    </w:p>
    <w:p>
      <w:pPr>
        <w:pStyle w:val="Compact"/>
        <w:numPr>
          <w:ilvl w:val="0"/>
          <w:numId w:val="1008"/>
        </w:numPr>
      </w:pPr>
      <w:r>
        <w:t xml:space="preserve">Modifier pipeline (AC/attack/movement).</w:t>
      </w:r>
    </w:p>
    <w:bookmarkEnd w:id="29"/>
    <w:bookmarkEnd w:id="30"/>
    <w:bookmarkStart w:id="31" w:name="governance-notes"/>
    <w:p>
      <w:pPr>
        <w:pStyle w:val="Heading2"/>
      </w:pPr>
      <w:r>
        <w:t xml:space="preserve">Governance Notes</w:t>
      </w:r>
    </w:p>
    <w:p>
      <w:pPr>
        <w:pStyle w:val="Compact"/>
        <w:numPr>
          <w:ilvl w:val="0"/>
          <w:numId w:val="1009"/>
        </w:numPr>
      </w:pPr>
      <w:r>
        <w:t xml:space="preserve">Rulebook retrieval/indexing reliability is a prerequisite for citation-grade audits.</w:t>
      </w:r>
    </w:p>
    <w:p>
      <w:pPr>
        <w:pStyle w:val="Compact"/>
        <w:numPr>
          <w:ilvl w:val="0"/>
          <w:numId w:val="1009"/>
        </w:numPr>
      </w:pPr>
      <w:r>
        <w:t xml:space="preserve">Test runtime invariant (&lt;2s) remains enforced; slow OCR/index tests must be marked.</w:t>
      </w:r>
    </w:p>
    <w:p>
      <w:pPr>
        <w:pStyle w:val="Compact"/>
        <w:numPr>
          <w:ilvl w:val="0"/>
          <w:numId w:val="1009"/>
        </w:numPr>
      </w:pPr>
      <w:r>
        <w:t xml:space="preserve">No packet may expand scope beyond its acceptance tests.</w:t>
      </w:r>
    </w:p>
    <w:bookmarkEnd w:id="31"/>
    <w:bookmarkStart w:id="32" w:name="open-questions-to-resolve-post-audit"/>
    <w:p>
      <w:pPr>
        <w:pStyle w:val="Heading2"/>
      </w:pPr>
      <w:r>
        <w:t xml:space="preserve">Open Questions (To Resolve Post-Audit)</w:t>
      </w:r>
    </w:p>
    <w:p>
      <w:pPr>
        <w:pStyle w:val="Compact"/>
        <w:numPr>
          <w:ilvl w:val="0"/>
          <w:numId w:val="1010"/>
        </w:numPr>
      </w:pPr>
      <w:r>
        <w:t xml:space="preserve">Exact PHB page anchors for initiative/action/AoO rules.</w:t>
      </w:r>
    </w:p>
    <w:p>
      <w:pPr>
        <w:pStyle w:val="Compact"/>
        <w:numPr>
          <w:ilvl w:val="0"/>
          <w:numId w:val="1010"/>
        </w:numPr>
      </w:pPr>
      <w:r>
        <w:t xml:space="preserve">Whether schema_versioning is required before CP-14.</w:t>
      </w:r>
    </w:p>
    <w:p>
      <w:pPr>
        <w:pStyle w:val="Compact"/>
        <w:numPr>
          <w:ilvl w:val="0"/>
          <w:numId w:val="1010"/>
        </w:numPr>
      </w:pPr>
      <w:r>
        <w:t xml:space="preserve">When to introduce saves/skills vs spellcasting MVP.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2026-02-08T01:31:20Z</dcterms:created>
  <dcterms:modified xsi:type="dcterms:W3CDTF">2026-02-08T01:31:20Z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