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7cd547ea9fee89f204343ca2b172ebaef1eed2"/>
    <w:p>
      <w:pPr>
        <w:pStyle w:val="Heading1"/>
      </w:pPr>
      <w:r>
        <w:t xml:space="preserve">Alignment, Divine Influence &amp; Moral Trajectory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 Intent (Non-Binding)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This document defines how alignment functions as a living narrative and evaluative system across campaigns, sessions, and character arcs. It clarifies how player behavior, divine expectations, and long-term consequences interact—without imposing deterministic control or removing player agency.</w:t>
      </w:r>
    </w:p>
    <w:p>
      <w:r>
        <w:pict>
          <v:rect style="width:0;height:1.5pt" o:hralign="center" o:hrstd="t" o:hr="t"/>
        </w:pict>
      </w:r>
    </w:p>
    <w:bookmarkStart w:id="20" w:name="design-goals"/>
    <w:p>
      <w:pPr>
        <w:pStyle w:val="Heading2"/>
      </w:pPr>
      <w:r>
        <w:t xml:space="preserve">1. Design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alignment matter without restricting choice</w:t>
      </w:r>
    </w:p>
    <w:p>
      <w:pPr>
        <w:pStyle w:val="Compact"/>
        <w:numPr>
          <w:ilvl w:val="1"/>
          <w:numId w:val="1002"/>
        </w:numPr>
      </w:pPr>
      <w:r>
        <w:t xml:space="preserve">Alignment must shape the world’s response, not limit player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long-term character arcs</w:t>
      </w:r>
    </w:p>
    <w:p>
      <w:pPr>
        <w:pStyle w:val="Compact"/>
        <w:numPr>
          <w:ilvl w:val="1"/>
          <w:numId w:val="1003"/>
        </w:numPr>
      </w:pPr>
      <w:r>
        <w:t xml:space="preserve">Alignment should drift gradually in response to consistent patterns of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Restore narrative relevance of gods and religion</w:t>
      </w:r>
    </w:p>
    <w:p>
      <w:pPr>
        <w:pStyle w:val="Compact"/>
        <w:numPr>
          <w:ilvl w:val="1"/>
          <w:numId w:val="1004"/>
        </w:numPr>
      </w:pPr>
      <w:r>
        <w:t xml:space="preserve">Deities must function as active evaluators of behavior, not abstract labels.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 structure for narrative intelligence</w:t>
      </w:r>
    </w:p>
    <w:p>
      <w:pPr>
        <w:pStyle w:val="Compact"/>
        <w:numPr>
          <w:ilvl w:val="1"/>
          <w:numId w:val="1005"/>
        </w:numPr>
      </w:pPr>
      <w:r>
        <w:t xml:space="preserve">The language model is given clear evaluative context so it can respond with meaningful tone, tension, and consequence.</w:t>
      </w:r>
    </w:p>
    <w:p>
      <w:r>
        <w:pict>
          <v:rect style="width:0;height:1.5pt" o:hralign="center" o:hrstd="t" o:hr="t"/>
        </w:pict>
      </w:r>
    </w:p>
    <w:bookmarkEnd w:id="20"/>
    <w:bookmarkStart w:id="21" w:name="alignment-as-an-emergent-property"/>
    <w:p>
      <w:pPr>
        <w:pStyle w:val="Heading2"/>
      </w:pPr>
      <w:r>
        <w:t xml:space="preserve">2. Alignment as an Emergent Property</w:t>
      </w:r>
    </w:p>
    <w:p>
      <w:pPr>
        <w:pStyle w:val="Compact"/>
        <w:numPr>
          <w:ilvl w:val="0"/>
          <w:numId w:val="1006"/>
        </w:numPr>
      </w:pPr>
      <w:r>
        <w:t xml:space="preserve">Alignment is not a rule constraint or permission system.</w:t>
      </w:r>
    </w:p>
    <w:p>
      <w:pPr>
        <w:pStyle w:val="Compact"/>
        <w:numPr>
          <w:ilvl w:val="0"/>
          <w:numId w:val="1006"/>
        </w:numPr>
      </w:pPr>
      <w:r>
        <w:t xml:space="preserve">Alignment is an</w:t>
      </w:r>
      <w:r>
        <w:t xml:space="preserve"> </w:t>
      </w:r>
      <w:r>
        <w:rPr>
          <w:b/>
          <w:bCs/>
        </w:rPr>
        <w:t xml:space="preserve">emergent summary</w:t>
      </w:r>
      <w:r>
        <w:t xml:space="preserve"> </w:t>
      </w:r>
      <w:r>
        <w:t xml:space="preserve">of accumulated actions and outcomes.</w:t>
      </w:r>
    </w:p>
    <w:p>
      <w:pPr>
        <w:pStyle w:val="FirstParagraph"/>
      </w:pPr>
      <w:r>
        <w:t xml:space="preserve">Key implications:</w:t>
      </w:r>
      <w:r>
        <w:t xml:space="preserve"> </w:t>
      </w:r>
      <w:r>
        <w:t xml:space="preserve">- Characters may act out of alignment.</w:t>
      </w:r>
      <w:r>
        <w:t xml:space="preserve"> </w:t>
      </w:r>
      <w:r>
        <w:t xml:space="preserve">- Single actions do not redefine alignment.</w:t>
      </w:r>
      <w:r>
        <w:t xml:space="preserve"> </w:t>
      </w:r>
      <w:r>
        <w:t xml:space="preserve">- Persistent behavior trends do.</w:t>
      </w:r>
    </w:p>
    <w:p>
      <w:pPr>
        <w:pStyle w:val="BodyText"/>
      </w:pPr>
      <w:r>
        <w:t xml:space="preserve">Declared alignment at character creation represents</w:t>
      </w:r>
      <w:r>
        <w:t xml:space="preserve"> </w:t>
      </w:r>
      <w:r>
        <w:rPr>
          <w:b/>
          <w:bCs/>
        </w:rPr>
        <w:t xml:space="preserve">intent</w:t>
      </w:r>
      <w:r>
        <w:t xml:space="preserve">, not destiny.</w:t>
      </w:r>
    </w:p>
    <w:p>
      <w:r>
        <w:pict>
          <v:rect style="width:0;height:1.5pt" o:hralign="center" o:hrstd="t" o:hr="t"/>
        </w:pict>
      </w:r>
    </w:p>
    <w:bookmarkEnd w:id="21"/>
    <w:bookmarkStart w:id="22" w:name="alignment-evidence-record"/>
    <w:p>
      <w:pPr>
        <w:pStyle w:val="Heading2"/>
      </w:pPr>
      <w:r>
        <w:t xml:space="preserve">3. Alignment Evidence Record</w:t>
      </w:r>
    </w:p>
    <w:p>
      <w:pPr>
        <w:pStyle w:val="FirstParagraph"/>
      </w:pPr>
      <w:r>
        <w:t xml:space="preserve">Each player character maintains an</w:t>
      </w:r>
      <w:r>
        <w:t xml:space="preserve"> </w:t>
      </w:r>
      <w:r>
        <w:rPr>
          <w:b/>
          <w:bCs/>
        </w:rPr>
        <w:t xml:space="preserve">Alignment Evidence Record</w:t>
      </w:r>
      <w:r>
        <w:t xml:space="preserve">, containing:</w:t>
      </w:r>
      <w:r>
        <w:t xml:space="preserve"> </w:t>
      </w:r>
      <w:r>
        <w:t xml:space="preserve">- Significant moral decisions</w:t>
      </w:r>
      <w:r>
        <w:t xml:space="preserve"> </w:t>
      </w:r>
      <w:r>
        <w:t xml:space="preserve">- Harm caused, allowed, or prevented</w:t>
      </w:r>
      <w:r>
        <w:t xml:space="preserve"> </w:t>
      </w:r>
      <w:r>
        <w:t xml:space="preserve">- Betrayals, loyalty, mercy, cruelty</w:t>
      </w:r>
      <w:r>
        <w:t xml:space="preserve"> </w:t>
      </w:r>
      <w:r>
        <w:t xml:space="preserve">- Sacrifices and self-interest</w:t>
      </w:r>
    </w:p>
    <w:p>
      <w:pPr>
        <w:pStyle w:val="BodyText"/>
      </w:pPr>
      <w:r>
        <w:t xml:space="preserve">Evidence is:</w:t>
      </w:r>
      <w:r>
        <w:t xml:space="preserve"> </w:t>
      </w:r>
      <w:r>
        <w:t xml:space="preserve">- Descriptive, not judgmental</w:t>
      </w:r>
      <w:r>
        <w:t xml:space="preserve"> </w:t>
      </w:r>
      <w:r>
        <w:t xml:space="preserve">- Cited to session events</w:t>
      </w:r>
      <w:r>
        <w:t xml:space="preserve"> </w:t>
      </w:r>
      <w:r>
        <w:t xml:space="preserve">- Evaluated over time, not per incident</w:t>
      </w:r>
    </w:p>
    <w:p>
      <w:r>
        <w:pict>
          <v:rect style="width:0;height:1.5pt" o:hralign="center" o:hrstd="t" o:hr="t"/>
        </w:pict>
      </w:r>
    </w:p>
    <w:bookmarkEnd w:id="22"/>
    <w:bookmarkStart w:id="26" w:name="alignment-evaluation-process"/>
    <w:p>
      <w:pPr>
        <w:pStyle w:val="Heading2"/>
      </w:pPr>
      <w:r>
        <w:t xml:space="preserve">4. Alignment Evaluation Process</w:t>
      </w:r>
    </w:p>
    <w:bookmarkStart w:id="23" w:name="gradual-evaluation"/>
    <w:p>
      <w:pPr>
        <w:pStyle w:val="Heading3"/>
      </w:pPr>
      <w:r>
        <w:t xml:space="preserve">4.1 Gradual Evaluation</w:t>
      </w:r>
    </w:p>
    <w:p>
      <w:pPr>
        <w:pStyle w:val="Compact"/>
        <w:numPr>
          <w:ilvl w:val="0"/>
          <w:numId w:val="1007"/>
        </w:numPr>
      </w:pPr>
      <w:r>
        <w:t xml:space="preserve">Alignment is evaluated periodically, not continuously.</w:t>
      </w:r>
    </w:p>
    <w:p>
      <w:pPr>
        <w:pStyle w:val="Compact"/>
        <w:numPr>
          <w:ilvl w:val="0"/>
          <w:numId w:val="1007"/>
        </w:numPr>
      </w:pPr>
      <w:r>
        <w:t xml:space="preserve">Evaluation windows span multiple sessions.</w:t>
      </w:r>
    </w:p>
    <w:bookmarkEnd w:id="23"/>
    <w:bookmarkStart w:id="24" w:name="threshold-based-drift"/>
    <w:p>
      <w:pPr>
        <w:pStyle w:val="Heading3"/>
      </w:pPr>
      <w:r>
        <w:t xml:space="preserve">4.2 Threshold-Based Drift</w:t>
      </w:r>
    </w:p>
    <w:p>
      <w:pPr>
        <w:pStyle w:val="Compact"/>
        <w:numPr>
          <w:ilvl w:val="0"/>
          <w:numId w:val="1008"/>
        </w:numPr>
      </w:pPr>
      <w:r>
        <w:t xml:space="preserve">Alignment shifts only when evidence crosses meaningful thresholds.</w:t>
      </w:r>
    </w:p>
    <w:p>
      <w:pPr>
        <w:pStyle w:val="Compact"/>
        <w:numPr>
          <w:ilvl w:val="0"/>
          <w:numId w:val="1008"/>
        </w:numPr>
      </w:pPr>
      <w:r>
        <w:t xml:space="preserve">Shifts are surfaced explicitly to players when they occur.</w:t>
      </w:r>
    </w:p>
    <w:bookmarkEnd w:id="24"/>
    <w:bookmarkStart w:id="25" w:name="transparency"/>
    <w:p>
      <w:pPr>
        <w:pStyle w:val="Heading3"/>
      </w:pPr>
      <w:r>
        <w:t xml:space="preserve">4.3 Transparency</w:t>
      </w:r>
    </w:p>
    <w:p>
      <w:pPr>
        <w:pStyle w:val="Compact"/>
        <w:numPr>
          <w:ilvl w:val="0"/>
          <w:numId w:val="1009"/>
        </w:numPr>
      </w:pPr>
      <w:r>
        <w:t xml:space="preserve">When alignment changes, the system explains</w:t>
      </w:r>
      <w:r>
        <w:t xml:space="preserve"> </w:t>
      </w:r>
      <w:r>
        <w:rPr>
          <w:b/>
          <w:bCs/>
        </w:rPr>
        <w:t xml:space="preserve">why</w:t>
      </w:r>
      <w:r>
        <w:t xml:space="preserve">, citing prior actions.</w:t>
      </w:r>
    </w:p>
    <w:p>
      <w:pPr>
        <w:pStyle w:val="Compact"/>
        <w:numPr>
          <w:ilvl w:val="0"/>
          <w:numId w:val="1009"/>
        </w:numPr>
      </w:pPr>
      <w:r>
        <w:t xml:space="preserve">No silent or retroactive alignment changes are allowed.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ivine-alignment-religious-consequences"/>
    <w:p>
      <w:pPr>
        <w:pStyle w:val="Heading2"/>
      </w:pPr>
      <w:r>
        <w:t xml:space="preserve">5. Divine Alignment &amp; Religious Consequences</w:t>
      </w:r>
    </w:p>
    <w:bookmarkStart w:id="27" w:name="deities-as-value-systems"/>
    <w:p>
      <w:pPr>
        <w:pStyle w:val="Heading3"/>
      </w:pPr>
      <w:r>
        <w:t xml:space="preserve">5.1 Deities as Value Systems</w:t>
      </w:r>
    </w:p>
    <w:p>
      <w:pPr>
        <w:pStyle w:val="Compact"/>
        <w:numPr>
          <w:ilvl w:val="0"/>
          <w:numId w:val="1010"/>
        </w:numPr>
      </w:pPr>
      <w:r>
        <w:t xml:space="preserve">Each deity embodies specific values and alignment constraints.</w:t>
      </w:r>
    </w:p>
    <w:p>
      <w:pPr>
        <w:pStyle w:val="Compact"/>
        <w:numPr>
          <w:ilvl w:val="0"/>
          <w:numId w:val="1010"/>
        </w:numPr>
      </w:pPr>
      <w:r>
        <w:t xml:space="preserve">Deities evaluate</w:t>
      </w:r>
      <w:r>
        <w:t xml:space="preserve"> </w:t>
      </w:r>
      <w:r>
        <w:rPr>
          <w:b/>
          <w:bCs/>
        </w:rPr>
        <w:t xml:space="preserve">behavior</w:t>
      </w:r>
      <w:r>
        <w:t xml:space="preserve">, not labels.</w:t>
      </w:r>
    </w:p>
    <w:bookmarkEnd w:id="27"/>
    <w:bookmarkStart w:id="28" w:name="favor-and-disfavor"/>
    <w:p>
      <w:pPr>
        <w:pStyle w:val="Heading3"/>
      </w:pPr>
      <w:r>
        <w:t xml:space="preserve">5.2 Favor and Disfavor</w:t>
      </w:r>
    </w:p>
    <w:p>
      <w:pPr>
        <w:pStyle w:val="Compact"/>
        <w:numPr>
          <w:ilvl w:val="0"/>
          <w:numId w:val="1011"/>
        </w:numPr>
      </w:pPr>
      <w:r>
        <w:t xml:space="preserve">Divine favor reflects alignment congruence over time.</w:t>
      </w:r>
    </w:p>
    <w:p>
      <w:pPr>
        <w:pStyle w:val="Compact"/>
        <w:numPr>
          <w:ilvl w:val="0"/>
          <w:numId w:val="1011"/>
        </w:numPr>
      </w:pPr>
      <w:r>
        <w:t xml:space="preserve">Drift may result in:</w:t>
      </w:r>
    </w:p>
    <w:p>
      <w:pPr>
        <w:pStyle w:val="Compact"/>
        <w:numPr>
          <w:ilvl w:val="1"/>
          <w:numId w:val="1012"/>
        </w:numPr>
      </w:pPr>
      <w:r>
        <w:t xml:space="preserve">Diminished blessings</w:t>
      </w:r>
    </w:p>
    <w:p>
      <w:pPr>
        <w:pStyle w:val="Compact"/>
        <w:numPr>
          <w:ilvl w:val="1"/>
          <w:numId w:val="1012"/>
        </w:numPr>
      </w:pPr>
      <w:r>
        <w:t xml:space="preserve">Altered divine communication</w:t>
      </w:r>
    </w:p>
    <w:p>
      <w:pPr>
        <w:pStyle w:val="Compact"/>
        <w:numPr>
          <w:ilvl w:val="1"/>
          <w:numId w:val="1012"/>
        </w:numPr>
      </w:pPr>
      <w:r>
        <w:t xml:space="preserve">Withdrawal of granted powers (per rules)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 not punishments.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lass-specific-implications"/>
    <w:p>
      <w:pPr>
        <w:pStyle w:val="Heading2"/>
      </w:pPr>
      <w:r>
        <w:t xml:space="preserve">6. Class-Specific Implications</w:t>
      </w:r>
    </w:p>
    <w:p>
      <w:pPr>
        <w:pStyle w:val="Compact"/>
        <w:numPr>
          <w:ilvl w:val="0"/>
          <w:numId w:val="1013"/>
        </w:numPr>
      </w:pPr>
      <w:r>
        <w:t xml:space="preserve">Clerics, paladins, warlocks, and other divine casters are especially sensitive to alignment drift.</w:t>
      </w:r>
    </w:p>
    <w:p>
      <w:pPr>
        <w:pStyle w:val="Compact"/>
        <w:numPr>
          <w:ilvl w:val="0"/>
          <w:numId w:val="1013"/>
        </w:numPr>
      </w:pPr>
      <w:r>
        <w:t xml:space="preserve">Consequences are applied narratively first, mechanically second.</w:t>
      </w:r>
    </w:p>
    <w:p>
      <w:pPr>
        <w:pStyle w:val="Compact"/>
        <w:numPr>
          <w:ilvl w:val="0"/>
          <w:numId w:val="1013"/>
        </w:numPr>
      </w:pPr>
      <w:r>
        <w:t xml:space="preserve">Mechanical effects must be justified with recorded evidence.</w:t>
      </w:r>
    </w:p>
    <w:p>
      <w:r>
        <w:pict>
          <v:rect style="width:0;height:1.5pt" o:hralign="center" o:hrstd="t" o:hr="t"/>
        </w:pict>
      </w:r>
    </w:p>
    <w:bookmarkEnd w:id="30"/>
    <w:bookmarkStart w:id="31" w:name="narrative-use-in-dm-responses"/>
    <w:p>
      <w:pPr>
        <w:pStyle w:val="Heading2"/>
      </w:pPr>
      <w:r>
        <w:t xml:space="preserve">7. Narrative Use in DM Responses</w:t>
      </w:r>
    </w:p>
    <w:p>
      <w:pPr>
        <w:pStyle w:val="FirstParagraph"/>
      </w:pPr>
      <w:r>
        <w:t xml:space="preserve">Alignment informs:</w:t>
      </w:r>
      <w:r>
        <w:t xml:space="preserve"> </w:t>
      </w:r>
      <w:r>
        <w:t xml:space="preserve">- Tone of descriptions</w:t>
      </w:r>
      <w:r>
        <w:t xml:space="preserve"> </w:t>
      </w:r>
      <w:r>
        <w:t xml:space="preserve">- NPC expectations and reactions</w:t>
      </w:r>
      <w:r>
        <w:t xml:space="preserve"> </w:t>
      </w:r>
      <w:r>
        <w:t xml:space="preserve">- Internal conflict cues</w:t>
      </w:r>
      <w:r>
        <w:t xml:space="preserve"> </w:t>
      </w:r>
      <w:r>
        <w:t xml:space="preserve">- Divine omens, silence, or approval</w:t>
      </w:r>
    </w:p>
    <w:p>
      <w:pPr>
        <w:pStyle w:val="BodyText"/>
      </w:pPr>
      <w:r>
        <w:t xml:space="preserve">Alignment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Dictate dialogue choices</w:t>
      </w:r>
      <w:r>
        <w:t xml:space="preserve"> </w:t>
      </w:r>
      <w:r>
        <w:t xml:space="preserve">- Override player intent</w:t>
      </w:r>
      <w:r>
        <w:t xml:space="preserve"> </w:t>
      </w:r>
      <w:r>
        <w:t xml:space="preserve">- Remove agency</w:t>
      </w:r>
    </w:p>
    <w:p>
      <w:r>
        <w:pict>
          <v:rect style="width:0;height:1.5pt" o:hralign="center" o:hrstd="t" o:hr="t"/>
        </w:pict>
      </w:r>
    </w:p>
    <w:bookmarkEnd w:id="31"/>
    <w:bookmarkStart w:id="32" w:name="player-freedom-moral-uncertainty"/>
    <w:p>
      <w:pPr>
        <w:pStyle w:val="Heading2"/>
      </w:pPr>
      <w:r>
        <w:t xml:space="preserve">8. Player Freedom &amp; Moral Uncertainty</w:t>
      </w:r>
    </w:p>
    <w:p>
      <w:pPr>
        <w:pStyle w:val="Compact"/>
        <w:numPr>
          <w:ilvl w:val="0"/>
          <w:numId w:val="1014"/>
        </w:numPr>
      </w:pPr>
      <w:r>
        <w:t xml:space="preserve">Players may pursue redemption, corruption, or ambiguity freely.</w:t>
      </w:r>
    </w:p>
    <w:p>
      <w:pPr>
        <w:pStyle w:val="Compact"/>
        <w:numPr>
          <w:ilvl w:val="0"/>
          <w:numId w:val="1014"/>
        </w:numPr>
      </w:pPr>
      <w:r>
        <w:t xml:space="preserve">The system records outcomes without enforcing arcs.</w:t>
      </w:r>
    </w:p>
    <w:p>
      <w:pPr>
        <w:pStyle w:val="Compact"/>
        <w:numPr>
          <w:ilvl w:val="0"/>
          <w:numId w:val="1014"/>
        </w:numPr>
      </w:pPr>
      <w:r>
        <w:t xml:space="preserve">Moral uncertainty is preserved unless patterns clarify intent.</w:t>
      </w:r>
    </w:p>
    <w:p>
      <w:r>
        <w:pict>
          <v:rect style="width:0;height:1.5pt" o:hralign="center" o:hrstd="t" o:hr="t"/>
        </w:pict>
      </w:r>
    </w:p>
    <w:bookmarkEnd w:id="32"/>
    <w:bookmarkStart w:id="33" w:name="adult-unrestricted-themes"/>
    <w:p>
      <w:pPr>
        <w:pStyle w:val="Heading2"/>
      </w:pPr>
      <w:r>
        <w:t xml:space="preserve">9. Adult / Unrestricted Themes</w:t>
      </w:r>
    </w:p>
    <w:p>
      <w:pPr>
        <w:pStyle w:val="Compact"/>
        <w:numPr>
          <w:ilvl w:val="0"/>
          <w:numId w:val="1015"/>
        </w:numPr>
      </w:pPr>
      <w:r>
        <w:t xml:space="preserve">Alignment evaluation is content-agnostic.</w:t>
      </w:r>
    </w:p>
    <w:p>
      <w:pPr>
        <w:pStyle w:val="Compact"/>
        <w:numPr>
          <w:ilvl w:val="0"/>
          <w:numId w:val="1015"/>
        </w:numPr>
      </w:pPr>
      <w:r>
        <w:t xml:space="preserve">Mature themes (violence, betrayal, faith crises) are recorded without sanitization.</w:t>
      </w:r>
    </w:p>
    <w:p>
      <w:pPr>
        <w:pStyle w:val="Compact"/>
        <w:numPr>
          <w:ilvl w:val="0"/>
          <w:numId w:val="1015"/>
        </w:numPr>
      </w:pPr>
      <w:r>
        <w:t xml:space="preserve">Moral weight is contextual, not censored.</w:t>
      </w:r>
    </w:p>
    <w:p>
      <w:r>
        <w:pict>
          <v:rect style="width:0;height:1.5pt" o:hralign="center" o:hrstd="t" o:hr="t"/>
        </w:pict>
      </w:r>
    </w:p>
    <w:bookmarkEnd w:id="33"/>
    <w:bookmarkStart w:id="34" w:name="non-goals"/>
    <w:p>
      <w:pPr>
        <w:pStyle w:val="Heading2"/>
      </w:pPr>
      <w:r>
        <w:t xml:space="preserve">10. Non-Goals</w:t>
      </w:r>
    </w:p>
    <w:p>
      <w:pPr>
        <w:pStyle w:val="FirstParagraph"/>
      </w:pPr>
      <w:r>
        <w:t xml:space="preserve">This system does not:</w:t>
      </w:r>
      <w:r>
        <w:t xml:space="preserve"> </w:t>
      </w:r>
      <w:r>
        <w:t xml:space="preserve">- Enforce real-world morality</w:t>
      </w:r>
      <w:r>
        <w:t xml:space="preserve"> </w:t>
      </w:r>
      <w:r>
        <w:t xml:space="preserve">- Judge player intent</w:t>
      </w:r>
      <w:r>
        <w:t xml:space="preserve"> </w:t>
      </w:r>
      <w:r>
        <w:t xml:space="preserve">- Prevent any action</w:t>
      </w:r>
      <w:r>
        <w:t xml:space="preserve"> </w:t>
      </w:r>
      <w:r>
        <w:t xml:space="preserve">- Replace RAW mechanics</w:t>
      </w:r>
    </w:p>
    <w:p>
      <w:r>
        <w:pict>
          <v:rect style="width:0;height:1.5pt" o:hralign="center" o:hrstd="t" o:hr="t"/>
        </w:pict>
      </w:r>
    </w:p>
    <w:bookmarkEnd w:id="34"/>
    <w:bookmarkStart w:id="35" w:name="application-to-project-development"/>
    <w:p>
      <w:pPr>
        <w:pStyle w:val="Heading2"/>
      </w:pPr>
      <w:r>
        <w:t xml:space="preserve">11. Application to Project Development</w:t>
      </w:r>
    </w:p>
    <w:p>
      <w:pPr>
        <w:pStyle w:val="FirstParagraph"/>
      </w:pPr>
      <w:r>
        <w:t xml:space="preserve">Moving forward, this document implies:</w:t>
      </w:r>
      <w:r>
        <w:t xml:space="preserve"> </w:t>
      </w:r>
      <w:r>
        <w:t xml:space="preserve">- Alignment tracking schemas must be evidence-based</w:t>
      </w:r>
      <w:r>
        <w:t xml:space="preserve"> </w:t>
      </w:r>
      <w:r>
        <w:t xml:space="preserve">- Divine systems must reference evaluated alignment, not declarations</w:t>
      </w:r>
      <w:r>
        <w:t xml:space="preserve"> </w:t>
      </w:r>
      <w:r>
        <w:t xml:space="preserve">- Narrative generation should reference alignment trends when relevant</w:t>
      </w:r>
      <w:r>
        <w:t xml:space="preserve"> </w:t>
      </w:r>
      <w:r>
        <w:t xml:space="preserve">- No alignment-driven logic belongs in low-level resolvers</w:t>
      </w:r>
    </w:p>
    <w:p>
      <w:r>
        <w:pict>
          <v:rect style="width:0;height:1.5pt" o:hralign="center" o:hrstd="t" o:hr="t"/>
        </w:pict>
      </w:r>
    </w:p>
    <w:bookmarkEnd w:id="35"/>
    <w:bookmarkStart w:id="36" w:name="design-summary"/>
    <w:p>
      <w:pPr>
        <w:pStyle w:val="Heading2"/>
      </w:pPr>
      <w:r>
        <w:t xml:space="preserve">12. Design Summary</w:t>
      </w:r>
    </w:p>
    <w:p>
      <w:pPr>
        <w:pStyle w:val="FirstParagraph"/>
      </w:pPr>
      <w:r>
        <w:t xml:space="preserve">Alignment is treated as a slow-moving moral trajectory shaped by actions and consequences. Gods respond to lived behavior, not stated intent. This framework gives narrative intelligence the structure needed to produce meaningful, consistent, and consequence-rich storytelling over long campaigns.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2026-02-07T16:35:45Z</dcterms:created>
  <dcterms:modified xsi:type="dcterms:W3CDTF">2026-02-07T16:35:45Z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