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chitecture-decisions"/>
    <w:p>
      <w:pPr>
        <w:pStyle w:val="Heading1"/>
      </w:pPr>
      <w:r>
        <w:t xml:space="preserve">Architecture Decisions</w:t>
      </w:r>
    </w:p>
    <w:p>
      <w:pPr>
        <w:pStyle w:val="FirstParagraph"/>
      </w:pPr>
      <w:r>
        <w:t xml:space="preserve">This document records</w:t>
      </w:r>
      <w:r>
        <w:t xml:space="preserve"> </w:t>
      </w:r>
      <w:r>
        <w:rPr>
          <w:b/>
          <w:bCs/>
        </w:rPr>
        <w:t xml:space="preserve">architectural intent and design rationale</w:t>
      </w:r>
      <w:r>
        <w:t xml:space="preserve"> </w:t>
      </w:r>
      <w:r>
        <w:t xml:space="preserve">for the project.</w:t>
      </w:r>
      <w:r>
        <w:br/>
      </w:r>
      <w:r>
        <w:t xml:space="preserve">Its purpose is to preserve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certain choices were made, even if implementation happens later or evolves.</w:t>
      </w:r>
    </w:p>
    <w:p>
      <w:r>
        <w:pict>
          <v:rect style="width:0;height:1.5pt" o:hralign="center" o:hrstd="t" o:hr="t"/>
        </w:pict>
      </w:r>
    </w:p>
    <w:bookmarkStart w:id="29" w:name="X1583da076626aae449baaee0a8f547ea63bbe6c"/>
    <w:p>
      <w:pPr>
        <w:pStyle w:val="Heading2"/>
      </w:pPr>
      <w:r>
        <w:t xml:space="preserve">Decision 001 — Obsidian as Player-Facing Evidence Viewer (Not Source of Truth)</w:t>
      </w:r>
    </w:p>
    <w:bookmarkStart w:id="20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Documented (Intent Only)</w:t>
      </w:r>
      <w:r>
        <w:t xml:space="preserve"> </w:t>
      </w:r>
      <w:r>
        <w:t xml:space="preserve">— Not yet enforced as a required workflow component.</w:t>
      </w:r>
    </w:p>
    <w:bookmarkEnd w:id="20"/>
    <w:bookmarkStart w:id="21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During gameplay, players may challenge AI rulings (</w:t>
      </w:r>
      <w:r>
        <w:t xml:space="preserve">“rules lawyering”</w:t>
      </w:r>
      <w:r>
        <w:t xml:space="preserve">). Trust and acceptance increase significantly when rulings are supported by</w:t>
      </w:r>
      <w:r>
        <w:t xml:space="preserve"> </w:t>
      </w:r>
      <w:r>
        <w:rPr>
          <w:b/>
          <w:bCs/>
        </w:rPr>
        <w:t xml:space="preserve">verbatim Rules-As-Written (RAW)</w:t>
      </w:r>
      <w:r>
        <w:t xml:space="preserve"> </w:t>
      </w:r>
      <w:r>
        <w:t xml:space="preserve">citations that players can inspect themselves.</w:t>
      </w:r>
    </w:p>
    <w:p>
      <w:pPr>
        <w:pStyle w:val="BodyText"/>
      </w:pPr>
      <w:r>
        <w:t xml:space="preserve">An AI explanation alone is insufficient for high-trust adjudication. Players need a transparent, third-party–style reference that shows:</w:t>
      </w:r>
      <w:r>
        <w:t xml:space="preserve"> </w:t>
      </w:r>
      <w:r>
        <w:t xml:space="preserve">- The exact rule text</w:t>
      </w:r>
      <w:r>
        <w:t xml:space="preserve"> </w:t>
      </w:r>
      <w:r>
        <w:t xml:space="preserve">- The source book</w:t>
      </w:r>
      <w:r>
        <w:t xml:space="preserve"> </w:t>
      </w:r>
      <w:r>
        <w:t xml:space="preserve">- The page number</w:t>
      </w:r>
    </w:p>
    <w:bookmarkEnd w:id="21"/>
    <w:bookmarkStart w:id="22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If the AI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authority presenting rules:</w:t>
      </w:r>
      <w:r>
        <w:t xml:space="preserve"> </w:t>
      </w:r>
      <w:r>
        <w:t xml:space="preserve">- Players may distrust decisions as hallucinated or misinterpreted</w:t>
      </w:r>
      <w:r>
        <w:t xml:space="preserve"> </w:t>
      </w:r>
      <w:r>
        <w:t xml:space="preserve">- Disputes become arguments with the AI rather than verification against text</w:t>
      </w:r>
      <w:r>
        <w:t xml:space="preserve"> </w:t>
      </w:r>
      <w:r>
        <w:t xml:space="preserve">- Ambiguity in RAW feels arbitrary rather than explicit</w:t>
      </w:r>
    </w:p>
    <w:p>
      <w:pPr>
        <w:pStyle w:val="BodyText"/>
      </w:pPr>
      <w:r>
        <w:t xml:space="preserve">Using Obsidian as a primary data store caused tight coupling, fragility, and uncertainty about what constituted the</w:t>
      </w:r>
      <w:r>
        <w:t xml:space="preserve"> </w:t>
      </w:r>
      <w:r>
        <w:t xml:space="preserve">“true”</w:t>
      </w:r>
      <w:r>
        <w:t xml:space="preserve"> </w:t>
      </w:r>
      <w:r>
        <w:t xml:space="preserve">rule source.</w:t>
      </w:r>
    </w:p>
    <w:bookmarkEnd w:id="22"/>
    <w:bookmarkStart w:id="23" w:name="decision"/>
    <w:p>
      <w:pPr>
        <w:pStyle w:val="Heading3"/>
      </w:pPr>
      <w:r>
        <w:t xml:space="preserve">Decision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rule data lives in a tool-agnostic source layer (</w:t>
      </w:r>
      <w:r>
        <w:rPr>
          <w:rStyle w:val="VerbatimChar"/>
          <w:b/>
          <w:bCs/>
        </w:rPr>
        <w:t xml:space="preserve">sources/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Obsidian is used as a generated, player-facing evidence viewer</w:t>
      </w:r>
    </w:p>
    <w:p>
      <w:pPr>
        <w:pStyle w:val="Compact"/>
        <w:numPr>
          <w:ilvl w:val="0"/>
          <w:numId w:val="1001"/>
        </w:numPr>
      </w:pPr>
      <w:r>
        <w:t xml:space="preserve">Obsidian vaults are</w:t>
      </w:r>
      <w:r>
        <w:t xml:space="preserve"> </w:t>
      </w:r>
      <w:r>
        <w:rPr>
          <w:b/>
          <w:bCs/>
        </w:rPr>
        <w:t xml:space="preserve">derived artifacts</w:t>
      </w:r>
      <w:r>
        <w:t xml:space="preserve">, not authoritative storage</w:t>
      </w:r>
    </w:p>
    <w:p>
      <w:pPr>
        <w:pStyle w:val="FirstParagraph"/>
      </w:pPr>
      <w:r>
        <w:t xml:space="preserve">The AI / engine may reference Obsidian notes</w:t>
      </w:r>
      <w:r>
        <w:t xml:space="preserve"> </w:t>
      </w:r>
      <w:r>
        <w:rPr>
          <w:b/>
          <w:bCs/>
        </w:rPr>
        <w:t xml:space="preserve">only as a presentation layer</w:t>
      </w:r>
      <w:r>
        <w:t xml:space="preserve"> </w:t>
      </w:r>
      <w:r>
        <w:t xml:space="preserve">for evidence, never as the origin of truth.</w:t>
      </w:r>
    </w:p>
    <w:bookmarkEnd w:id="23"/>
    <w:bookmarkStart w:id="24" w:name="rationale"/>
    <w:p>
      <w:pPr>
        <w:pStyle w:val="Heading3"/>
      </w:pPr>
      <w:r>
        <w:t xml:space="preserve">Rationale</w:t>
      </w:r>
    </w:p>
    <w:p>
      <w:pPr>
        <w:pStyle w:val="Compact"/>
        <w:numPr>
          <w:ilvl w:val="0"/>
          <w:numId w:val="1002"/>
        </w:numPr>
      </w:pPr>
      <w:r>
        <w:t xml:space="preserve">Obsidian excels at human-readable presentation, linking, and navigation</w:t>
      </w:r>
    </w:p>
    <w:p>
      <w:pPr>
        <w:pStyle w:val="Compact"/>
        <w:numPr>
          <w:ilvl w:val="0"/>
          <w:numId w:val="1002"/>
        </w:numPr>
      </w:pPr>
      <w:r>
        <w:t xml:space="preserve">Generated vaults are disposable and regenerable</w:t>
      </w:r>
    </w:p>
    <w:p>
      <w:pPr>
        <w:pStyle w:val="Compact"/>
        <w:numPr>
          <w:ilvl w:val="0"/>
          <w:numId w:val="1002"/>
        </w:numPr>
      </w:pPr>
      <w:r>
        <w:t xml:space="preserve">Showing players a readable, independent-looking reference increases trust</w:t>
      </w:r>
    </w:p>
    <w:p>
      <w:pPr>
        <w:pStyle w:val="Compact"/>
        <w:numPr>
          <w:ilvl w:val="0"/>
          <w:numId w:val="1002"/>
        </w:numPr>
      </w:pPr>
      <w:r>
        <w:t xml:space="preserve">Separating storage from viewing prevents accidental corruption of canonical data</w:t>
      </w:r>
    </w:p>
    <w:p>
      <w:pPr>
        <w:pStyle w:val="Compact"/>
        <w:numPr>
          <w:ilvl w:val="0"/>
          <w:numId w:val="1002"/>
        </w:numPr>
      </w:pPr>
      <w:r>
        <w:t xml:space="preserve">Disputes shift from</w:t>
      </w:r>
      <w:r>
        <w:t xml:space="preserve"> </w:t>
      </w:r>
      <w:r>
        <w:rPr>
          <w:i/>
          <w:iCs/>
        </w:rPr>
        <w:t xml:space="preserve">“the AI decided”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“here is the printed rule”</w:t>
      </w:r>
    </w:p>
    <w:bookmarkEnd w:id="24"/>
    <w:bookmarkStart w:id="25" w:name="intended-usage-pattern-future"/>
    <w:p>
      <w:pPr>
        <w:pStyle w:val="Heading3"/>
      </w:pPr>
      <w:r>
        <w:t xml:space="preserve">Intended Usage Pattern (Future)</w:t>
      </w:r>
    </w:p>
    <w:p>
      <w:pPr>
        <w:pStyle w:val="Compact"/>
        <w:numPr>
          <w:ilvl w:val="0"/>
          <w:numId w:val="1003"/>
        </w:numPr>
      </w:pPr>
      <w:r>
        <w:t xml:space="preserve">Canonical text is stored in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 </w:t>
      </w:r>
      <w:r>
        <w:t xml:space="preserve">(meta, text, provenance)</w:t>
      </w:r>
    </w:p>
    <w:p>
      <w:pPr>
        <w:pStyle w:val="Compact"/>
        <w:numPr>
          <w:ilvl w:val="0"/>
          <w:numId w:val="1003"/>
        </w:numPr>
      </w:pPr>
      <w:r>
        <w:t xml:space="preserve">An Obsidian vault is generated from that data</w:t>
      </w:r>
    </w:p>
    <w:p>
      <w:pPr>
        <w:pStyle w:val="Compact"/>
        <w:numPr>
          <w:ilvl w:val="0"/>
          <w:numId w:val="1003"/>
        </w:numPr>
      </w:pPr>
      <w:r>
        <w:t xml:space="preserve">When the engine makes a ruling, it emits structured citations:</w:t>
      </w:r>
    </w:p>
    <w:p>
      <w:pPr>
        <w:pStyle w:val="Compact"/>
        <w:numPr>
          <w:ilvl w:val="1"/>
          <w:numId w:val="1004"/>
        </w:numPr>
      </w:pPr>
      <w:r>
        <w:t xml:space="preserve">Book</w:t>
      </w:r>
    </w:p>
    <w:p>
      <w:pPr>
        <w:pStyle w:val="Compact"/>
        <w:numPr>
          <w:ilvl w:val="1"/>
          <w:numId w:val="1004"/>
        </w:numPr>
      </w:pPr>
      <w:r>
        <w:t xml:space="preserve">Page</w:t>
      </w:r>
    </w:p>
    <w:p>
      <w:pPr>
        <w:pStyle w:val="Compact"/>
        <w:numPr>
          <w:ilvl w:val="1"/>
          <w:numId w:val="1004"/>
        </w:numPr>
      </w:pPr>
      <w:r>
        <w:t xml:space="preserve">Text span</w:t>
      </w:r>
    </w:p>
    <w:p>
      <w:pPr>
        <w:pStyle w:val="Compact"/>
        <w:numPr>
          <w:ilvl w:val="0"/>
          <w:numId w:val="1003"/>
        </w:numPr>
      </w:pPr>
      <w:r>
        <w:t xml:space="preserve">UI or tooling may open the corresponding Obsidian note to show evidence</w:t>
      </w:r>
    </w:p>
    <w:bookmarkEnd w:id="25"/>
    <w:bookmarkStart w:id="26" w:name="implications"/>
    <w:p>
      <w:pPr>
        <w:pStyle w:val="Heading3"/>
      </w:pPr>
      <w:r>
        <w:t xml:space="preserve">Implications</w:t>
      </w:r>
    </w:p>
    <w:p>
      <w:pPr>
        <w:pStyle w:val="Compact"/>
        <w:numPr>
          <w:ilvl w:val="0"/>
          <w:numId w:val="1005"/>
        </w:numPr>
      </w:pPr>
      <w:r>
        <w:t xml:space="preserve">Obsidian content should be treated as</w:t>
      </w:r>
      <w:r>
        <w:t xml:space="preserve"> </w:t>
      </w:r>
      <w:r>
        <w:rPr>
          <w:b/>
          <w:bCs/>
        </w:rPr>
        <w:t xml:space="preserve">read-only</w:t>
      </w:r>
    </w:p>
    <w:p>
      <w:pPr>
        <w:pStyle w:val="Compact"/>
        <w:numPr>
          <w:ilvl w:val="0"/>
          <w:numId w:val="1005"/>
        </w:numPr>
      </w:pPr>
      <w:r>
        <w:t xml:space="preserve">Manual edits to Obsidian notes are discouraged</w:t>
      </w:r>
    </w:p>
    <w:p>
      <w:pPr>
        <w:pStyle w:val="Compact"/>
        <w:numPr>
          <w:ilvl w:val="0"/>
          <w:numId w:val="1005"/>
        </w:numPr>
      </w:pPr>
      <w:r>
        <w:t xml:space="preserve">Vaults can be deleted and regenerated at any time</w:t>
      </w:r>
    </w:p>
    <w:p>
      <w:pPr>
        <w:pStyle w:val="Compact"/>
        <w:numPr>
          <w:ilvl w:val="0"/>
          <w:numId w:val="1005"/>
        </w:numPr>
      </w:pPr>
      <w:r>
        <w:t xml:space="preserve">Ambiguous RAW is still possible; citations prove text, not interpretation</w:t>
      </w:r>
    </w:p>
    <w:bookmarkEnd w:id="26"/>
    <w:bookmarkStart w:id="27" w:name="non-goals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06"/>
        </w:numPr>
      </w:pPr>
      <w:r>
        <w:t xml:space="preserve">This decision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mandate immediate Obsidian integration</w:t>
      </w:r>
    </w:p>
    <w:p>
      <w:pPr>
        <w:pStyle w:val="Compact"/>
        <w:numPr>
          <w:ilvl w:val="0"/>
          <w:numId w:val="1006"/>
        </w:numPr>
      </w:pPr>
      <w:r>
        <w:t xml:space="preserve">This decision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all rulings to show citations</w:t>
      </w:r>
    </w:p>
    <w:p>
      <w:pPr>
        <w:pStyle w:val="Compact"/>
        <w:numPr>
          <w:ilvl w:val="0"/>
          <w:numId w:val="1006"/>
        </w:numPr>
      </w:pPr>
      <w:r>
        <w:t xml:space="preserve">This decision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lock in Obsidian as the only possible viewer</w:t>
      </w:r>
    </w:p>
    <w:bookmarkEnd w:id="27"/>
    <w:bookmarkStart w:id="28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This decision preserves optionality. Obsidian is valuable for transparency and trust, but the project must remain functional without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architectural decisions should be appended to this file as the project evolves.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2026-02-07T11:43:04Z</dcterms:created>
  <dcterms:modified xsi:type="dcterms:W3CDTF">2026-02-07T11:43:04Z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