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7" w:name="audit-trigger-model-escalation-policy"/>
    <w:p>
      <w:pPr>
        <w:pStyle w:val="Heading1"/>
      </w:pPr>
      <w:r>
        <w:t xml:space="preserve">Audit Trigger &amp; Model Escalation Policy</w:t>
      </w:r>
    </w:p>
    <w:p>
      <w:pPr>
        <w:pStyle w:val="FirstParagraph"/>
      </w:pPr>
      <w:r>
        <w:rPr>
          <w:b/>
          <w:bCs/>
        </w:rPr>
        <w:t xml:space="preserve">Status:</w:t>
      </w:r>
      <w:r>
        <w:t xml:space="preserve"> </w:t>
      </w:r>
      <w:r>
        <w:t xml:space="preserve">Canonical (Binding)</w:t>
      </w:r>
      <w:r>
        <w:t xml:space="preserve"> </w:t>
      </w:r>
      <w:r>
        <w:rPr>
          <w:b/>
          <w:bCs/>
        </w:rPr>
        <w:t xml:space="preserve">Applies To:</w:t>
      </w:r>
      <w:r>
        <w:t xml:space="preserve"> </w:t>
      </w:r>
      <w:r>
        <w:t xml:space="preserve">All Completion Packets (CPs), Structural Kernel Register (SKR) work, and architectural refactors</w:t>
      </w:r>
    </w:p>
    <w:p>
      <w:r>
        <w:pict>
          <v:rect style="width:0;height:1.5pt" o:hralign="center" o:hrstd="t" o:hr="t"/>
        </w:pict>
      </w:r>
    </w:p>
    <w:bookmarkStart w:id="20" w:name="purpose"/>
    <w:p>
      <w:pPr>
        <w:pStyle w:val="Heading2"/>
      </w:pPr>
      <w:r>
        <w:t xml:space="preserve">1. Purpose</w:t>
      </w:r>
    </w:p>
    <w:p>
      <w:pPr>
        <w:pStyle w:val="FirstParagraph"/>
      </w:pPr>
      <w:r>
        <w:t xml:space="preserve">This document defines</w:t>
      </w:r>
      <w:r>
        <w:t xml:space="preserve"> </w:t>
      </w:r>
      <w:r>
        <w:rPr>
          <w:b/>
          <w:bCs/>
        </w:rPr>
        <w:t xml:space="preserve">when a high-cost, high-resolution architectural audit is REQUIRED</w:t>
      </w:r>
      <w:r>
        <w:t xml:space="preserve">, and when normal iterative development is sufficient.</w:t>
      </w:r>
    </w:p>
    <w:p>
      <w:pPr>
        <w:pStyle w:val="BodyText"/>
      </w:pPr>
      <w:r>
        <w:t xml:space="preserve">The project explicitly distinguishes between: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Day-to-day development models</w:t>
      </w:r>
      <w:r>
        <w:t xml:space="preserve"> </w:t>
      </w:r>
      <w:r>
        <w:t xml:space="preserve">(low cost, high velocity)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Audit-grade reasoning models</w:t>
      </w:r>
      <w:r>
        <w:t xml:space="preserve"> </w:t>
      </w:r>
      <w:r>
        <w:t xml:space="preserve">(high cost, high detection power)</w:t>
      </w:r>
    </w:p>
    <w:p>
      <w:pPr>
        <w:pStyle w:val="BodyText"/>
      </w:pPr>
      <w:r>
        <w:t xml:space="preserve">The goal is to deploy expensive audits</w:t>
      </w:r>
      <w:r>
        <w:t xml:space="preserve"> </w:t>
      </w:r>
      <w:r>
        <w:rPr>
          <w:b/>
          <w:bCs/>
        </w:rPr>
        <w:t xml:space="preserve">only at moments where risk amplification is nonlinear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20"/>
    <w:bookmarkStart w:id="21" w:name="core-principle"/>
    <w:p>
      <w:pPr>
        <w:pStyle w:val="Heading2"/>
      </w:pPr>
      <w:r>
        <w:t xml:space="preserve">2. Core Principle</w:t>
      </w:r>
    </w:p>
    <w:p>
      <w:pPr>
        <w:pStyle w:val="BlockText"/>
      </w:pPr>
      <w:r>
        <w:rPr>
          <w:b/>
          <w:bCs/>
        </w:rPr>
        <w:t xml:space="preserve">Escalate audit rigor when system power or coupling increases faster than local reasoning can safely track.</w:t>
      </w:r>
    </w:p>
    <w:p>
      <w:pPr>
        <w:pStyle w:val="FirstParagraph"/>
      </w:pPr>
      <w:r>
        <w:t xml:space="preserve">Audits are not for fixing bugs. They are for detecting</w:t>
      </w:r>
      <w:r>
        <w:t xml:space="preserve"> </w:t>
      </w:r>
      <w:r>
        <w:rPr>
          <w:b/>
          <w:bCs/>
        </w:rPr>
        <w:t xml:space="preserve">latent architectural failure modes</w:t>
      </w:r>
      <w:r>
        <w:t xml:space="preserve"> </w:t>
      </w:r>
      <w:r>
        <w:t xml:space="preserve">before they become expensive refactors.</w:t>
      </w:r>
    </w:p>
    <w:p>
      <w:r>
        <w:pict>
          <v:rect style="width:0;height:1.5pt" o:hralign="center" o:hrstd="t" o:hr="t"/>
        </w:pict>
      </w:r>
    </w:p>
    <w:bookmarkEnd w:id="21"/>
    <w:bookmarkStart w:id="24" w:name="model-classes"/>
    <w:p>
      <w:pPr>
        <w:pStyle w:val="Heading2"/>
      </w:pPr>
      <w:r>
        <w:t xml:space="preserve">3. Model Classes</w:t>
      </w:r>
    </w:p>
    <w:bookmarkStart w:id="22" w:name="standard-development-model"/>
    <w:p>
      <w:pPr>
        <w:pStyle w:val="Heading3"/>
      </w:pPr>
      <w:r>
        <w:t xml:space="preserve">3.1 Standard Development Model</w:t>
      </w:r>
    </w:p>
    <w:p>
      <w:pPr>
        <w:pStyle w:val="FirstParagraph"/>
      </w:pPr>
      <w:r>
        <w:t xml:space="preserve">Used for:</w:t>
      </w:r>
      <w:r>
        <w:t xml:space="preserve"> </w:t>
      </w:r>
      <w:r>
        <w:t xml:space="preserve">- Incremental CP implementation</w:t>
      </w:r>
      <w:r>
        <w:t xml:space="preserve"> </w:t>
      </w:r>
      <w:r>
        <w:t xml:space="preserve">- Writing resolvers, schemas, tests</w:t>
      </w:r>
      <w:r>
        <w:t xml:space="preserve"> </w:t>
      </w:r>
      <w:r>
        <w:t xml:space="preserve">- Local refactors with bounded blast radius</w:t>
      </w:r>
      <w:r>
        <w:t xml:space="preserve"> </w:t>
      </w:r>
      <w:r>
        <w:t xml:space="preserve">- Bug fixes and cleanup</w:t>
      </w:r>
    </w:p>
    <w:p>
      <w:pPr>
        <w:pStyle w:val="BodyText"/>
      </w:pPr>
      <w:r>
        <w:t xml:space="preserve">Characteristics:</w:t>
      </w:r>
      <w:r>
        <w:t xml:space="preserve"> </w:t>
      </w:r>
      <w:r>
        <w:t xml:space="preserve">- Optimized for speed and correctness in local context</w:t>
      </w:r>
      <w:r>
        <w:t xml:space="preserve"> </w:t>
      </w:r>
      <w:r>
        <w:t xml:space="preserve">- Relies on existing guardrails (schema registry, tests, governance)</w:t>
      </w:r>
    </w:p>
    <w:p>
      <w:r>
        <w:pict>
          <v:rect style="width:0;height:1.5pt" o:hralign="center" o:hrstd="t" o:hr="t"/>
        </w:pict>
      </w:r>
    </w:p>
    <w:bookmarkEnd w:id="22"/>
    <w:bookmarkStart w:id="23" w:name="audit-grade-model"/>
    <w:p>
      <w:pPr>
        <w:pStyle w:val="Heading3"/>
      </w:pPr>
      <w:r>
        <w:t xml:space="preserve">3.2 Audit-Grade Model</w:t>
      </w:r>
    </w:p>
    <w:p>
      <w:pPr>
        <w:pStyle w:val="FirstParagraph"/>
      </w:pPr>
      <w:r>
        <w:t xml:space="preserve">Used for:</w:t>
      </w:r>
      <w:r>
        <w:t xml:space="preserve"> </w:t>
      </w:r>
      <w:r>
        <w:t xml:space="preserve">- Cross-subsystem reasoning</w:t>
      </w:r>
      <w:r>
        <w:t xml:space="preserve"> </w:t>
      </w:r>
      <w:r>
        <w:t xml:space="preserve">- Global invariants and coupling analysis</w:t>
      </w:r>
      <w:r>
        <w:t xml:space="preserve"> </w:t>
      </w:r>
      <w:r>
        <w:t xml:space="preserve">- Future-risk identification</w:t>
      </w:r>
      <w:r>
        <w:t xml:space="preserve"> </w:t>
      </w:r>
      <w:r>
        <w:t xml:space="preserve">- Governance and doctrine review</w:t>
      </w:r>
    </w:p>
    <w:p>
      <w:pPr>
        <w:pStyle w:val="BodyText"/>
      </w:pPr>
      <w:r>
        <w:t xml:space="preserve">Characteristics:</w:t>
      </w:r>
      <w:r>
        <w:t xml:space="preserve"> </w:t>
      </w:r>
      <w:r>
        <w:t xml:space="preserve">- Slower</w:t>
      </w:r>
      <w:r>
        <w:t xml:space="preserve"> </w:t>
      </w:r>
      <w:r>
        <w:t xml:space="preserve">- More expensive</w:t>
      </w:r>
      <w:r>
        <w:t xml:space="preserve"> </w:t>
      </w:r>
      <w:r>
        <w:t xml:space="preserve">- Higher sensitivity to architectural drift</w:t>
      </w:r>
    </w:p>
    <w:p>
      <w:r>
        <w:pict>
          <v:rect style="width:0;height:1.5pt" o:hralign="center" o:hrstd="t" o:hr="t"/>
        </w:pict>
      </w:r>
    </w:p>
    <w:bookmarkEnd w:id="23"/>
    <w:bookmarkEnd w:id="24"/>
    <w:bookmarkStart w:id="30" w:name="mandatory-audit-triggers"/>
    <w:p>
      <w:pPr>
        <w:pStyle w:val="Heading2"/>
      </w:pPr>
      <w:r>
        <w:t xml:space="preserve">4. Mandatory Audit Triggers</w:t>
      </w:r>
    </w:p>
    <w:p>
      <w:pPr>
        <w:pStyle w:val="FirstParagraph"/>
      </w:pPr>
      <w:r>
        <w:t xml:space="preserve">An</w:t>
      </w:r>
      <w:r>
        <w:t xml:space="preserve"> </w:t>
      </w:r>
      <w:r>
        <w:rPr>
          <w:b/>
          <w:bCs/>
        </w:rPr>
        <w:t xml:space="preserve">audit-grade model review is REQUIRED</w:t>
      </w:r>
      <w:r>
        <w:t xml:space="preserve"> </w:t>
      </w:r>
      <w:r>
        <w:t xml:space="preserve">when any of the following occur:</w:t>
      </w:r>
    </w:p>
    <w:bookmarkStart w:id="25" w:name="capability-gate-transitions"/>
    <w:p>
      <w:pPr>
        <w:pStyle w:val="Heading3"/>
      </w:pPr>
      <w:r>
        <w:t xml:space="preserve">4.1 Capability Gate Transitions</w:t>
      </w:r>
    </w:p>
    <w:p>
      <w:pPr>
        <w:pStyle w:val="Compact"/>
        <w:numPr>
          <w:ilvl w:val="0"/>
          <w:numId w:val="1001"/>
        </w:numPr>
      </w:pPr>
      <w:r>
        <w:t xml:space="preserve">Opening a CLOSED capability gate</w:t>
      </w:r>
    </w:p>
    <w:p>
      <w:pPr>
        <w:pStyle w:val="Compact"/>
        <w:numPr>
          <w:ilvl w:val="0"/>
          <w:numId w:val="1001"/>
        </w:numPr>
      </w:pPr>
      <w:r>
        <w:t xml:space="preserve">Implementing a kernel required to open a gate</w:t>
      </w:r>
    </w:p>
    <w:p>
      <w:pPr>
        <w:pStyle w:val="FirstParagraph"/>
      </w:pPr>
      <w:r>
        <w:t xml:space="preserve">Examples:</w:t>
      </w:r>
      <w:r>
        <w:t xml:space="preserve"> </w:t>
      </w:r>
      <w:r>
        <w:t xml:space="preserve">- Permanent stat mutation (SKR-002)</w:t>
      </w:r>
      <w:r>
        <w:t xml:space="preserve"> </w:t>
      </w:r>
      <w:r>
        <w:t xml:space="preserve">- Entity forking (SKR-001)</w:t>
      </w:r>
      <w:r>
        <w:t xml:space="preserve"> </w:t>
      </w:r>
      <w:r>
        <w:t xml:space="preserve">- XP economy (SKR-008)</w:t>
      </w:r>
    </w:p>
    <w:p>
      <w:r>
        <w:pict>
          <v:rect style="width:0;height:1.5pt" o:hralign="center" o:hrstd="t" o:hr="t"/>
        </w:pict>
      </w:r>
    </w:p>
    <w:bookmarkEnd w:id="25"/>
    <w:bookmarkStart w:id="26" w:name="system-power-escalation"/>
    <w:p>
      <w:pPr>
        <w:pStyle w:val="Heading3"/>
      </w:pPr>
      <w:r>
        <w:t xml:space="preserve">4.2 System Power Escalation</w:t>
      </w:r>
    </w:p>
    <w:p>
      <w:pPr>
        <w:pStyle w:val="FirstParagraph"/>
      </w:pPr>
      <w:r>
        <w:t xml:space="preserve">Any change that significantly increases what the engine can do:</w:t>
      </w:r>
    </w:p>
    <w:p>
      <w:pPr>
        <w:pStyle w:val="Compact"/>
        <w:numPr>
          <w:ilvl w:val="0"/>
          <w:numId w:val="1002"/>
        </w:numPr>
      </w:pPr>
      <w:r>
        <w:t xml:space="preserve">Spellcasting (any tier)</w:t>
      </w:r>
    </w:p>
    <w:p>
      <w:pPr>
        <w:pStyle w:val="Compact"/>
        <w:numPr>
          <w:ilvl w:val="0"/>
          <w:numId w:val="1002"/>
        </w:numPr>
      </w:pPr>
      <w:r>
        <w:t xml:space="preserve">Summoning, creation, or destruction of entities</w:t>
      </w:r>
    </w:p>
    <w:p>
      <w:pPr>
        <w:pStyle w:val="Compact"/>
        <w:numPr>
          <w:ilvl w:val="0"/>
          <w:numId w:val="1002"/>
        </w:numPr>
      </w:pPr>
      <w:r>
        <w:t xml:space="preserve">Permanent state changes</w:t>
      </w:r>
    </w:p>
    <w:p>
      <w:pPr>
        <w:pStyle w:val="Compact"/>
        <w:numPr>
          <w:ilvl w:val="0"/>
          <w:numId w:val="1002"/>
        </w:numPr>
      </w:pPr>
      <w:r>
        <w:t xml:space="preserve">Time, timeline, or interrupt mechanics</w:t>
      </w:r>
    </w:p>
    <w:p>
      <w:r>
        <w:pict>
          <v:rect style="width:0;height:1.5pt" o:hralign="center" o:hrstd="t" o:hr="t"/>
        </w:pict>
      </w:r>
    </w:p>
    <w:bookmarkEnd w:id="26"/>
    <w:bookmarkStart w:id="27" w:name="cross-cutting-refactors"/>
    <w:p>
      <w:pPr>
        <w:pStyle w:val="Heading3"/>
      </w:pPr>
      <w:r>
        <w:t xml:space="preserve">4.3 Cross-Cutting Refactors</w:t>
      </w:r>
    </w:p>
    <w:p>
      <w:pPr>
        <w:pStyle w:val="Compact"/>
        <w:numPr>
          <w:ilvl w:val="0"/>
          <w:numId w:val="1003"/>
        </w:numPr>
      </w:pPr>
      <w:r>
        <w:t xml:space="preserve">Refactors touching 3+ subsystems</w:t>
      </w:r>
    </w:p>
    <w:p>
      <w:pPr>
        <w:pStyle w:val="Compact"/>
        <w:numPr>
          <w:ilvl w:val="0"/>
          <w:numId w:val="1003"/>
        </w:numPr>
      </w:pPr>
      <w:r>
        <w:t xml:space="preserve">Changes to WorldState shape</w:t>
      </w:r>
    </w:p>
    <w:p>
      <w:pPr>
        <w:pStyle w:val="Compact"/>
        <w:numPr>
          <w:ilvl w:val="0"/>
          <w:numId w:val="1003"/>
        </w:numPr>
      </w:pPr>
      <w:r>
        <w:t xml:space="preserve">Changes to replay semantics</w:t>
      </w:r>
    </w:p>
    <w:p>
      <w:pPr>
        <w:pStyle w:val="Compact"/>
        <w:numPr>
          <w:ilvl w:val="0"/>
          <w:numId w:val="1003"/>
        </w:numPr>
      </w:pPr>
      <w:r>
        <w:t xml:space="preserve">Changes to RNG stream usage or isolation</w:t>
      </w:r>
    </w:p>
    <w:p>
      <w:r>
        <w:pict>
          <v:rect style="width:0;height:1.5pt" o:hralign="center" o:hrstd="t" o:hr="t"/>
        </w:pict>
      </w:r>
    </w:p>
    <w:bookmarkEnd w:id="27"/>
    <w:bookmarkStart w:id="28" w:name="architectural-ambiguity-detection"/>
    <w:p>
      <w:pPr>
        <w:pStyle w:val="Heading3"/>
      </w:pPr>
      <w:r>
        <w:t xml:space="preserve">4.4 Architectural Ambiguity Detection</w:t>
      </w:r>
    </w:p>
    <w:p>
      <w:pPr>
        <w:pStyle w:val="FirstParagraph"/>
      </w:pPr>
      <w:r>
        <w:t xml:space="preserve">When any contributor states:</w:t>
      </w:r>
      <w:r>
        <w:t xml:space="preserve"> </w:t>
      </w:r>
      <w:r>
        <w:t xml:space="preserve">-</w:t>
      </w:r>
      <w:r>
        <w:t xml:space="preserve"> </w:t>
      </w:r>
      <w:r>
        <w:t xml:space="preserve">“There are two reasonable ways to do this”</w:t>
      </w:r>
      <w:r>
        <w:t xml:space="preserve"> </w:t>
      </w:r>
      <w:r>
        <w:t xml:space="preserve">-</w:t>
      </w:r>
      <w:r>
        <w:t xml:space="preserve"> </w:t>
      </w:r>
      <w:r>
        <w:t xml:space="preserve">“We can probably get away with”</w:t>
      </w:r>
      <w:r>
        <w:t xml:space="preserve"> </w:t>
      </w:r>
      <w:r>
        <w:t xml:space="preserve">-</w:t>
      </w:r>
      <w:r>
        <w:t xml:space="preserve"> </w:t>
      </w:r>
      <w:r>
        <w:t xml:space="preserve">“This might be fine, but”</w:t>
      </w:r>
    </w:p>
    <w:p>
      <w:pPr>
        <w:pStyle w:val="BodyText"/>
      </w:pPr>
      <w:r>
        <w:t xml:space="preserve">This is a</w:t>
      </w:r>
      <w:r>
        <w:t xml:space="preserve"> </w:t>
      </w:r>
      <w:r>
        <w:rPr>
          <w:b/>
          <w:bCs/>
        </w:rPr>
        <w:t xml:space="preserve">hard stop signal</w:t>
      </w:r>
      <w:r>
        <w:t xml:space="preserve"> </w:t>
      </w:r>
      <w:r>
        <w:t xml:space="preserve">and requires audit escalation.</w:t>
      </w:r>
    </w:p>
    <w:p>
      <w:r>
        <w:pict>
          <v:rect style="width:0;height:1.5pt" o:hralign="center" o:hrstd="t" o:hr="t"/>
        </w:pict>
      </w:r>
    </w:p>
    <w:bookmarkEnd w:id="28"/>
    <w:bookmarkStart w:id="29" w:name="governance-document-changes"/>
    <w:p>
      <w:pPr>
        <w:pStyle w:val="Heading3"/>
      </w:pPr>
      <w:r>
        <w:t xml:space="preserve">4.5 Governance Document Changes</w:t>
      </w:r>
    </w:p>
    <w:p>
      <w:pPr>
        <w:pStyle w:val="Compact"/>
        <w:numPr>
          <w:ilvl w:val="0"/>
          <w:numId w:val="1004"/>
        </w:numPr>
      </w:pPr>
      <w:r>
        <w:t xml:space="preserve">Modifying coherence doctrine</w:t>
      </w:r>
    </w:p>
    <w:p>
      <w:pPr>
        <w:pStyle w:val="Compact"/>
        <w:numPr>
          <w:ilvl w:val="0"/>
          <w:numId w:val="1004"/>
        </w:numPr>
      </w:pPr>
      <w:r>
        <w:t xml:space="preserve">Modifying schema authority rules</w:t>
      </w:r>
    </w:p>
    <w:p>
      <w:pPr>
        <w:pStyle w:val="Compact"/>
        <w:numPr>
          <w:ilvl w:val="0"/>
          <w:numId w:val="1004"/>
        </w:numPr>
      </w:pPr>
      <w:r>
        <w:t xml:space="preserve">Modifying CP methodology</w:t>
      </w:r>
    </w:p>
    <w:p>
      <w:r>
        <w:pict>
          <v:rect style="width:0;height:1.5pt" o:hralign="center" o:hrstd="t" o:hr="t"/>
        </w:pict>
      </w:r>
    </w:p>
    <w:bookmarkEnd w:id="29"/>
    <w:bookmarkEnd w:id="30"/>
    <w:bookmarkStart w:id="31" w:name="optional-advisory-audit-triggers"/>
    <w:p>
      <w:pPr>
        <w:pStyle w:val="Heading2"/>
      </w:pPr>
      <w:r>
        <w:t xml:space="preserve">5. Optional (Advisory) Audit Triggers</w:t>
      </w:r>
    </w:p>
    <w:p>
      <w:pPr>
        <w:pStyle w:val="FirstParagraph"/>
      </w:pPr>
      <w:r>
        <w:t xml:space="preserve">Audit escalation is STRONGLY RECOMMENDED (but not mandatory) when:</w:t>
      </w:r>
    </w:p>
    <w:p>
      <w:pPr>
        <w:pStyle w:val="Compact"/>
        <w:numPr>
          <w:ilvl w:val="0"/>
          <w:numId w:val="1005"/>
        </w:numPr>
      </w:pPr>
      <w:r>
        <w:t xml:space="preserve">Adding more than ~20 tests in a single CP</w:t>
      </w:r>
    </w:p>
    <w:p>
      <w:pPr>
        <w:pStyle w:val="Compact"/>
        <w:numPr>
          <w:ilvl w:val="0"/>
          <w:numId w:val="1005"/>
        </w:numPr>
      </w:pPr>
      <w:r>
        <w:t xml:space="preserve">Introducing a new entity field used by multiple subsystems</w:t>
      </w:r>
    </w:p>
    <w:p>
      <w:pPr>
        <w:pStyle w:val="Compact"/>
        <w:numPr>
          <w:ilvl w:val="0"/>
          <w:numId w:val="1005"/>
        </w:numPr>
      </w:pPr>
      <w:r>
        <w:t xml:space="preserve">Performance envelope is at risk (approaching 2s test limit)</w:t>
      </w:r>
    </w:p>
    <w:p>
      <w:pPr>
        <w:pStyle w:val="Compact"/>
        <w:numPr>
          <w:ilvl w:val="0"/>
          <w:numId w:val="1005"/>
        </w:numPr>
      </w:pPr>
      <w:r>
        <w:t xml:space="preserve">A CP is larger than two typical CPs combined</w:t>
      </w:r>
    </w:p>
    <w:p>
      <w:r>
        <w:pict>
          <v:rect style="width:0;height:1.5pt" o:hralign="center" o:hrstd="t" o:hr="t"/>
        </w:pict>
      </w:r>
    </w:p>
    <w:bookmarkEnd w:id="31"/>
    <w:bookmarkStart w:id="32" w:name="audit-scope-definition-cost-control"/>
    <w:p>
      <w:pPr>
        <w:pStyle w:val="Heading2"/>
      </w:pPr>
      <w:r>
        <w:t xml:space="preserve">6. Audit Scope Definition (Cost Control)</w:t>
      </w:r>
    </w:p>
    <w:p>
      <w:pPr>
        <w:pStyle w:val="FirstParagraph"/>
      </w:pPr>
      <w:r>
        <w:t xml:space="preserve">Before running an audit-grade review, the requester MUST define: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Audit Objective</w:t>
      </w:r>
      <w:r>
        <w:t xml:space="preserve"> </w:t>
      </w:r>
      <w:r>
        <w:t xml:space="preserve">— what question are we trying to answer?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Subsystem Scope</w:t>
      </w:r>
      <w:r>
        <w:t xml:space="preserve"> </w:t>
      </w:r>
      <w:r>
        <w:t xml:space="preserve">— what files / modules are in scope?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Known Constraints</w:t>
      </w:r>
      <w:r>
        <w:t xml:space="preserve"> </w:t>
      </w:r>
      <w:r>
        <w:t xml:space="preserve">— gates, doctrine, non-goals</w:t>
      </w:r>
    </w:p>
    <w:p>
      <w:pPr>
        <w:pStyle w:val="FirstParagraph"/>
      </w:pPr>
      <w:r>
        <w:t xml:space="preserve">This prevents unfocused or overly broad audits.</w:t>
      </w:r>
    </w:p>
    <w:p>
      <w:r>
        <w:pict>
          <v:rect style="width:0;height:1.5pt" o:hralign="center" o:hrstd="t" o:hr="t"/>
        </w:pict>
      </w:r>
    </w:p>
    <w:bookmarkEnd w:id="32"/>
    <w:bookmarkStart w:id="33" w:name="audit-output-requirements"/>
    <w:p>
      <w:pPr>
        <w:pStyle w:val="Heading2"/>
      </w:pPr>
      <w:r>
        <w:t xml:space="preserve">7. Audit Output Requirements</w:t>
      </w:r>
    </w:p>
    <w:p>
      <w:pPr>
        <w:pStyle w:val="FirstParagraph"/>
      </w:pPr>
      <w:r>
        <w:t xml:space="preserve">An audit MUST produce at least:</w:t>
      </w:r>
    </w:p>
    <w:p>
      <w:pPr>
        <w:pStyle w:val="Compact"/>
        <w:numPr>
          <w:ilvl w:val="0"/>
          <w:numId w:val="1007"/>
        </w:numPr>
      </w:pPr>
      <w:r>
        <w:t xml:space="preserve">Identified risks (current vs future)</w:t>
      </w:r>
    </w:p>
    <w:p>
      <w:pPr>
        <w:pStyle w:val="Compact"/>
        <w:numPr>
          <w:ilvl w:val="0"/>
          <w:numId w:val="1007"/>
        </w:numPr>
      </w:pPr>
      <w:r>
        <w:t xml:space="preserve">Severity classification</w:t>
      </w:r>
    </w:p>
    <w:p>
      <w:pPr>
        <w:pStyle w:val="Compact"/>
        <w:numPr>
          <w:ilvl w:val="0"/>
          <w:numId w:val="1007"/>
        </w:numPr>
      </w:pPr>
      <w:r>
        <w:t xml:space="preserve">Explicit recommendations</w:t>
      </w:r>
    </w:p>
    <w:p>
      <w:pPr>
        <w:pStyle w:val="Compact"/>
        <w:numPr>
          <w:ilvl w:val="0"/>
          <w:numId w:val="1007"/>
        </w:numPr>
      </w:pPr>
      <w:r>
        <w:t xml:space="preserve">Clear go / no-go signals for proceeding</w:t>
      </w:r>
    </w:p>
    <w:p>
      <w:pPr>
        <w:pStyle w:val="FirstParagraph"/>
      </w:pPr>
      <w:r>
        <w:t xml:space="preserve">Audits that produce only vague commentary are considered invalid.</w:t>
      </w:r>
    </w:p>
    <w:p>
      <w:r>
        <w:pict>
          <v:rect style="width:0;height:1.5pt" o:hralign="center" o:hrstd="t" o:hr="t"/>
        </w:pict>
      </w:r>
    </w:p>
    <w:bookmarkEnd w:id="33"/>
    <w:bookmarkStart w:id="34" w:name="cost-discipline-rule"/>
    <w:p>
      <w:pPr>
        <w:pStyle w:val="Heading2"/>
      </w:pPr>
      <w:r>
        <w:t xml:space="preserve">8. Cost Discipline Rule</w:t>
      </w:r>
    </w:p>
    <w:p>
      <w:pPr>
        <w:pStyle w:val="BlockText"/>
      </w:pPr>
      <w:r>
        <w:rPr>
          <w:b/>
          <w:bCs/>
        </w:rPr>
        <w:t xml:space="preserve">Audit-grade models MUST NOT be used for routine implementation.</w:t>
      </w:r>
    </w:p>
    <w:p>
      <w:pPr>
        <w:pStyle w:val="FirstParagraph"/>
      </w:pPr>
      <w:r>
        <w:t xml:space="preserve">If a task does not trigger any rule in Section 4, standard development models are required.</w:t>
      </w:r>
    </w:p>
    <w:p>
      <w:pPr>
        <w:pStyle w:val="BodyText"/>
      </w:pPr>
      <w:r>
        <w:t xml:space="preserve">This is both a cost control measure and a focus discipline.</w:t>
      </w:r>
    </w:p>
    <w:p>
      <w:r>
        <w:pict>
          <v:rect style="width:0;height:1.5pt" o:hralign="center" o:hrstd="t" o:hr="t"/>
        </w:pict>
      </w:r>
    </w:p>
    <w:bookmarkEnd w:id="34"/>
    <w:bookmarkStart w:id="35" w:name="enforcement"/>
    <w:p>
      <w:pPr>
        <w:pStyle w:val="Heading2"/>
      </w:pPr>
      <w:r>
        <w:t xml:space="preserve">9. Enforcement</w:t>
      </w:r>
    </w:p>
    <w:p>
      <w:pPr>
        <w:pStyle w:val="Compact"/>
        <w:numPr>
          <w:ilvl w:val="0"/>
          <w:numId w:val="1008"/>
        </w:numPr>
      </w:pPr>
      <w:r>
        <w:t xml:space="preserve">CPs that violate mandatory audit triggers MUST NOT merge</w:t>
      </w:r>
    </w:p>
    <w:p>
      <w:pPr>
        <w:pStyle w:val="Compact"/>
        <w:numPr>
          <w:ilvl w:val="0"/>
          <w:numId w:val="1008"/>
        </w:numPr>
      </w:pPr>
      <w:r>
        <w:t xml:space="preserve">Missing required audit is a process failure</w:t>
      </w:r>
    </w:p>
    <w:p>
      <w:pPr>
        <w:pStyle w:val="Compact"/>
        <w:numPr>
          <w:ilvl w:val="0"/>
          <w:numId w:val="1008"/>
        </w:numPr>
      </w:pPr>
      <w:r>
        <w:t xml:space="preserve">Retroactive audits are acceptable but discouraged</w:t>
      </w:r>
    </w:p>
    <w:p>
      <w:r>
        <w:pict>
          <v:rect style="width:0;height:1.5pt" o:hralign="center" o:hrstd="t" o:hr="t"/>
        </w:pict>
      </w:r>
    </w:p>
    <w:bookmarkEnd w:id="35"/>
    <w:bookmarkStart w:id="36" w:name="final-rule"/>
    <w:p>
      <w:pPr>
        <w:pStyle w:val="Heading2"/>
      </w:pPr>
      <w:r>
        <w:t xml:space="preserve">10. Final Rule</w:t>
      </w:r>
    </w:p>
    <w:p>
      <w:pPr>
        <w:pStyle w:val="BlockText"/>
      </w:pPr>
      <w:r>
        <w:rPr>
          <w:b/>
          <w:bCs/>
        </w:rPr>
        <w:t xml:space="preserve">Use the cheapest tool that is safe — and upgrade immediately when safety is uncertain.</w:t>
      </w:r>
    </w:p>
    <w:p>
      <w:pPr>
        <w:pStyle w:val="FirstParagraph"/>
      </w:pPr>
      <w:r>
        <w:t xml:space="preserve">This policy exists to make that decision explicit, objective, and enforceable.</w:t>
      </w:r>
    </w:p>
    <w:bookmarkEnd w:id="36"/>
    <w:bookmarkEnd w:id="3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2026-02-08T13:48:03Z</dcterms:created>
  <dcterms:modified xsi:type="dcterms:W3CDTF">2026-02-08T13:48:03Z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