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40d319211fe9e8d6543ee486dd80f7514eaa15c"/>
    <w:p>
      <w:pPr>
        <w:pStyle w:val="Heading1"/>
      </w:pPr>
      <w:r>
        <w:t xml:space="preserve">Campaign Memory, Narrative Persistence &amp; Alignment Dynamics</w:t>
      </w:r>
    </w:p>
    <w:p>
      <w:pPr>
        <w:pStyle w:val="FirstParagraph"/>
      </w:pPr>
      <w:r>
        <w:rPr>
          <w:b/>
          <w:bCs/>
        </w:rPr>
        <w:t xml:space="preserve">Status:</w:t>
      </w:r>
      <w:r>
        <w:t xml:space="preserve"> </w:t>
      </w:r>
      <w:r>
        <w:t xml:space="preserve">Design Intent (Non-Binding)</w:t>
      </w:r>
    </w:p>
    <w:p>
      <w:pPr>
        <w:pStyle w:val="BodyText"/>
      </w:pPr>
      <w:r>
        <w:rPr>
          <w:b/>
          <w:bCs/>
        </w:rPr>
        <w:t xml:space="preserve">Purpose:</w:t>
      </w:r>
      <w:r>
        <w:t xml:space="preserve"> </w:t>
      </w:r>
      <w:r>
        <w:t xml:space="preserve">This document formalizes how the system records, preserves, retrieves, and evaluates long-term campaign information so that narrative continuity, character development, alignment shifts, and religious consequences remain accurate across extended play. It aligns existing deterministic foundations with narrative goals, without introducing resolution logic.</w:t>
      </w:r>
    </w:p>
    <w:p>
      <w:r>
        <w:pict>
          <v:rect style="width:0;height:1.5pt" o:hralign="center" o:hrstd="t" o:hr="t"/>
        </w:pict>
      </w:r>
    </w:p>
    <w:bookmarkStart w:id="20" w:name="core-principles"/>
    <w:p>
      <w:pPr>
        <w:pStyle w:val="Heading2"/>
      </w:pPr>
      <w:r>
        <w:t xml:space="preserve">1. Core Principles</w:t>
      </w:r>
    </w:p>
    <w:p>
      <w:pPr>
        <w:pStyle w:val="Compact"/>
        <w:numPr>
          <w:ilvl w:val="0"/>
          <w:numId w:val="1001"/>
        </w:numPr>
      </w:pPr>
      <w:r>
        <w:rPr>
          <w:b/>
          <w:bCs/>
        </w:rPr>
        <w:t xml:space="preserve">Truth Is Write-Once</w:t>
      </w:r>
    </w:p>
    <w:p>
      <w:pPr>
        <w:pStyle w:val="Compact"/>
        <w:numPr>
          <w:ilvl w:val="1"/>
          <w:numId w:val="1002"/>
        </w:numPr>
      </w:pPr>
      <w:r>
        <w:t xml:space="preserve">What happened is never rewritten.</w:t>
      </w:r>
    </w:p>
    <w:p>
      <w:pPr>
        <w:pStyle w:val="Compact"/>
        <w:numPr>
          <w:ilvl w:val="1"/>
          <w:numId w:val="1002"/>
        </w:numPr>
      </w:pPr>
      <w:r>
        <w:t xml:space="preserve">All authoritative facts originate from append-only session records.</w:t>
      </w:r>
    </w:p>
    <w:p>
      <w:pPr>
        <w:pStyle w:val="Compact"/>
        <w:numPr>
          <w:ilvl w:val="0"/>
          <w:numId w:val="1001"/>
        </w:numPr>
      </w:pPr>
      <w:r>
        <w:rPr>
          <w:b/>
          <w:bCs/>
        </w:rPr>
        <w:t xml:space="preserve">Narrative Freedom Within Hard Reality</w:t>
      </w:r>
    </w:p>
    <w:p>
      <w:pPr>
        <w:pStyle w:val="Compact"/>
        <w:numPr>
          <w:ilvl w:val="1"/>
          <w:numId w:val="1003"/>
        </w:numPr>
      </w:pPr>
      <w:r>
        <w:t xml:space="preserve">The narrative layer may be creative, emotional, and unrestricted.</w:t>
      </w:r>
    </w:p>
    <w:p>
      <w:pPr>
        <w:pStyle w:val="Compact"/>
        <w:numPr>
          <w:ilvl w:val="1"/>
          <w:numId w:val="1003"/>
        </w:numPr>
      </w:pPr>
      <w:r>
        <w:t xml:space="preserve">It may not alter or invent mechanical or historical facts.</w:t>
      </w:r>
    </w:p>
    <w:p>
      <w:pPr>
        <w:pStyle w:val="Compact"/>
        <w:numPr>
          <w:ilvl w:val="0"/>
          <w:numId w:val="1001"/>
        </w:numPr>
      </w:pPr>
      <w:r>
        <w:rPr>
          <w:b/>
          <w:bCs/>
        </w:rPr>
        <w:t xml:space="preserve">Evidence-Backed Memory</w:t>
      </w:r>
    </w:p>
    <w:p>
      <w:pPr>
        <w:pStyle w:val="Compact"/>
        <w:numPr>
          <w:ilvl w:val="1"/>
          <w:numId w:val="1004"/>
        </w:numPr>
      </w:pPr>
      <w:r>
        <w:t xml:space="preserve">Any claim about the world, a character, or a belief must be traceable to prior sessions or explicit system inference rules.</w:t>
      </w:r>
    </w:p>
    <w:p>
      <w:pPr>
        <w:pStyle w:val="Compact"/>
        <w:numPr>
          <w:ilvl w:val="0"/>
          <w:numId w:val="1001"/>
        </w:numPr>
      </w:pPr>
      <w:r>
        <w:rPr>
          <w:b/>
          <w:bCs/>
        </w:rPr>
        <w:t xml:space="preserve">Slow Change, Not Snap Judgments</w:t>
      </w:r>
    </w:p>
    <w:p>
      <w:pPr>
        <w:pStyle w:val="Compact"/>
        <w:numPr>
          <w:ilvl w:val="1"/>
          <w:numId w:val="1005"/>
        </w:numPr>
      </w:pPr>
      <w:r>
        <w:t xml:space="preserve">Character alignment, beliefs, and relationships evolve gradually through accumulated actions and outcomes.</w:t>
      </w:r>
    </w:p>
    <w:p>
      <w:r>
        <w:pict>
          <v:rect style="width:0;height:1.5pt" o:hralign="center" o:hrstd="t" o:hr="t"/>
        </w:pict>
      </w:r>
    </w:p>
    <w:bookmarkEnd w:id="20"/>
    <w:bookmarkStart w:id="25" w:name="campaign-memory-layers"/>
    <w:p>
      <w:pPr>
        <w:pStyle w:val="Heading2"/>
      </w:pPr>
      <w:r>
        <w:t xml:space="preserve">2. Campaign Memory Layers</w:t>
      </w:r>
    </w:p>
    <w:bookmarkStart w:id="21" w:name="X36315ed0d633c7cadaac3c118ecf5e7c8a27fa2"/>
    <w:p>
      <w:pPr>
        <w:pStyle w:val="Heading3"/>
      </w:pPr>
      <w:r>
        <w:t xml:space="preserve">Layer A — Session Ledger (Authoritative Truth)</w:t>
      </w:r>
    </w:p>
    <w:p>
      <w:pPr>
        <w:pStyle w:val="Compact"/>
        <w:numPr>
          <w:ilvl w:val="0"/>
          <w:numId w:val="1006"/>
        </w:numPr>
      </w:pPr>
      <w:r>
        <w:t xml:space="preserve">Append-only record of each session.</w:t>
      </w:r>
    </w:p>
    <w:p>
      <w:pPr>
        <w:pStyle w:val="Compact"/>
        <w:numPr>
          <w:ilvl w:val="0"/>
          <w:numId w:val="1006"/>
        </w:numPr>
      </w:pPr>
      <w:r>
        <w:t xml:space="preserve">Contains:</w:t>
      </w:r>
    </w:p>
    <w:p>
      <w:pPr>
        <w:pStyle w:val="Compact"/>
        <w:numPr>
          <w:ilvl w:val="1"/>
          <w:numId w:val="1007"/>
        </w:numPr>
      </w:pPr>
      <w:r>
        <w:t xml:space="preserve">Player declarations and decisions</w:t>
      </w:r>
    </w:p>
    <w:p>
      <w:pPr>
        <w:pStyle w:val="Compact"/>
        <w:numPr>
          <w:ilvl w:val="1"/>
          <w:numId w:val="1007"/>
        </w:numPr>
      </w:pPr>
      <w:r>
        <w:t xml:space="preserve">Mechanical outcomes</w:t>
      </w:r>
    </w:p>
    <w:p>
      <w:pPr>
        <w:pStyle w:val="Compact"/>
        <w:numPr>
          <w:ilvl w:val="1"/>
          <w:numId w:val="1007"/>
        </w:numPr>
      </w:pPr>
      <w:r>
        <w:t xml:space="preserve">Revealed facts and clues</w:t>
      </w:r>
    </w:p>
    <w:p>
      <w:pPr>
        <w:pStyle w:val="Compact"/>
        <w:numPr>
          <w:ilvl w:val="1"/>
          <w:numId w:val="1007"/>
        </w:numPr>
      </w:pPr>
      <w:r>
        <w:t xml:space="preserve">NPC deaths, allegiances, or state changes</w:t>
      </w:r>
    </w:p>
    <w:p>
      <w:pPr>
        <w:pStyle w:val="Compact"/>
        <w:numPr>
          <w:ilvl w:val="0"/>
          <w:numId w:val="1006"/>
        </w:numPr>
      </w:pPr>
      <w:r>
        <w:t xml:space="preserve">Immutable after creation.</w:t>
      </w:r>
    </w:p>
    <w:bookmarkEnd w:id="21"/>
    <w:bookmarkStart w:id="22" w:name="Xfc8c27cb1b721a759edc65a0fb6ecaec712e244"/>
    <w:p>
      <w:pPr>
        <w:pStyle w:val="Heading3"/>
      </w:pPr>
      <w:r>
        <w:t xml:space="preserve">Layer B — World &amp; Character Records (Derived State)</w:t>
      </w:r>
    </w:p>
    <w:p>
      <w:pPr>
        <w:pStyle w:val="Compact"/>
        <w:numPr>
          <w:ilvl w:val="0"/>
          <w:numId w:val="1008"/>
        </w:numPr>
      </w:pPr>
      <w:r>
        <w:t xml:space="preserve">NPC profiles, faction states, locations, and religions.</w:t>
      </w:r>
    </w:p>
    <w:p>
      <w:pPr>
        <w:pStyle w:val="Compact"/>
        <w:numPr>
          <w:ilvl w:val="0"/>
          <w:numId w:val="1008"/>
        </w:numPr>
      </w:pPr>
      <w:r>
        <w:t xml:space="preserve">Editable summaries that</w:t>
      </w:r>
      <w:r>
        <w:t xml:space="preserve"> </w:t>
      </w:r>
      <w:r>
        <w:rPr>
          <w:b/>
          <w:bCs/>
        </w:rPr>
        <w:t xml:space="preserve">must cite</w:t>
      </w:r>
      <w:r>
        <w:t xml:space="preserve"> </w:t>
      </w:r>
      <w:r>
        <w:t xml:space="preserve">Session Ledger entries.</w:t>
      </w:r>
    </w:p>
    <w:p>
      <w:pPr>
        <w:pStyle w:val="Compact"/>
        <w:numPr>
          <w:ilvl w:val="0"/>
          <w:numId w:val="1008"/>
        </w:numPr>
      </w:pPr>
      <w:r>
        <w:t xml:space="preserve">Conflicting updates must surface conflicts instead of silently resolving them.</w:t>
      </w:r>
    </w:p>
    <w:bookmarkEnd w:id="22"/>
    <w:bookmarkStart w:id="23" w:name="layer-c-clue-thread-registry"/>
    <w:p>
      <w:pPr>
        <w:pStyle w:val="Heading3"/>
      </w:pPr>
      <w:r>
        <w:t xml:space="preserve">Layer C — Clue &amp; Thread Registry</w:t>
      </w:r>
    </w:p>
    <w:p>
      <w:pPr>
        <w:pStyle w:val="Compact"/>
        <w:numPr>
          <w:ilvl w:val="0"/>
          <w:numId w:val="1009"/>
        </w:numPr>
      </w:pPr>
      <w:r>
        <w:t xml:space="preserve">Each unresolved element is tracked as a first-class object:</w:t>
      </w:r>
    </w:p>
    <w:p>
      <w:pPr>
        <w:pStyle w:val="Compact"/>
        <w:numPr>
          <w:ilvl w:val="1"/>
          <w:numId w:val="1010"/>
        </w:numPr>
      </w:pPr>
      <w:r>
        <w:t xml:space="preserve">When it appeared</w:t>
      </w:r>
    </w:p>
    <w:p>
      <w:pPr>
        <w:pStyle w:val="Compact"/>
        <w:numPr>
          <w:ilvl w:val="1"/>
          <w:numId w:val="1010"/>
        </w:numPr>
      </w:pPr>
      <w:r>
        <w:t xml:space="preserve">Who witnessed it</w:t>
      </w:r>
    </w:p>
    <w:p>
      <w:pPr>
        <w:pStyle w:val="Compact"/>
        <w:numPr>
          <w:ilvl w:val="1"/>
          <w:numId w:val="1010"/>
        </w:numPr>
      </w:pPr>
      <w:r>
        <w:t xml:space="preserve">What it implies</w:t>
      </w:r>
    </w:p>
    <w:p>
      <w:pPr>
        <w:pStyle w:val="Compact"/>
        <w:numPr>
          <w:ilvl w:val="1"/>
          <w:numId w:val="1010"/>
        </w:numPr>
      </w:pPr>
      <w:r>
        <w:t xml:space="preserve">Resolution status</w:t>
      </w:r>
    </w:p>
    <w:bookmarkEnd w:id="23"/>
    <w:bookmarkStart w:id="24" w:name="layer-d-campaign-intent-arcs"/>
    <w:p>
      <w:pPr>
        <w:pStyle w:val="Heading3"/>
      </w:pPr>
      <w:r>
        <w:t xml:space="preserve">Layer D — Campaign Intent &amp; Arcs</w:t>
      </w:r>
    </w:p>
    <w:p>
      <w:pPr>
        <w:pStyle w:val="Compact"/>
        <w:numPr>
          <w:ilvl w:val="0"/>
          <w:numId w:val="1011"/>
        </w:numPr>
      </w:pPr>
      <w:r>
        <w:t xml:space="preserve">Long-term themes, planned beats, and speculative outcomes.</w:t>
      </w:r>
    </w:p>
    <w:p>
      <w:pPr>
        <w:pStyle w:val="Compact"/>
        <w:numPr>
          <w:ilvl w:val="0"/>
          <w:numId w:val="1011"/>
        </w:numPr>
      </w:pPr>
      <w:r>
        <w:t xml:space="preserve">Non-authoritative and explicitly allowed to change.</w:t>
      </w:r>
    </w:p>
    <w:p>
      <w:r>
        <w:pict>
          <v:rect style="width:0;height:1.5pt" o:hralign="center" o:hrstd="t" o:hr="t"/>
        </w:pict>
      </w:r>
    </w:p>
    <w:bookmarkEnd w:id="24"/>
    <w:bookmarkEnd w:id="25"/>
    <w:bookmarkStart w:id="26" w:name="npc-memory-personality-persistence"/>
    <w:p>
      <w:pPr>
        <w:pStyle w:val="Heading2"/>
      </w:pPr>
      <w:r>
        <w:t xml:space="preserve">3. NPC Memory &amp; Personality Persistence</w:t>
      </w:r>
    </w:p>
    <w:p>
      <w:pPr>
        <w:pStyle w:val="Compact"/>
        <w:numPr>
          <w:ilvl w:val="0"/>
          <w:numId w:val="1012"/>
        </w:numPr>
      </w:pPr>
      <w:r>
        <w:t xml:space="preserve">NPCs possess bounded knowledge:</w:t>
      </w:r>
    </w:p>
    <w:p>
      <w:pPr>
        <w:pStyle w:val="Compact"/>
        <w:numPr>
          <w:ilvl w:val="1"/>
          <w:numId w:val="1013"/>
        </w:numPr>
      </w:pPr>
      <w:r>
        <w:t xml:space="preserve">What they personally witnessed</w:t>
      </w:r>
    </w:p>
    <w:p>
      <w:pPr>
        <w:pStyle w:val="Compact"/>
        <w:numPr>
          <w:ilvl w:val="1"/>
          <w:numId w:val="1013"/>
        </w:numPr>
      </w:pPr>
      <w:r>
        <w:t xml:space="preserve">What they were told (with uncertainty)</w:t>
      </w:r>
    </w:p>
    <w:p>
      <w:pPr>
        <w:pStyle w:val="Compact"/>
        <w:numPr>
          <w:ilvl w:val="1"/>
          <w:numId w:val="1013"/>
        </w:numPr>
      </w:pPr>
      <w:r>
        <w:t xml:space="preserve">Long-term traits (ideals, fears, loyalties)</w:t>
      </w:r>
    </w:p>
    <w:p>
      <w:pPr>
        <w:pStyle w:val="Compact"/>
        <w:numPr>
          <w:ilvl w:val="0"/>
          <w:numId w:val="1012"/>
        </w:numPr>
      </w:pPr>
      <w:r>
        <w:t xml:space="preserve">NPC memory is</w:t>
      </w:r>
      <w:r>
        <w:t xml:space="preserve"> </w:t>
      </w:r>
      <w:r>
        <w:rPr>
          <w:b/>
          <w:bCs/>
        </w:rPr>
        <w:t xml:space="preserve">not omniscient</w:t>
      </w:r>
      <w:r>
        <w:t xml:space="preserve">.</w:t>
      </w:r>
    </w:p>
    <w:p>
      <w:pPr>
        <w:pStyle w:val="Compact"/>
        <w:numPr>
          <w:ilvl w:val="0"/>
          <w:numId w:val="1012"/>
        </w:numPr>
      </w:pPr>
      <w:r>
        <w:t xml:space="preserve">Personality drift must be explainable via recorded events.</w:t>
      </w:r>
    </w:p>
    <w:p>
      <w:r>
        <w:pict>
          <v:rect style="width:0;height:1.5pt" o:hralign="center" o:hrstd="t" o:hr="t"/>
        </w:pict>
      </w:r>
    </w:p>
    <w:bookmarkEnd w:id="26"/>
    <w:bookmarkStart w:id="27" w:name="player-character-memory-agency"/>
    <w:p>
      <w:pPr>
        <w:pStyle w:val="Heading2"/>
      </w:pPr>
      <w:r>
        <w:t xml:space="preserve">4. Player Character Memory &amp; Agency</w:t>
      </w:r>
    </w:p>
    <w:p>
      <w:pPr>
        <w:pStyle w:val="Compact"/>
        <w:numPr>
          <w:ilvl w:val="0"/>
          <w:numId w:val="1014"/>
        </w:numPr>
      </w:pPr>
      <w:r>
        <w:t xml:space="preserve">Player characters are not constrained by narrative intent.</w:t>
      </w:r>
    </w:p>
    <w:p>
      <w:pPr>
        <w:pStyle w:val="Compact"/>
        <w:numPr>
          <w:ilvl w:val="0"/>
          <w:numId w:val="1014"/>
        </w:numPr>
      </w:pPr>
      <w:r>
        <w:t xml:space="preserve">All player actions are recorded descriptively, not prescriptively.</w:t>
      </w:r>
    </w:p>
    <w:p>
      <w:pPr>
        <w:pStyle w:val="Compact"/>
        <w:numPr>
          <w:ilvl w:val="0"/>
          <w:numId w:val="1014"/>
        </w:numPr>
      </w:pPr>
      <w:r>
        <w:t xml:space="preserve">The system adapts to unexpected player freedom by recording outcomes, not enforcing arcs.</w:t>
      </w:r>
    </w:p>
    <w:p>
      <w:r>
        <w:pict>
          <v:rect style="width:0;height:1.5pt" o:hralign="center" o:hrstd="t" o:hr="t"/>
        </w:pict>
      </w:r>
    </w:p>
    <w:bookmarkEnd w:id="27"/>
    <w:bookmarkStart w:id="32" w:name="alignment-dynamics-critical-addition"/>
    <w:p>
      <w:pPr>
        <w:pStyle w:val="Heading2"/>
      </w:pPr>
      <w:r>
        <w:t xml:space="preserve">5. Alignment Dynamics (Critical Addition)</w:t>
      </w:r>
    </w:p>
    <w:bookmarkStart w:id="28" w:name="initial-alignment-declaration"/>
    <w:p>
      <w:pPr>
        <w:pStyle w:val="Heading3"/>
      </w:pPr>
      <w:r>
        <w:t xml:space="preserve">5.1 Initial Alignment Declaration</w:t>
      </w:r>
    </w:p>
    <w:p>
      <w:pPr>
        <w:pStyle w:val="Compact"/>
        <w:numPr>
          <w:ilvl w:val="0"/>
          <w:numId w:val="1015"/>
        </w:numPr>
      </w:pPr>
      <w:r>
        <w:t xml:space="preserve">At character creation, players declare an initial alignment.</w:t>
      </w:r>
    </w:p>
    <w:p>
      <w:pPr>
        <w:pStyle w:val="Compact"/>
        <w:numPr>
          <w:ilvl w:val="0"/>
          <w:numId w:val="1015"/>
        </w:numPr>
      </w:pPr>
      <w:r>
        <w:t xml:space="preserve">This declaration is</w:t>
      </w:r>
      <w:r>
        <w:t xml:space="preserve"> </w:t>
      </w:r>
      <w:r>
        <w:rPr>
          <w:b/>
          <w:bCs/>
        </w:rPr>
        <w:t xml:space="preserve">provisional</w:t>
      </w:r>
      <w:r>
        <w:t xml:space="preserve">, not permanent truth.</w:t>
      </w:r>
    </w:p>
    <w:bookmarkEnd w:id="28"/>
    <w:bookmarkStart w:id="29" w:name="alignment-evaluation-model"/>
    <w:p>
      <w:pPr>
        <w:pStyle w:val="Heading3"/>
      </w:pPr>
      <w:r>
        <w:t xml:space="preserve">5.2 Alignment Evaluation Model</w:t>
      </w:r>
    </w:p>
    <w:p>
      <w:pPr>
        <w:pStyle w:val="Compact"/>
        <w:numPr>
          <w:ilvl w:val="0"/>
          <w:numId w:val="1016"/>
        </w:numPr>
      </w:pPr>
      <w:r>
        <w:t xml:space="preserve">Alignment is evaluated over time based on:</w:t>
      </w:r>
    </w:p>
    <w:p>
      <w:pPr>
        <w:pStyle w:val="Compact"/>
        <w:numPr>
          <w:ilvl w:val="1"/>
          <w:numId w:val="1017"/>
        </w:numPr>
      </w:pPr>
      <w:r>
        <w:t xml:space="preserve">Repeated choices</w:t>
      </w:r>
    </w:p>
    <w:p>
      <w:pPr>
        <w:pStyle w:val="Compact"/>
        <w:numPr>
          <w:ilvl w:val="1"/>
          <w:numId w:val="1017"/>
        </w:numPr>
      </w:pPr>
      <w:r>
        <w:t xml:space="preserve">Consistent behavior patterns</w:t>
      </w:r>
    </w:p>
    <w:p>
      <w:pPr>
        <w:pStyle w:val="Compact"/>
        <w:numPr>
          <w:ilvl w:val="1"/>
          <w:numId w:val="1017"/>
        </w:numPr>
      </w:pPr>
      <w:r>
        <w:t xml:space="preserve">Consequences of actions (intended or not)</w:t>
      </w:r>
    </w:p>
    <w:p>
      <w:pPr>
        <w:pStyle w:val="Compact"/>
        <w:numPr>
          <w:ilvl w:val="0"/>
          <w:numId w:val="1016"/>
        </w:numPr>
      </w:pPr>
      <w:r>
        <w:t xml:space="preserve">Single actions do not flip alignment.</w:t>
      </w:r>
    </w:p>
    <w:p>
      <w:pPr>
        <w:pStyle w:val="Compact"/>
        <w:numPr>
          <w:ilvl w:val="0"/>
          <w:numId w:val="1016"/>
        </w:numPr>
      </w:pPr>
      <w:r>
        <w:t xml:space="preserve">Trends do.</w:t>
      </w:r>
    </w:p>
    <w:bookmarkEnd w:id="29"/>
    <w:bookmarkStart w:id="30" w:name="alignment-evidence-record"/>
    <w:p>
      <w:pPr>
        <w:pStyle w:val="Heading3"/>
      </w:pPr>
      <w:r>
        <w:t xml:space="preserve">5.3 Alignment Evidence Record</w:t>
      </w:r>
    </w:p>
    <w:p>
      <w:pPr>
        <w:pStyle w:val="Compact"/>
        <w:numPr>
          <w:ilvl w:val="0"/>
          <w:numId w:val="1018"/>
        </w:numPr>
      </w:pPr>
      <w:r>
        <w:t xml:space="preserve">Each character maintains an</w:t>
      </w:r>
      <w:r>
        <w:t xml:space="preserve"> </w:t>
      </w:r>
      <w:r>
        <w:rPr>
          <w:b/>
          <w:bCs/>
        </w:rPr>
        <w:t xml:space="preserve">Alignment Evidence Log</w:t>
      </w:r>
      <w:r>
        <w:t xml:space="preserve"> </w:t>
      </w:r>
      <w:r>
        <w:t xml:space="preserve">containing:</w:t>
      </w:r>
    </w:p>
    <w:p>
      <w:pPr>
        <w:pStyle w:val="Compact"/>
        <w:numPr>
          <w:ilvl w:val="1"/>
          <w:numId w:val="1019"/>
        </w:numPr>
      </w:pPr>
      <w:r>
        <w:t xml:space="preserve">Significant moral decisions</w:t>
      </w:r>
    </w:p>
    <w:p>
      <w:pPr>
        <w:pStyle w:val="Compact"/>
        <w:numPr>
          <w:ilvl w:val="1"/>
          <w:numId w:val="1019"/>
        </w:numPr>
      </w:pPr>
      <w:r>
        <w:t xml:space="preserve">Harm caused or prevented</w:t>
      </w:r>
    </w:p>
    <w:p>
      <w:pPr>
        <w:pStyle w:val="Compact"/>
        <w:numPr>
          <w:ilvl w:val="1"/>
          <w:numId w:val="1019"/>
        </w:numPr>
      </w:pPr>
      <w:r>
        <w:t xml:space="preserve">Betrayals, mercy, sacrifice, cruelty</w:t>
      </w:r>
    </w:p>
    <w:p>
      <w:pPr>
        <w:pStyle w:val="Compact"/>
        <w:numPr>
          <w:ilvl w:val="0"/>
          <w:numId w:val="1018"/>
        </w:numPr>
      </w:pPr>
      <w:r>
        <w:t xml:space="preserve">Evaluations must reference this log.</w:t>
      </w:r>
    </w:p>
    <w:bookmarkEnd w:id="30"/>
    <w:bookmarkStart w:id="31" w:name="alignment-shift-rules"/>
    <w:p>
      <w:pPr>
        <w:pStyle w:val="Heading3"/>
      </w:pPr>
      <w:r>
        <w:t xml:space="preserve">5.4 Alignment Shift Rules</w:t>
      </w:r>
    </w:p>
    <w:p>
      <w:pPr>
        <w:pStyle w:val="Compact"/>
        <w:numPr>
          <w:ilvl w:val="0"/>
          <w:numId w:val="1020"/>
        </w:numPr>
      </w:pPr>
      <w:r>
        <w:t xml:space="preserve">Alignment shifts:</w:t>
      </w:r>
    </w:p>
    <w:p>
      <w:pPr>
        <w:pStyle w:val="Compact"/>
        <w:numPr>
          <w:ilvl w:val="1"/>
          <w:numId w:val="1021"/>
        </w:numPr>
      </w:pPr>
      <w:r>
        <w:t xml:space="preserve">Are gradual</w:t>
      </w:r>
    </w:p>
    <w:p>
      <w:pPr>
        <w:pStyle w:val="Compact"/>
        <w:numPr>
          <w:ilvl w:val="1"/>
          <w:numId w:val="1021"/>
        </w:numPr>
      </w:pPr>
      <w:r>
        <w:t xml:space="preserve">Must be justified with evidence</w:t>
      </w:r>
    </w:p>
    <w:p>
      <w:pPr>
        <w:pStyle w:val="Compact"/>
        <w:numPr>
          <w:ilvl w:val="1"/>
          <w:numId w:val="1021"/>
        </w:numPr>
      </w:pPr>
      <w:r>
        <w:t xml:space="preserve">Are surfaced to the player explicitly when thresholds are crossed</w:t>
      </w:r>
    </w:p>
    <w:p>
      <w:r>
        <w:pict>
          <v:rect style="width:0;height:1.5pt" o:hralign="center" o:hrstd="t" o:hr="t"/>
        </w:pict>
      </w:r>
    </w:p>
    <w:bookmarkEnd w:id="31"/>
    <w:bookmarkEnd w:id="32"/>
    <w:bookmarkStart w:id="33" w:name="X7db9b46f9ef6c2f7c84d0037e79ece78f7fb00e"/>
    <w:p>
      <w:pPr>
        <w:pStyle w:val="Heading2"/>
      </w:pPr>
      <w:r>
        <w:t xml:space="preserve">6. Religion, Deities, and Alignment Constraints</w:t>
      </w:r>
    </w:p>
    <w:p>
      <w:pPr>
        <w:numPr>
          <w:ilvl w:val="0"/>
          <w:numId w:val="1022"/>
        </w:numPr>
      </w:pPr>
      <w:r>
        <w:t xml:space="preserve">Deities have explicit alignment requirements.</w:t>
      </w:r>
    </w:p>
    <w:p>
      <w:pPr>
        <w:numPr>
          <w:ilvl w:val="0"/>
          <w:numId w:val="1022"/>
        </w:numPr>
      </w:pPr>
      <w:r>
        <w:t xml:space="preserve">Religious benefits, obligations, and consequences depend on</w:t>
      </w:r>
      <w:r>
        <w:t xml:space="preserve"> </w:t>
      </w:r>
      <w:r>
        <w:rPr>
          <w:b/>
          <w:bCs/>
        </w:rPr>
        <w:t xml:space="preserve">actual alignment</w:t>
      </w:r>
      <w:r>
        <w:t xml:space="preserve">, not declared alignment.</w:t>
      </w:r>
    </w:p>
    <w:p>
      <w:pPr>
        <w:numPr>
          <w:ilvl w:val="0"/>
          <w:numId w:val="1022"/>
        </w:numPr>
      </w:pPr>
      <w:r>
        <w:t xml:space="preserve">If a character’s evaluated alignment drifts:</w:t>
      </w:r>
    </w:p>
    <w:p>
      <w:pPr>
        <w:pStyle w:val="Compact"/>
        <w:numPr>
          <w:ilvl w:val="1"/>
          <w:numId w:val="1023"/>
        </w:numPr>
      </w:pPr>
      <w:r>
        <w:t xml:space="preserve">Divine favor may weaken or vanish</w:t>
      </w:r>
    </w:p>
    <w:p>
      <w:pPr>
        <w:pStyle w:val="Compact"/>
        <w:numPr>
          <w:ilvl w:val="1"/>
          <w:numId w:val="1023"/>
        </w:numPr>
      </w:pPr>
      <w:r>
        <w:t xml:space="preserve">Spells, blessings, or class features may be affected (per rules)</w:t>
      </w:r>
    </w:p>
    <w:p>
      <w:pPr>
        <w:numPr>
          <w:ilvl w:val="0"/>
          <w:numId w:val="1022"/>
        </w:numPr>
      </w:pPr>
      <w:r>
        <w:t xml:space="preserve">These consequences are</w:t>
      </w:r>
      <w:r>
        <w:t xml:space="preserve"> </w:t>
      </w:r>
      <w:r>
        <w:rPr>
          <w:b/>
          <w:bCs/>
        </w:rPr>
        <w:t xml:space="preserve">outcomes</w:t>
      </w:r>
      <w:r>
        <w:t xml:space="preserve">, not judgments.</w:t>
      </w:r>
    </w:p>
    <w:p>
      <w:r>
        <w:pict>
          <v:rect style="width:0;height:1.5pt" o:hralign="center" o:hrstd="t" o:hr="t"/>
        </w:pict>
      </w:r>
    </w:p>
    <w:bookmarkEnd w:id="33"/>
    <w:bookmarkStart w:id="34" w:name="X117ab4e362e9a1d35a636ad1148bfaf0b7f055a"/>
    <w:p>
      <w:pPr>
        <w:pStyle w:val="Heading2"/>
      </w:pPr>
      <w:r>
        <w:t xml:space="preserve">7. Retrieval Discipline (</w:t>
      </w:r>
      <w:r>
        <w:t xml:space="preserve">“Answer With Receipts”</w:t>
      </w:r>
      <w:r>
        <w:t xml:space="preserve">)</w:t>
      </w:r>
    </w:p>
    <w:p>
      <w:pPr>
        <w:pStyle w:val="FirstParagraph"/>
      </w:pPr>
      <w:r>
        <w:t xml:space="preserve">When recalling past information, the system must:</w:t>
      </w:r>
      <w:r>
        <w:t xml:space="preserve"> </w:t>
      </w:r>
      <w:r>
        <w:t xml:space="preserve">1. Locate the primary Session Ledger entry</w:t>
      </w:r>
      <w:r>
        <w:t xml:space="preserve"> </w:t>
      </w:r>
      <w:r>
        <w:t xml:space="preserve">2. Reference supporting records (NPC, clue, alignment logs)</w:t>
      </w:r>
      <w:r>
        <w:t xml:space="preserve"> </w:t>
      </w:r>
      <w:r>
        <w:t xml:space="preserve">3. Surface uncertainty explicitly if present</w:t>
      </w:r>
    </w:p>
    <w:p>
      <w:pPr>
        <w:pStyle w:val="BodyText"/>
      </w:pPr>
      <w:r>
        <w:t xml:space="preserve">No recall may rely on narrative inference alone.</w:t>
      </w:r>
    </w:p>
    <w:p>
      <w:r>
        <w:pict>
          <v:rect style="width:0;height:1.5pt" o:hralign="center" o:hrstd="t" o:hr="t"/>
        </w:pict>
      </w:r>
    </w:p>
    <w:bookmarkEnd w:id="34"/>
    <w:bookmarkStart w:id="35" w:name="adult-unrestricted-narrative-content"/>
    <w:p>
      <w:pPr>
        <w:pStyle w:val="Heading2"/>
      </w:pPr>
      <w:r>
        <w:t xml:space="preserve">8. Adult / Unrestricted Narrative Content</w:t>
      </w:r>
    </w:p>
    <w:p>
      <w:pPr>
        <w:pStyle w:val="Compact"/>
        <w:numPr>
          <w:ilvl w:val="0"/>
          <w:numId w:val="1024"/>
        </w:numPr>
      </w:pPr>
      <w:r>
        <w:t xml:space="preserve">Memory systems are content-agnostic.</w:t>
      </w:r>
    </w:p>
    <w:p>
      <w:pPr>
        <w:pStyle w:val="Compact"/>
        <w:numPr>
          <w:ilvl w:val="0"/>
          <w:numId w:val="1024"/>
        </w:numPr>
      </w:pPr>
      <w:r>
        <w:t xml:space="preserve">No automatic sanitization, filtering, or moral framing.</w:t>
      </w:r>
    </w:p>
    <w:p>
      <w:pPr>
        <w:pStyle w:val="Compact"/>
        <w:numPr>
          <w:ilvl w:val="0"/>
          <w:numId w:val="1024"/>
        </w:numPr>
      </w:pPr>
      <w:r>
        <w:t xml:space="preserve">Any safety handling occurs outside the memory layer.</w:t>
      </w:r>
    </w:p>
    <w:p>
      <w:r>
        <w:pict>
          <v:rect style="width:0;height:1.5pt" o:hralign="center" o:hrstd="t" o:hr="t"/>
        </w:pict>
      </w:r>
    </w:p>
    <w:bookmarkEnd w:id="35"/>
    <w:bookmarkStart w:id="36" w:name="scale-performance-considerations"/>
    <w:p>
      <w:pPr>
        <w:pStyle w:val="Heading2"/>
      </w:pPr>
      <w:r>
        <w:t xml:space="preserve">9. Scale &amp; Performance Considerations</w:t>
      </w:r>
    </w:p>
    <w:p>
      <w:pPr>
        <w:pStyle w:val="Compact"/>
        <w:numPr>
          <w:ilvl w:val="0"/>
          <w:numId w:val="1025"/>
        </w:numPr>
      </w:pPr>
      <w:r>
        <w:t xml:space="preserve">Campaigns are expected to span dozens to hundreds of sessions.</w:t>
      </w:r>
    </w:p>
    <w:p>
      <w:pPr>
        <w:pStyle w:val="Compact"/>
        <w:numPr>
          <w:ilvl w:val="0"/>
          <w:numId w:val="1025"/>
        </w:numPr>
      </w:pPr>
      <w:r>
        <w:t xml:space="preserve">Memory must support:</w:t>
      </w:r>
    </w:p>
    <w:p>
      <w:pPr>
        <w:pStyle w:val="Compact"/>
        <w:numPr>
          <w:ilvl w:val="1"/>
          <w:numId w:val="1026"/>
        </w:numPr>
      </w:pPr>
      <w:r>
        <w:t xml:space="preserve">Tiered retrieval (recent vs archival)</w:t>
      </w:r>
    </w:p>
    <w:p>
      <w:pPr>
        <w:pStyle w:val="Compact"/>
        <w:numPr>
          <w:ilvl w:val="1"/>
          <w:numId w:val="1026"/>
        </w:numPr>
      </w:pPr>
      <w:r>
        <w:t xml:space="preserve">Deterministic recall</w:t>
      </w:r>
    </w:p>
    <w:p>
      <w:pPr>
        <w:pStyle w:val="Compact"/>
        <w:numPr>
          <w:ilvl w:val="1"/>
          <w:numId w:val="1026"/>
        </w:numPr>
      </w:pPr>
      <w:r>
        <w:t xml:space="preserve">Explicit archival, never silent forgetting</w:t>
      </w:r>
    </w:p>
    <w:p>
      <w:r>
        <w:pict>
          <v:rect style="width:0;height:1.5pt" o:hralign="center" o:hrstd="t" o:hr="t"/>
        </w:pict>
      </w:r>
    </w:p>
    <w:bookmarkEnd w:id="36"/>
    <w:bookmarkStart w:id="37" w:name="non-goals"/>
    <w:p>
      <w:pPr>
        <w:pStyle w:val="Heading2"/>
      </w:pPr>
      <w:r>
        <w:t xml:space="preserve">10. Non-Goals</w:t>
      </w:r>
    </w:p>
    <w:p>
      <w:pPr>
        <w:pStyle w:val="FirstParagraph"/>
      </w:pPr>
      <w:r>
        <w:t xml:space="preserve">This document does</w:t>
      </w:r>
      <w:r>
        <w:t xml:space="preserve"> </w:t>
      </w:r>
      <w:r>
        <w:rPr>
          <w:b/>
          <w:bCs/>
        </w:rPr>
        <w:t xml:space="preserve">not</w:t>
      </w:r>
      <w:r>
        <w:t xml:space="preserve">:</w:t>
      </w:r>
      <w:r>
        <w:t xml:space="preserve"> </w:t>
      </w:r>
      <w:r>
        <w:t xml:space="preserve">- Define combat resolution</w:t>
      </w:r>
      <w:r>
        <w:t xml:space="preserve"> </w:t>
      </w:r>
      <w:r>
        <w:t xml:space="preserve">- Implement alignment math</w:t>
      </w:r>
      <w:r>
        <w:t xml:space="preserve"> </w:t>
      </w:r>
      <w:r>
        <w:t xml:space="preserve">- Replace player agency</w:t>
      </w:r>
      <w:r>
        <w:t xml:space="preserve"> </w:t>
      </w:r>
      <w:r>
        <w:t xml:space="preserve">- Enforce narrative outcomes</w:t>
      </w:r>
    </w:p>
    <w:p>
      <w:r>
        <w:pict>
          <v:rect style="width:0;height:1.5pt" o:hralign="center" o:hrstd="t" o:hr="t"/>
        </w:pict>
      </w:r>
    </w:p>
    <w:bookmarkEnd w:id="37"/>
    <w:bookmarkStart w:id="38" w:name="design-intent-summary"/>
    <w:p>
      <w:pPr>
        <w:pStyle w:val="Heading2"/>
      </w:pPr>
      <w:r>
        <w:t xml:space="preserve">11. Design Intent Summary</w:t>
      </w:r>
    </w:p>
    <w:p>
      <w:pPr>
        <w:pStyle w:val="FirstParagraph"/>
      </w:pPr>
      <w:r>
        <w:t xml:space="preserve">This system exists to ensure that:</w:t>
      </w:r>
      <w:r>
        <w:t xml:space="preserve"> </w:t>
      </w:r>
      <w:r>
        <w:t xml:space="preserve">- Long-term stories remain coherent</w:t>
      </w:r>
      <w:r>
        <w:t xml:space="preserve"> </w:t>
      </w:r>
      <w:r>
        <w:t xml:space="preserve">- Characters change because of what they do</w:t>
      </w:r>
      <w:r>
        <w:t xml:space="preserve"> </w:t>
      </w:r>
      <w:r>
        <w:t xml:space="preserve">- Alignment and religion matter because actions matter</w:t>
      </w:r>
      <w:r>
        <w:t xml:space="preserve"> </w:t>
      </w:r>
      <w:r>
        <w:t xml:space="preserve">- Narrative creativity is free precisely because truth is fixed</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2026-02-07T16:28:58Z</dcterms:created>
  <dcterms:modified xsi:type="dcterms:W3CDTF">2026-02-07T16:28:58Z</dcterms:modified>
</cp:coreProperties>
</file>

<file path=docProps/custom.xml><?xml version="1.0" encoding="utf-8"?>
<Properties xmlns="http://schemas.openxmlformats.org/officeDocument/2006/custom-properties" xmlns:vt="http://schemas.openxmlformats.org/officeDocument/2006/docPropsVTypes"/>
</file>