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7a01d7bfaac23f700fffeec9e68cb51555abdb9"/>
    <w:p>
      <w:pPr>
        <w:pStyle w:val="Heading1"/>
      </w:pPr>
      <w:r>
        <w:t xml:space="preserve">CP-ALIGN — Alignment Drift &amp; Moral Trajectory Specification (Second Draft)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Draft v2 (Audit-Adjusted)</w:t>
      </w:r>
    </w:p>
    <w:p>
      <w:pPr>
        <w:pStyle w:val="BodyText"/>
      </w:pPr>
      <w:r>
        <w:rPr>
          <w:b/>
          <w:bCs/>
        </w:rPr>
        <w:t xml:space="preserve">Authority:</w:t>
      </w:r>
      <w:r>
        <w:t xml:space="preserve"> </w:t>
      </w:r>
      <w:r>
        <w:t xml:space="preserve">Binding once merged</w:t>
      </w:r>
    </w:p>
    <w:p>
      <w:pPr>
        <w:pStyle w:val="BodyText"/>
      </w:pPr>
      <w:r>
        <w:rPr>
          <w:b/>
          <w:bCs/>
        </w:rPr>
        <w:t xml:space="preserve">Layer:</w:t>
      </w:r>
      <w:r>
        <w:t xml:space="preserve"> </w:t>
      </w:r>
      <w:r>
        <w:t xml:space="preserve">Layer 3 — Campaign &amp; Adventure Management</w:t>
      </w:r>
    </w:p>
    <w:p>
      <w:r>
        <w:pict>
          <v:rect style="width:0;height:1.5pt" o:hralign="center" o:hrstd="t" o:hr="t"/>
        </w:pict>
      </w:r>
    </w:p>
    <w:bookmarkStart w:id="20" w:name="purpose-scope"/>
    <w:p>
      <w:pPr>
        <w:pStyle w:val="Heading2"/>
      </w:pPr>
      <w:r>
        <w:t xml:space="preserve">1. Purpose &amp; Scope</w:t>
      </w:r>
    </w:p>
    <w:p>
      <w:pPr>
        <w:pStyle w:val="FirstParagraph"/>
      </w:pPr>
      <w:r>
        <w:t xml:space="preserve">This document defines the</w:t>
      </w:r>
      <w:r>
        <w:t xml:space="preserve"> </w:t>
      </w:r>
      <w:r>
        <w:rPr>
          <w:b/>
          <w:bCs/>
        </w:rPr>
        <w:t xml:space="preserve">canonical, deterministic mechanism</w:t>
      </w:r>
      <w:r>
        <w:t xml:space="preserve"> </w:t>
      </w:r>
      <w:r>
        <w:t xml:space="preserve">for tracking, quantifying, and resolving character alignment drift over time within the AIDM system.</w:t>
      </w:r>
    </w:p>
    <w:p>
      <w:pPr>
        <w:pStyle w:val="BodyText"/>
      </w:pPr>
      <w:r>
        <w:t xml:space="preserve">Alignment is treated as a</w:t>
      </w:r>
      <w:r>
        <w:t xml:space="preserve"> </w:t>
      </w:r>
      <w:r>
        <w:rPr>
          <w:b/>
          <w:bCs/>
        </w:rPr>
        <w:t xml:space="preserve">continuous moral state derived from historical actions</w:t>
      </w:r>
      <w:r>
        <w:t xml:space="preserve">, while remaining fully compatible with D&amp;D 3.5e RAW alignment-dependent mechanics (spells, class features, creature types).</w:t>
      </w:r>
    </w:p>
    <w:p>
      <w:pPr>
        <w:pStyle w:val="BodyText"/>
      </w:pPr>
      <w:r>
        <w:rPr>
          <w:b/>
          <w:bCs/>
        </w:rPr>
        <w:t xml:space="preserve">In Scope:</w:t>
      </w:r>
      <w:r>
        <w:t xml:space="preserve"> </w:t>
      </w:r>
      <w:r>
        <w:t xml:space="preserve">- Alignment state representation and seeding</w:t>
      </w:r>
      <w:r>
        <w:t xml:space="preserve"> </w:t>
      </w:r>
      <w:r>
        <w:t xml:space="preserve">- Alignment-affecting events and intent modeling</w:t>
      </w:r>
      <w:r>
        <w:t xml:space="preserve"> </w:t>
      </w:r>
      <w:r>
        <w:t xml:space="preserve">- Drift accumulation and stabilization rules</w:t>
      </w:r>
      <w:r>
        <w:t xml:space="preserve"> </w:t>
      </w:r>
      <w:r>
        <w:t xml:space="preserve">- Thresholds and hysteresis</w:t>
      </w:r>
      <w:r>
        <w:t xml:space="preserve"> </w:t>
      </w:r>
      <w:r>
        <w:t xml:space="preserve">- Deterministic integration with the AIDM event log</w:t>
      </w:r>
    </w:p>
    <w:p>
      <w:pPr>
        <w:pStyle w:val="BodyText"/>
      </w:pPr>
      <w:r>
        <w:rPr>
          <w:b/>
          <w:bCs/>
        </w:rPr>
        <w:t xml:space="preserve">Out of Scope:</w:t>
      </w:r>
      <w:r>
        <w:t xml:space="preserve"> </w:t>
      </w:r>
      <w:r>
        <w:t xml:space="preserve">- Deity-specific forgiveness or exception mechanics</w:t>
      </w:r>
      <w:r>
        <w:t xml:space="preserve"> </w:t>
      </w:r>
      <w:r>
        <w:t xml:space="preserve">- Spell-specific alignment overrides (handled in CP-18+)</w:t>
      </w:r>
      <w:r>
        <w:t xml:space="preserve"> </w:t>
      </w:r>
      <w:r>
        <w:t xml:space="preserve">- Homebrew morality systems</w:t>
      </w:r>
    </w:p>
    <w:p>
      <w:r>
        <w:pict>
          <v:rect style="width:0;height:1.5pt" o:hralign="center" o:hrstd="t" o:hr="t"/>
        </w:pict>
      </w:r>
    </w:p>
    <w:bookmarkEnd w:id="20"/>
    <w:bookmarkStart w:id="21" w:name="design-principles"/>
    <w:p>
      <w:pPr>
        <w:pStyle w:val="Heading2"/>
      </w:pPr>
      <w:r>
        <w:t xml:space="preserve">2. Design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Determinism First</w:t>
      </w:r>
      <w:r>
        <w:t xml:space="preserve"> </w:t>
      </w:r>
      <w:r>
        <w:t xml:space="preserve">— Identical event logs must yield identical alignment states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Intent Over Outcome</w:t>
      </w:r>
      <w:r>
        <w:t xml:space="preserve"> </w:t>
      </w:r>
      <w:r>
        <w:t xml:space="preserve">— Moral weight is gated by intent, not randomness or luck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Gradualism</w:t>
      </w:r>
      <w:r>
        <w:t xml:space="preserve"> </w:t>
      </w:r>
      <w:r>
        <w:t xml:space="preserve">— Alignment shifts emerge from patterns, not isolated moments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Auditability</w:t>
      </w:r>
      <w:r>
        <w:t xml:space="preserve"> </w:t>
      </w:r>
      <w:r>
        <w:t xml:space="preserve">— Every alignment change must be traceable to logged events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RAW Compatibility</w:t>
      </w:r>
      <w:r>
        <w:t xml:space="preserve"> </w:t>
      </w:r>
      <w:r>
        <w:t xml:space="preserve">— Alignment labels remain usable by existing rules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Layer Isolation</w:t>
      </w:r>
      <w:r>
        <w:t xml:space="preserve"> </w:t>
      </w:r>
      <w:r>
        <w:t xml:space="preserve">— No DM or Policy Engine fiat may directly mutate alignment</w:t>
      </w:r>
    </w:p>
    <w:p>
      <w:r>
        <w:pict>
          <v:rect style="width:0;height:1.5pt" o:hralign="center" o:hrstd="t" o:hr="t"/>
        </w:pict>
      </w:r>
    </w:p>
    <w:bookmarkEnd w:id="21"/>
    <w:bookmarkStart w:id="25" w:name="alignment-state-model"/>
    <w:p>
      <w:pPr>
        <w:pStyle w:val="Heading2"/>
      </w:pPr>
      <w:r>
        <w:t xml:space="preserve">3. Alignment State Model</w:t>
      </w:r>
    </w:p>
    <w:bookmarkStart w:id="22" w:name="canonical-representation"/>
    <w:p>
      <w:pPr>
        <w:pStyle w:val="Heading3"/>
      </w:pPr>
      <w:r>
        <w:t xml:space="preserve">3.1 Canonical Representation</w:t>
      </w:r>
    </w:p>
    <w:p>
      <w:pPr>
        <w:pStyle w:val="FirstParagraph"/>
      </w:pPr>
      <w:r>
        <w:t xml:space="preserve">Alignment is stored exclusively as a 2-axis continuous vector:</w:t>
      </w:r>
    </w:p>
    <w:p>
      <w:pPr>
        <w:pStyle w:val="SourceCode"/>
      </w:pPr>
      <w:r>
        <w:rPr>
          <w:rStyle w:val="ErrorTok"/>
        </w:rPr>
        <w:t xml:space="preserve">alignment_vector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"law_chaos"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-100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</w:t>
      </w:r>
      <w:r>
        <w:rPr>
          <w:rStyle w:val="NormalTok"/>
        </w:rPr>
        <w:t xml:space="preserve"> </w:t>
      </w:r>
      <w:r>
        <w:rPr>
          <w:rStyle w:val="ErrorTok"/>
        </w:rPr>
        <w:t xml:space="preserve">+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"good_evil"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-100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</w:t>
      </w:r>
      <w:r>
        <w:rPr>
          <w:rStyle w:val="NormalTok"/>
        </w:rPr>
        <w:t xml:space="preserve"> </w:t>
      </w:r>
      <w:r>
        <w:rPr>
          <w:rStyle w:val="ErrorTok"/>
        </w:rPr>
        <w:t xml:space="preserve">+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law_chaos</w:t>
      </w:r>
      <w:r>
        <w:t xml:space="preserve">: negative = Chaos, positive = Law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good_evil</w:t>
      </w:r>
      <w:r>
        <w:t xml:space="preserve">: negative = Evil, positive = Good</w:t>
      </w:r>
    </w:p>
    <w:p>
      <w:pPr>
        <w:pStyle w:val="FirstParagraph"/>
      </w:pPr>
      <w:r>
        <w:t xml:space="preserve">This vector is the</w:t>
      </w:r>
      <w:r>
        <w:t xml:space="preserve"> </w:t>
      </w:r>
      <w:r>
        <w:rPr>
          <w:b/>
          <w:bCs/>
        </w:rPr>
        <w:t xml:space="preserve">sole authoritative alignment state</w:t>
      </w:r>
      <w:r>
        <w:t xml:space="preserve">. No categorical alignment is stored directly.</w:t>
      </w:r>
    </w:p>
    <w:bookmarkEnd w:id="22"/>
    <w:bookmarkStart w:id="23" w:name="initial-seeding-rules"/>
    <w:p>
      <w:pPr>
        <w:pStyle w:val="Heading3"/>
      </w:pPr>
      <w:r>
        <w:t xml:space="preserve">3.2 Initial Seeding Rules</w:t>
      </w:r>
    </w:p>
    <w:p>
      <w:pPr>
        <w:pStyle w:val="FirstParagraph"/>
      </w:pPr>
      <w:r>
        <w:t xml:space="preserve">Alignment vectors are seeded deterministically at character creation: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Player Characters:</w:t>
      </w:r>
      <w:r>
        <w:t xml:space="preserve"> </w:t>
      </w:r>
      <w:r>
        <w:t xml:space="preserve">Seeded from declared starting alignment using fixed reference values (e.g., LG = {+60, +60})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NPCs / Monsters:</w:t>
      </w:r>
      <w:r>
        <w:t xml:space="preserve"> </w:t>
      </w:r>
      <w:r>
        <w:t xml:space="preserve">Seeded from stat block alignment or creature type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Imported Modules:</w:t>
      </w:r>
      <w:r>
        <w:t xml:space="preserve"> </w:t>
      </w:r>
      <w:r>
        <w:t xml:space="preserve">Use published alignment; if ambiguous, seed Neutral (0,0)</w:t>
      </w:r>
    </w:p>
    <w:p>
      <w:pPr>
        <w:pStyle w:val="FirstParagraph"/>
      </w:pPr>
      <w:r>
        <w:t xml:space="preserve">Seeding rules must be versioned to preserve cross-campaign replay comparability.</w:t>
      </w:r>
    </w:p>
    <w:bookmarkEnd w:id="23"/>
    <w:bookmarkStart w:id="24" w:name="derived-alignment-label"/>
    <w:p>
      <w:pPr>
        <w:pStyle w:val="Heading3"/>
      </w:pPr>
      <w:r>
        <w:t xml:space="preserve">3.3 Derived Alignment Label</w:t>
      </w:r>
    </w:p>
    <w:p>
      <w:pPr>
        <w:pStyle w:val="FirstParagraph"/>
      </w:pPr>
      <w:r>
        <w:t xml:space="preserve">Categorical alignment (LG, CN, etc.) is</w:t>
      </w:r>
      <w:r>
        <w:t xml:space="preserve"> </w:t>
      </w:r>
      <w:r>
        <w:rPr>
          <w:b/>
          <w:bCs/>
        </w:rPr>
        <w:t xml:space="preserve">derived on demand</w:t>
      </w:r>
      <w:r>
        <w:t xml:space="preserve"> </w:t>
      </w:r>
      <w:r>
        <w:t xml:space="preserve">by projecting the vector into alignment bands (see §6).</w:t>
      </w:r>
    </w:p>
    <w:p>
      <w:pPr>
        <w:pStyle w:val="BodyText"/>
      </w:pPr>
      <w:r>
        <w:t xml:space="preserve">Derived alignment is read-only and MUST NOT be cached as mutable state.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alignment-events"/>
    <w:p>
      <w:pPr>
        <w:pStyle w:val="Heading2"/>
      </w:pPr>
      <w:r>
        <w:t xml:space="preserve">4. Alignment Events</w:t>
      </w:r>
    </w:p>
    <w:bookmarkStart w:id="26" w:name="alignmentevent-schema"/>
    <w:p>
      <w:pPr>
        <w:pStyle w:val="Heading3"/>
      </w:pPr>
      <w:r>
        <w:t xml:space="preserve">4.1 AlignmentEvent Schema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rStyle w:val="VerbatimChar"/>
        </w:rPr>
        <w:t xml:space="preserve">AlignmentEvent</w:t>
      </w:r>
      <w:r>
        <w:t xml:space="preserve"> </w:t>
      </w:r>
      <w:r>
        <w:t xml:space="preserve">is emitted when a character performs a</w:t>
      </w:r>
      <w:r>
        <w:t xml:space="preserve"> </w:t>
      </w:r>
      <w:r>
        <w:rPr>
          <w:b/>
          <w:bCs/>
        </w:rPr>
        <w:t xml:space="preserve">morally relevant, intentional action</w:t>
      </w:r>
      <w:r>
        <w:t xml:space="preserve">.</w:t>
      </w:r>
    </w:p>
    <w:p>
      <w:pPr>
        <w:pStyle w:val="SourceCode"/>
      </w:pPr>
      <w:r>
        <w:rPr>
          <w:rStyle w:val="ErrorTok"/>
        </w:rPr>
        <w:t xml:space="preserve">AlignmentEvent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"axis"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"good_evil"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"law_chaos"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integer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"voluntary"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"mixed"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"coerced"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"accidental"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ContextTag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event_id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context-tag-governance"/>
    <w:p>
      <w:pPr>
        <w:pStyle w:val="Heading3"/>
      </w:pPr>
      <w:r>
        <w:t xml:space="preserve">4.2 Context Tag Governance</w:t>
      </w:r>
    </w:p>
    <w:p>
      <w:pPr>
        <w:pStyle w:val="FirstParagraph"/>
      </w:pPr>
      <w:r>
        <w:rPr>
          <w:rStyle w:val="VerbatimChar"/>
        </w:rPr>
        <w:t xml:space="preserve">context</w:t>
      </w:r>
      <w:r>
        <w:t xml:space="preserve"> </w:t>
      </w:r>
      <w:r>
        <w:t xml:space="preserve">tags MUST be selected from a governed vocabulary (e.g.,</w:t>
      </w:r>
      <w:r>
        <w:t xml:space="preserve"> </w:t>
      </w:r>
      <w:r>
        <w:rPr>
          <w:rStyle w:val="VerbatimChar"/>
        </w:rPr>
        <w:t xml:space="preserve">betrayal</w:t>
      </w:r>
      <w:r>
        <w:t xml:space="preserve">,</w:t>
      </w:r>
      <w:r>
        <w:t xml:space="preserve"> </w:t>
      </w:r>
      <w:r>
        <w:rPr>
          <w:rStyle w:val="VerbatimChar"/>
        </w:rPr>
        <w:t xml:space="preserve">mercy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cruelty</w:t>
      </w:r>
      <w:r>
        <w:t xml:space="preserve">,</w:t>
      </w:r>
      <w:r>
        <w:t xml:space="preserve"> </w:t>
      </w:r>
      <w:r>
        <w:rPr>
          <w:rStyle w:val="VerbatimChar"/>
        </w:rPr>
        <w:t xml:space="preserve">loyalty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Extensions require explicit registration</w:t>
      </w:r>
    </w:p>
    <w:p>
      <w:pPr>
        <w:pStyle w:val="Compact"/>
        <w:numPr>
          <w:ilvl w:val="0"/>
          <w:numId w:val="1004"/>
        </w:numPr>
      </w:pPr>
      <w:r>
        <w:t xml:space="preserve">Free-form tags are prohibited</w:t>
      </w:r>
    </w:p>
    <w:p>
      <w:pPr>
        <w:pStyle w:val="FirstParagraph"/>
      </w:pPr>
      <w:r>
        <w:t xml:space="preserve">This ensures semantic stability across campaigns and modules.</w:t>
      </w:r>
    </w:p>
    <w:bookmarkEnd w:id="27"/>
    <w:bookmarkStart w:id="28" w:name="intent-resolution-rules"/>
    <w:p>
      <w:pPr>
        <w:pStyle w:val="Heading3"/>
      </w:pPr>
      <w:r>
        <w:t xml:space="preserve">4.3 Intent Resolution Rules</w:t>
      </w:r>
    </w:p>
    <w:p>
      <w:pPr>
        <w:pStyle w:val="FirstParagraph"/>
      </w:pPr>
      <w:r>
        <w:t xml:space="preserve">Intent gates whether and how strongly drift applies: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Voluntary:</w:t>
      </w:r>
      <w:r>
        <w:t xml:space="preserve"> </w:t>
      </w:r>
      <w:r>
        <w:t xml:space="preserve">Full delta applied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Mixed:</w:t>
      </w:r>
      <w:r>
        <w:t xml:space="preserve"> </w:t>
      </w:r>
      <w:r>
        <w:t xml:space="preserve">Dominant intent applied; secondary intent may add ±25% modifier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Coerced:</w:t>
      </w:r>
      <w:r>
        <w:t xml:space="preserve"> </w:t>
      </w:r>
      <w:r>
        <w:t xml:space="preserve">Delta capped at Minor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Accidental:</w:t>
      </w:r>
      <w:r>
        <w:t xml:space="preserve"> </w:t>
      </w:r>
      <w:r>
        <w:t xml:space="preserve">No AlignmentEvent generated</w:t>
      </w:r>
    </w:p>
    <w:p>
      <w:pPr>
        <w:pStyle w:val="FirstParagraph"/>
      </w:pPr>
      <w:r>
        <w:t xml:space="preserve">Dominant intent is determined by narrative primacy, not outcome severity.</w:t>
      </w:r>
    </w:p>
    <w:bookmarkEnd w:id="28"/>
    <w:bookmarkStart w:id="29" w:name="event-gating-rules"/>
    <w:p>
      <w:pPr>
        <w:pStyle w:val="Heading3"/>
      </w:pPr>
      <w:r>
        <w:t xml:space="preserve">4.4 Event Gating Rules</w:t>
      </w:r>
    </w:p>
    <w:p>
      <w:pPr>
        <w:pStyle w:val="FirstParagraph"/>
      </w:pPr>
      <w:r>
        <w:t xml:space="preserve">An action MUST NOT generate an AlignmentEvent if:</w:t>
      </w:r>
      <w:r>
        <w:t xml:space="preserve"> </w:t>
      </w:r>
      <w:r>
        <w:t xml:space="preserve">- No meaningful alternative existed</w:t>
      </w:r>
      <w:r>
        <w:t xml:space="preserve"> </w:t>
      </w:r>
      <w:r>
        <w:t xml:space="preserve">- Outcome was purely accidental</w:t>
      </w:r>
      <w:r>
        <w:t xml:space="preserve"> </w:t>
      </w:r>
      <w:r>
        <w:t xml:space="preserve">- Agency was fully removed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drift-magnitude-calibration-advisory"/>
    <w:p>
      <w:pPr>
        <w:pStyle w:val="Heading2"/>
      </w:pPr>
      <w:r>
        <w:t xml:space="preserve">5. Drift Magnitude Calibration (Advisory)</w:t>
      </w:r>
    </w:p>
    <w:p>
      <w:pPr>
        <w:pStyle w:val="FirstParagraph"/>
      </w:pPr>
      <w:r>
        <w:t xml:space="preserve">To prevent interpretive divergence, the following</w:t>
      </w:r>
      <w:r>
        <w:t xml:space="preserve"> </w:t>
      </w:r>
      <w:r>
        <w:rPr>
          <w:b/>
          <w:bCs/>
        </w:rPr>
        <w:t xml:space="preserve">non-binding reference ranges</w:t>
      </w:r>
      <w:r>
        <w:t xml:space="preserve"> </w:t>
      </w:r>
      <w:r>
        <w:t xml:space="preserve">are provided: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 Severity</w:t>
            </w:r>
          </w:p>
        </w:tc>
        <w:tc>
          <w:tcPr/>
          <w:p>
            <w:pPr>
              <w:pStyle w:val="Compact"/>
            </w:pPr>
            <w:r>
              <w:t xml:space="preserve">Typical 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±1–5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±6–15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±16–30</w:t>
            </w:r>
          </w:p>
        </w:tc>
      </w:tr>
    </w:tbl>
    <w:p>
      <w:pPr>
        <w:pStyle w:val="BodyText"/>
      </w:pPr>
      <w:r>
        <w:t xml:space="preserve">These values are advisory and do not override narrative judgment.</w:t>
      </w:r>
    </w:p>
    <w:p>
      <w:r>
        <w:pict>
          <v:rect style="width:0;height:1.5pt" o:hralign="center" o:hrstd="t" o:hr="t"/>
        </w:pict>
      </w:r>
    </w:p>
    <w:bookmarkEnd w:id="31"/>
    <w:bookmarkStart w:id="34" w:name="drift-quantization-stabilization"/>
    <w:p>
      <w:pPr>
        <w:pStyle w:val="Heading2"/>
      </w:pPr>
      <w:r>
        <w:t xml:space="preserve">6. Drift Quantization &amp; Stabilization</w:t>
      </w:r>
    </w:p>
    <w:bookmarkStart w:id="32" w:name="alignment-bands-per-axis"/>
    <w:p>
      <w:pPr>
        <w:pStyle w:val="Heading3"/>
      </w:pPr>
      <w:r>
        <w:t xml:space="preserve">6.1 Alignment Bands (Per Axis)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Band</w:t>
            </w:r>
          </w:p>
        </w:tc>
        <w:tc>
          <w:tcPr/>
          <w:p>
            <w:pPr>
              <w:pStyle w:val="Compact"/>
            </w:pPr>
            <w:r>
              <w:t xml:space="preserve">Absolute Value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0–20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</w:t>
            </w:r>
          </w:p>
        </w:tc>
        <w:tc>
          <w:tcPr/>
          <w:p>
            <w:pPr>
              <w:pStyle w:val="Compact"/>
            </w:pPr>
            <w:r>
              <w:t xml:space="preserve">21–49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50–79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80–100</w:t>
            </w:r>
          </w:p>
        </w:tc>
      </w:tr>
    </w:tbl>
    <w:p>
      <w:pPr>
        <w:pStyle w:val="BodyText"/>
      </w:pPr>
      <w:r>
        <w:t xml:space="preserve">Bands are evaluated</w:t>
      </w:r>
      <w:r>
        <w:t xml:space="preserve"> </w:t>
      </w:r>
      <w:r>
        <w:rPr>
          <w:b/>
          <w:bCs/>
        </w:rPr>
        <w:t xml:space="preserve">independently per axis</w:t>
      </w:r>
      <w:r>
        <w:t xml:space="preserve">.</w:t>
      </w:r>
    </w:p>
    <w:bookmarkEnd w:id="32"/>
    <w:bookmarkStart w:id="33" w:name="hysteresis-rule"/>
    <w:p>
      <w:pPr>
        <w:pStyle w:val="Heading3"/>
      </w:pPr>
      <w:r>
        <w:t xml:space="preserve">6.2 Hysteresis Rule</w:t>
      </w:r>
    </w:p>
    <w:p>
      <w:pPr>
        <w:pStyle w:val="FirstParagraph"/>
      </w:pPr>
      <w:r>
        <w:t xml:space="preserve">Once a band is entered on an axis, reversing alignment on that axis requires</w:t>
      </w:r>
      <w:r>
        <w:t xml:space="preserve"> </w:t>
      </w:r>
      <w:r>
        <w:rPr>
          <w:b/>
          <w:bCs/>
        </w:rPr>
        <w:t xml:space="preserve">125%</w:t>
      </w:r>
      <w:r>
        <w:t xml:space="preserve"> </w:t>
      </w:r>
      <w:r>
        <w:t xml:space="preserve">of the movement that caused entry.</w:t>
      </w:r>
    </w:p>
    <w:p>
      <w:pPr>
        <w:pStyle w:val="BodyText"/>
      </w:pPr>
      <w:r>
        <w:t xml:space="preserve">Hysteresis applies</w:t>
      </w:r>
      <w:r>
        <w:t xml:space="preserve"> </w:t>
      </w:r>
      <w:r>
        <w:rPr>
          <w:b/>
          <w:bCs/>
        </w:rPr>
        <w:t xml:space="preserve">per axis</w:t>
      </w:r>
      <w:r>
        <w:t xml:space="preserve">, not jointly.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alignment-change-resolution"/>
    <w:p>
      <w:pPr>
        <w:pStyle w:val="Heading2"/>
      </w:pPr>
      <w:r>
        <w:t xml:space="preserve">7. Alignment Change Resolution</w:t>
      </w:r>
    </w:p>
    <w:p>
      <w:pPr>
        <w:pStyle w:val="FirstParagraph"/>
      </w:pPr>
      <w:r>
        <w:t xml:space="preserve">A categorical alignment change occurs only when:</w:t>
      </w:r>
    </w:p>
    <w:p>
      <w:pPr>
        <w:pStyle w:val="Compact"/>
        <w:numPr>
          <w:ilvl w:val="0"/>
          <w:numId w:val="1006"/>
        </w:numPr>
      </w:pPr>
      <w:r>
        <w:t xml:space="preserve">One or both axes exit their current alignment bands,</w:t>
      </w:r>
      <w:r>
        <w:t xml:space="preserve"> </w:t>
      </w:r>
      <w:r>
        <w:rPr>
          <w:b/>
          <w:bCs/>
        </w:rPr>
        <w:t xml:space="preserve">and</w:t>
      </w:r>
    </w:p>
    <w:p>
      <w:pPr>
        <w:pStyle w:val="Compact"/>
        <w:numPr>
          <w:ilvl w:val="0"/>
          <w:numId w:val="1006"/>
        </w:numPr>
      </w:pPr>
      <w:r>
        <w:t xml:space="preserve">Narrative sufficiency is met:</w:t>
      </w:r>
    </w:p>
    <w:p>
      <w:pPr>
        <w:pStyle w:val="Compact"/>
        <w:numPr>
          <w:ilvl w:val="1"/>
          <w:numId w:val="1007"/>
        </w:numPr>
      </w:pPr>
      <w:r>
        <w:t xml:space="preserve">One</w:t>
      </w:r>
      <w:r>
        <w:t xml:space="preserve"> </w:t>
      </w:r>
      <w:r>
        <w:rPr>
          <w:i/>
          <w:iCs/>
        </w:rPr>
        <w:t xml:space="preserve">Major</w:t>
      </w:r>
      <w:r>
        <w:t xml:space="preserve"> </w:t>
      </w:r>
      <w:r>
        <w:t xml:space="preserve">AlignmentEvent, or</w:t>
      </w:r>
    </w:p>
    <w:p>
      <w:pPr>
        <w:pStyle w:val="Compact"/>
        <w:numPr>
          <w:ilvl w:val="1"/>
          <w:numId w:val="1007"/>
        </w:numPr>
      </w:pPr>
      <w:r>
        <w:t xml:space="preserve">3–5</w:t>
      </w:r>
      <w:r>
        <w:t xml:space="preserve"> </w:t>
      </w:r>
      <w:r>
        <w:rPr>
          <w:i/>
          <w:iCs/>
        </w:rPr>
        <w:t xml:space="preserve">Moderate</w:t>
      </w:r>
      <w:r>
        <w:t xml:space="preserve"> </w:t>
      </w:r>
      <w:r>
        <w:t xml:space="preserve">events over time</w:t>
      </w:r>
    </w:p>
    <w:p>
      <w:pPr>
        <w:pStyle w:val="FirstParagraph"/>
      </w:pPr>
      <w:r>
        <w:t xml:space="preserve">Alignment labels are updated lazily and are never event triggers themselves.</w:t>
      </w:r>
    </w:p>
    <w:p>
      <w:r>
        <w:pict>
          <v:rect style="width:0;height:1.5pt" o:hralign="center" o:hrstd="t" o:hr="t"/>
        </w:pict>
      </w:r>
    </w:p>
    <w:bookmarkEnd w:id="35"/>
    <w:bookmarkStart w:id="38" w:name="deterministic-engine-integration"/>
    <w:p>
      <w:pPr>
        <w:pStyle w:val="Heading2"/>
      </w:pPr>
      <w:r>
        <w:t xml:space="preserve">8. Deterministic Engine Integration</w:t>
      </w:r>
    </w:p>
    <w:bookmarkStart w:id="36" w:name="canonical-pipeline"/>
    <w:p>
      <w:pPr>
        <w:pStyle w:val="Heading3"/>
      </w:pPr>
      <w:r>
        <w:t xml:space="preserve">8.1 Canonical Pipeline</w:t>
      </w:r>
    </w:p>
    <w:p>
      <w:pPr>
        <w:pStyle w:val="SourceCode"/>
      </w:pPr>
      <w:r>
        <w:rPr>
          <w:rStyle w:val="VerbatimChar"/>
        </w:rPr>
        <w:t xml:space="preserve">Player Action</w:t>
      </w:r>
      <w:r>
        <w:br/>
      </w:r>
      <w:r>
        <w:rPr>
          <w:rStyle w:val="VerbatimChar"/>
        </w:rPr>
        <w:t xml:space="preserve"> → Rules Engine Validation</w:t>
      </w:r>
      <w:r>
        <w:br/>
      </w:r>
      <w:r>
        <w:rPr>
          <w:rStyle w:val="VerbatimChar"/>
        </w:rPr>
        <w:t xml:space="preserve"> → Alignment Evaluation (pure, idempotent function)</w:t>
      </w:r>
      <w:r>
        <w:br/>
      </w:r>
      <w:r>
        <w:rPr>
          <w:rStyle w:val="VerbatimChar"/>
        </w:rPr>
        <w:t xml:space="preserve"> → AlignmentEvent appended to Event Log</w:t>
      </w:r>
      <w:r>
        <w:br/>
      </w:r>
      <w:r>
        <w:rPr>
          <w:rStyle w:val="VerbatimChar"/>
        </w:rPr>
        <w:t xml:space="preserve"> → Alignment Vector recomputed from log</w:t>
      </w:r>
      <w:r>
        <w:br/>
      </w:r>
      <w:r>
        <w:rPr>
          <w:rStyle w:val="VerbatimChar"/>
        </w:rPr>
        <w:t xml:space="preserve"> → Derived Alignment (if thresholds crossed)</w:t>
      </w:r>
    </w:p>
    <w:bookmarkEnd w:id="36"/>
    <w:bookmarkStart w:id="37" w:name="determinism-guarantees"/>
    <w:p>
      <w:pPr>
        <w:pStyle w:val="Heading3"/>
      </w:pPr>
      <w:r>
        <w:t xml:space="preserve">8.2 Determinism Guarantees</w:t>
      </w:r>
    </w:p>
    <w:p>
      <w:pPr>
        <w:pStyle w:val="Compact"/>
        <w:numPr>
          <w:ilvl w:val="0"/>
          <w:numId w:val="1008"/>
        </w:numPr>
      </w:pPr>
      <w:r>
        <w:t xml:space="preserve">No RNG usage</w:t>
      </w:r>
    </w:p>
    <w:p>
      <w:pPr>
        <w:pStyle w:val="Compact"/>
        <w:numPr>
          <w:ilvl w:val="0"/>
          <w:numId w:val="1008"/>
        </w:numPr>
      </w:pPr>
      <w:r>
        <w:t xml:space="preserve">No cached mutable alignment state</w:t>
      </w:r>
    </w:p>
    <w:p>
      <w:pPr>
        <w:pStyle w:val="Compact"/>
        <w:numPr>
          <w:ilvl w:val="0"/>
          <w:numId w:val="1008"/>
        </w:numPr>
      </w:pPr>
      <w:r>
        <w:t xml:space="preserve">Replay-safe</w:t>
      </w:r>
    </w:p>
    <w:p>
      <w:pPr>
        <w:pStyle w:val="Compact"/>
        <w:numPr>
          <w:ilvl w:val="0"/>
          <w:numId w:val="1008"/>
        </w:numPr>
      </w:pPr>
      <w:r>
        <w:t xml:space="preserve">Event-order dependent only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interaction-with-raw-mechanics"/>
    <w:p>
      <w:pPr>
        <w:pStyle w:val="Heading2"/>
      </w:pPr>
      <w:r>
        <w:t xml:space="preserve">9. Interaction with RAW Mechanics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Detect Alignment:</w:t>
      </w:r>
      <w:r>
        <w:t xml:space="preserve"> </w:t>
      </w:r>
      <w:r>
        <w:t xml:space="preserve">Reads derived alignment label only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Atonement:</w:t>
      </w:r>
      <w:r>
        <w:t xml:space="preserve"> </w:t>
      </w:r>
      <w:r>
        <w:t xml:space="preserve">Injects counter-alignment events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Paladin Code:</w:t>
      </w:r>
      <w:r>
        <w:t xml:space="preserve"> </w:t>
      </w:r>
      <w:r>
        <w:t xml:space="preserve">Evaluated against vector thresholds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Outsiders:</w:t>
      </w:r>
      <w:r>
        <w:t xml:space="preserve"> </w:t>
      </w:r>
      <w:r>
        <w:t xml:space="preserve">Fixed vectors (non-drifting)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Illusions / Enchantments:</w:t>
      </w:r>
      <w:r>
        <w:t xml:space="preserve"> </w:t>
      </w:r>
      <w:r>
        <w:t xml:space="preserve">May alter perception but MUST NOT mutate alignment vectors</w:t>
      </w:r>
    </w:p>
    <w:p>
      <w:r>
        <w:pict>
          <v:rect style="width:0;height:1.5pt" o:hralign="center" o:hrstd="t" o:hr="t"/>
        </w:pict>
      </w:r>
    </w:p>
    <w:bookmarkEnd w:id="39"/>
    <w:bookmarkStart w:id="40" w:name="neutrality-inaction-and-omission"/>
    <w:p>
      <w:pPr>
        <w:pStyle w:val="Heading2"/>
      </w:pPr>
      <w:r>
        <w:t xml:space="preserve">10. Neutrality, Inaction, and Omission</w:t>
      </w:r>
    </w:p>
    <w:p>
      <w:pPr>
        <w:pStyle w:val="FirstParagraph"/>
      </w:pPr>
      <w:r>
        <w:t xml:space="preserve">Inaction or moral avoidance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generate AlignmentEvents unless explicitly framed as a deliberate moral choice within the narrative.</w:t>
      </w:r>
    </w:p>
    <w:p>
      <w:pPr>
        <w:pStyle w:val="BodyText"/>
      </w:pPr>
      <w:r>
        <w:t xml:space="preserve">This prevents silent bias toward neutrality or moral punishment for non-engagement.</w:t>
      </w:r>
    </w:p>
    <w:p>
      <w:r>
        <w:pict>
          <v:rect style="width:0;height:1.5pt" o:hralign="center" o:hrstd="t" o:hr="t"/>
        </w:pict>
      </w:r>
    </w:p>
    <w:bookmarkEnd w:id="40"/>
    <w:bookmarkStart w:id="41" w:name="failure-modes-safeguards"/>
    <w:p>
      <w:pPr>
        <w:pStyle w:val="Heading2"/>
      </w:pPr>
      <w:r>
        <w:t xml:space="preserve">11. Failure Modes &amp; Safeguards</w:t>
      </w:r>
    </w:p>
    <w:p>
      <w:pPr>
        <w:pStyle w:val="Compact"/>
        <w:numPr>
          <w:ilvl w:val="0"/>
          <w:numId w:val="1010"/>
        </w:numPr>
      </w:pPr>
      <w:r>
        <w:t xml:space="preserve">Missing or ambiguous intent → no mutation</w:t>
      </w:r>
    </w:p>
    <w:p>
      <w:pPr>
        <w:pStyle w:val="Compact"/>
        <w:numPr>
          <w:ilvl w:val="0"/>
          <w:numId w:val="1010"/>
        </w:numPr>
      </w:pPr>
      <w:r>
        <w:t xml:space="preserve">Conflicting events → resolved via accumulation, not override</w:t>
      </w:r>
    </w:p>
    <w:p>
      <w:pPr>
        <w:pStyle w:val="Compact"/>
        <w:numPr>
          <w:ilvl w:val="0"/>
          <w:numId w:val="1010"/>
        </w:numPr>
      </w:pPr>
      <w:r>
        <w:t xml:space="preserve">Policy Engine observation only; no mutation rights</w:t>
      </w:r>
    </w:p>
    <w:p>
      <w:r>
        <w:pict>
          <v:rect style="width:0;height:1.5pt" o:hralign="center" o:hrstd="t" o:hr="t"/>
        </w:pict>
      </w:r>
    </w:p>
    <w:bookmarkEnd w:id="41"/>
    <w:bookmarkStart w:id="42" w:name="deferred-extensions"/>
    <w:p>
      <w:pPr>
        <w:pStyle w:val="Heading2"/>
      </w:pPr>
      <w:r>
        <w:t xml:space="preserve">12. Deferred Extensions</w:t>
      </w:r>
    </w:p>
    <w:p>
      <w:pPr>
        <w:pStyle w:val="Compact"/>
        <w:numPr>
          <w:ilvl w:val="0"/>
          <w:numId w:val="1011"/>
        </w:numPr>
      </w:pPr>
      <w:r>
        <w:t xml:space="preserve">Deity-specific mercy or judgment layers</w:t>
      </w:r>
    </w:p>
    <w:p>
      <w:pPr>
        <w:pStyle w:val="Compact"/>
        <w:numPr>
          <w:ilvl w:val="0"/>
          <w:numId w:val="1011"/>
        </w:numPr>
      </w:pPr>
      <w:r>
        <w:t xml:space="preserve">Campaign tone modifiers</w:t>
      </w:r>
    </w:p>
    <w:p>
      <w:pPr>
        <w:pStyle w:val="Compact"/>
        <w:numPr>
          <w:ilvl w:val="0"/>
          <w:numId w:val="1011"/>
        </w:numPr>
      </w:pPr>
      <w:r>
        <w:t xml:space="preserve">Player-facing alignment telemetry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CP-ALIGN v2 Specification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2026-02-08T08:05:37Z</dcterms:created>
  <dcterms:modified xsi:type="dcterms:W3CDTF">2026-02-08T08:05:37Z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