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c100dfc924230b78cbaae80358fbd28ab0afbc2"/>
    <w:p>
      <w:pPr>
        <w:pStyle w:val="Heading1"/>
      </w:pPr>
      <w:r>
        <w:t xml:space="preserve">Project Amendment — Targeting, Visibility, and Forced‑Movement Kernels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Binding once merged</w:t>
      </w:r>
      <w:r>
        <w:br/>
      </w:r>
      <w:r>
        <w:rPr>
          <w:b/>
          <w:bCs/>
        </w:rPr>
        <w:t xml:space="preserve">Applies To:</w:t>
      </w:r>
      <w:r>
        <w:t xml:space="preserve"> </w:t>
      </w:r>
      <w:r>
        <w:t xml:space="preserve">Core Action Plan, Rules Coverage Ledger (RCL), and all instruction packets CP‑18 and onward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amendment incorporates the results of two independent Cross‑Cutting Mechanics Audits and addresses a newly confirmed class of architectural risk:</w:t>
      </w:r>
      <w:r>
        <w:t xml:space="preserve"> </w:t>
      </w:r>
      <w:r>
        <w:rPr>
          <w:b/>
          <w:bCs/>
        </w:rPr>
        <w:t xml:space="preserve">mechanics that invalidate targeting legality, spatial ownership, or actor independence assumptions if treated as emergent behavior</w:t>
      </w:r>
      <w:r>
        <w:t xml:space="preserve">.</w:t>
      </w:r>
    </w:p>
    <w:p>
      <w:pPr>
        <w:pStyle w:val="BodyText"/>
      </w:pPr>
      <w:r>
        <w:t xml:space="preserve">Mounted combat revealed this failure mode first. Subsequent audits confirm that</w:t>
      </w:r>
      <w:r>
        <w:t xml:space="preserve"> </w:t>
      </w:r>
      <w:r>
        <w:rPr>
          <w:i/>
          <w:iCs/>
        </w:rPr>
        <w:t xml:space="preserve">visibility, targeting, and forced movement</w:t>
      </w:r>
      <w:r>
        <w:t xml:space="preserve"> </w:t>
      </w:r>
      <w:r>
        <w:t xml:space="preserve">form a second critical cluster that must be formalized before expanding combat maneuvers or monster special abilities.</w:t>
      </w:r>
    </w:p>
    <w:p>
      <w:r>
        <w:pict>
          <v:rect style="width:0;height:1.5pt" o:hralign="center" o:hrstd="t" o:hr="t"/>
        </w:pict>
      </w:r>
    </w:p>
    <w:bookmarkEnd w:id="20"/>
    <w:bookmarkStart w:id="21" w:name="accepted-audit-findings-authoritative"/>
    <w:p>
      <w:pPr>
        <w:pStyle w:val="Heading2"/>
      </w:pPr>
      <w:r>
        <w:t xml:space="preserve">2. Accepted Audit Findings (Authoritative)</w:t>
      </w:r>
    </w:p>
    <w:p>
      <w:pPr>
        <w:pStyle w:val="FirstParagraph"/>
      </w:pPr>
      <w:r>
        <w:t xml:space="preserve">The following subsystems are hereby classified as</w:t>
      </w:r>
      <w:r>
        <w:t xml:space="preserve"> </w:t>
      </w:r>
      <w:r>
        <w:rPr>
          <w:b/>
          <w:bCs/>
        </w:rPr>
        <w:t xml:space="preserve">High‑Risk Cross‑Cutting</w:t>
      </w:r>
      <w:r>
        <w:t xml:space="preserve"> </w:t>
      </w:r>
      <w:r>
        <w:t xml:space="preserve">and MUST NOT remain implicit or partially implemented:</w:t>
      </w:r>
    </w:p>
    <w:p>
      <w:pPr>
        <w:pStyle w:val="Compact"/>
        <w:numPr>
          <w:ilvl w:val="0"/>
          <w:numId w:val="1001"/>
        </w:numPr>
      </w:pPr>
      <w:r>
        <w:t xml:space="preserve">Mounted Combat &amp; Rider–Mount Coupling</w:t>
      </w:r>
    </w:p>
    <w:p>
      <w:pPr>
        <w:pStyle w:val="Compact"/>
        <w:numPr>
          <w:ilvl w:val="0"/>
          <w:numId w:val="1001"/>
        </w:numPr>
      </w:pPr>
      <w:r>
        <w:t xml:space="preserve">Invisibility &amp; Observed / Unobserved State</w:t>
      </w:r>
    </w:p>
    <w:p>
      <w:pPr>
        <w:pStyle w:val="Compact"/>
        <w:numPr>
          <w:ilvl w:val="0"/>
          <w:numId w:val="1001"/>
        </w:numPr>
      </w:pPr>
      <w:r>
        <w:t xml:space="preserve">Cover, Concealment, and Miss Chance</w:t>
      </w:r>
    </w:p>
    <w:p>
      <w:pPr>
        <w:pStyle w:val="Compact"/>
        <w:numPr>
          <w:ilvl w:val="0"/>
          <w:numId w:val="1001"/>
        </w:numPr>
      </w:pPr>
      <w:r>
        <w:t xml:space="preserve">Flight &amp; Three‑Dimensional Positioning</w:t>
      </w:r>
    </w:p>
    <w:p>
      <w:pPr>
        <w:pStyle w:val="Compact"/>
        <w:numPr>
          <w:ilvl w:val="0"/>
          <w:numId w:val="1001"/>
        </w:numPr>
      </w:pPr>
      <w:r>
        <w:t xml:space="preserve">Bull Rush / Overrun (Forced Movement)</w:t>
      </w:r>
    </w:p>
    <w:p>
      <w:pPr>
        <w:pStyle w:val="Compact"/>
        <w:numPr>
          <w:ilvl w:val="0"/>
          <w:numId w:val="1001"/>
        </w:numPr>
      </w:pPr>
      <w:r>
        <w:t xml:space="preserve">Charge (Full RAW Semantics)</w:t>
      </w:r>
    </w:p>
    <w:p>
      <w:pPr>
        <w:pStyle w:val="Compact"/>
        <w:numPr>
          <w:ilvl w:val="0"/>
          <w:numId w:val="1001"/>
        </w:numPr>
      </w:pPr>
      <w:r>
        <w:t xml:space="preserve">Swarm Traits (Composite Occupancy &amp; Targeting Exceptions)</w:t>
      </w:r>
    </w:p>
    <w:p>
      <w:pPr>
        <w:pStyle w:val="Compact"/>
        <w:numPr>
          <w:ilvl w:val="0"/>
          <w:numId w:val="1001"/>
        </w:numPr>
      </w:pPr>
      <w:r>
        <w:t xml:space="preserve">Grapple (Full System – already governed by Grapple Amendment)</w:t>
      </w:r>
    </w:p>
    <w:p>
      <w:pPr>
        <w:pStyle w:val="FirstParagraph"/>
      </w:pPr>
      <w:r>
        <w:t xml:space="preserve">These classifications supersede any prior informal treatment.</w:t>
      </w:r>
    </w:p>
    <w:p>
      <w:r>
        <w:pict>
          <v:rect style="width:0;height:1.5pt" o:hralign="center" o:hrstd="t" o:hr="t"/>
        </w:pict>
      </w:r>
    </w:p>
    <w:bookmarkEnd w:id="21"/>
    <w:bookmarkStart w:id="22" w:name="action-plan-corrections-sequencing"/>
    <w:p>
      <w:pPr>
        <w:pStyle w:val="Heading2"/>
      </w:pPr>
      <w:r>
        <w:t xml:space="preserve">3. Action Plan Corrections (Sequencing)</w:t>
      </w:r>
    </w:p>
    <w:p>
      <w:pPr>
        <w:pStyle w:val="FirstParagraph"/>
      </w:pPr>
      <w:r>
        <w:t xml:space="preserve">The near‑term combat roadmap is amended as follows: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CP‑18A — Mounted Combat &amp; Rider–Mount Coupling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CP‑18B — Targeting &amp; Visibility Kernel</w:t>
      </w:r>
    </w:p>
    <w:p>
      <w:pPr>
        <w:pStyle w:val="Compact"/>
        <w:numPr>
          <w:ilvl w:val="1"/>
          <w:numId w:val="1003"/>
        </w:numPr>
      </w:pPr>
      <w:r>
        <w:t xml:space="preserve">Line of Effect (LoE)</w:t>
      </w:r>
    </w:p>
    <w:p>
      <w:pPr>
        <w:pStyle w:val="Compact"/>
        <w:numPr>
          <w:ilvl w:val="1"/>
          <w:numId w:val="1003"/>
        </w:numPr>
      </w:pPr>
      <w:r>
        <w:t xml:space="preserve">Cover vs Total Cover (targeting legality)</w:t>
      </w:r>
    </w:p>
    <w:p>
      <w:pPr>
        <w:pStyle w:val="Compact"/>
        <w:numPr>
          <w:ilvl w:val="1"/>
          <w:numId w:val="1003"/>
        </w:numPr>
      </w:pPr>
      <w:r>
        <w:t xml:space="preserve">Concealment &amp; Miss Chance (post‑attack RNG)</w:t>
      </w:r>
    </w:p>
    <w:p>
      <w:pPr>
        <w:pStyle w:val="Compact"/>
        <w:numPr>
          <w:ilvl w:val="1"/>
          <w:numId w:val="1003"/>
        </w:numPr>
      </w:pPr>
      <w:r>
        <w:t xml:space="preserve">Invisibility &amp; observed‑state tracking</w:t>
      </w:r>
    </w:p>
    <w:p>
      <w:pPr>
        <w:pStyle w:val="Compact"/>
        <w:numPr>
          <w:ilvl w:val="1"/>
          <w:numId w:val="1003"/>
        </w:numPr>
      </w:pPr>
      <w:r>
        <w:t xml:space="preserve">AoO legality dependent on visibility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CP‑18C — Forced Movement &amp; Collision Kernel</w:t>
      </w:r>
    </w:p>
    <w:p>
      <w:pPr>
        <w:pStyle w:val="Compact"/>
        <w:numPr>
          <w:ilvl w:val="1"/>
          <w:numId w:val="1004"/>
        </w:numPr>
      </w:pPr>
      <w:r>
        <w:t xml:space="preserve">Bull rush / overrun displacement</w:t>
      </w:r>
    </w:p>
    <w:p>
      <w:pPr>
        <w:pStyle w:val="Compact"/>
        <w:numPr>
          <w:ilvl w:val="1"/>
          <w:numId w:val="1004"/>
        </w:numPr>
      </w:pPr>
      <w:r>
        <w:t xml:space="preserve">Involuntary movement semantics</w:t>
      </w:r>
    </w:p>
    <w:p>
      <w:pPr>
        <w:pStyle w:val="Compact"/>
        <w:numPr>
          <w:ilvl w:val="1"/>
          <w:numId w:val="1004"/>
        </w:numPr>
      </w:pPr>
      <w:r>
        <w:t xml:space="preserve">Collision with walls/obstacles</w:t>
      </w:r>
    </w:p>
    <w:p>
      <w:pPr>
        <w:pStyle w:val="Compact"/>
        <w:numPr>
          <w:ilvl w:val="1"/>
          <w:numId w:val="1004"/>
        </w:numPr>
      </w:pPr>
      <w:r>
        <w:t xml:space="preserve">Hazard entry hooks (pits, cliffs, lava, etc.)</w:t>
      </w:r>
    </w:p>
    <w:p>
      <w:pPr>
        <w:pStyle w:val="Compact"/>
        <w:numPr>
          <w:ilvl w:val="1"/>
          <w:numId w:val="1004"/>
        </w:numPr>
      </w:pPr>
      <w:r>
        <w:t xml:space="preserve">AoO bidirectionality during forced movement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CP‑18 — Combat Maneuvers (Non‑Grapple)</w:t>
      </w:r>
    </w:p>
    <w:p>
      <w:pPr>
        <w:pStyle w:val="FirstParagraph"/>
      </w:pPr>
      <w:r>
        <w:t xml:space="preserve">No packet may depend on targeting legality, forced displacement, or visibility rules unless the owning kernel above is complete or explicitly deferred with enforcement.</w:t>
      </w:r>
    </w:p>
    <w:p>
      <w:r>
        <w:pict>
          <v:rect style="width:0;height:1.5pt" o:hralign="center" o:hrstd="t" o:hr="t"/>
        </w:pict>
      </w:r>
    </w:p>
    <w:bookmarkEnd w:id="22"/>
    <w:bookmarkStart w:id="23" w:name="rules-coverage-ledger-enforcement-update"/>
    <w:p>
      <w:pPr>
        <w:pStyle w:val="Heading2"/>
      </w:pPr>
      <w:r>
        <w:t xml:space="preserve">4. Rules Coverage Ledger (Enforcement Update)</w:t>
      </w:r>
    </w:p>
    <w:p>
      <w:pPr>
        <w:pStyle w:val="FirstParagraph"/>
      </w:pPr>
      <w:r>
        <w:t xml:space="preserve">The following subsystems MUST appear in the RCL with explicit disposition and packet ownership:</w:t>
      </w:r>
    </w:p>
    <w:p>
      <w:pPr>
        <w:pStyle w:val="Compact"/>
        <w:numPr>
          <w:ilvl w:val="0"/>
          <w:numId w:val="1005"/>
        </w:numPr>
      </w:pPr>
      <w:r>
        <w:t xml:space="preserve">Invisibility / Observed State → CP‑18B</w:t>
      </w:r>
    </w:p>
    <w:p>
      <w:pPr>
        <w:pStyle w:val="Compact"/>
        <w:numPr>
          <w:ilvl w:val="0"/>
          <w:numId w:val="1005"/>
        </w:numPr>
      </w:pPr>
      <w:r>
        <w:t xml:space="preserve">Cover &amp; Concealment → CP‑18B</w:t>
      </w:r>
    </w:p>
    <w:p>
      <w:pPr>
        <w:pStyle w:val="Compact"/>
        <w:numPr>
          <w:ilvl w:val="0"/>
          <w:numId w:val="1005"/>
        </w:numPr>
      </w:pPr>
      <w:r>
        <w:t xml:space="preserve">Bull Rush / Overrun → CP‑18C</w:t>
      </w:r>
    </w:p>
    <w:p>
      <w:pPr>
        <w:pStyle w:val="Compact"/>
        <w:numPr>
          <w:ilvl w:val="0"/>
          <w:numId w:val="1005"/>
        </w:numPr>
      </w:pPr>
      <w:r>
        <w:t xml:space="preserve">Swarm Traits → Deferred (future packet)</w:t>
      </w:r>
    </w:p>
    <w:p>
      <w:pPr>
        <w:pStyle w:val="Compact"/>
        <w:numPr>
          <w:ilvl w:val="0"/>
          <w:numId w:val="1005"/>
        </w:numPr>
      </w:pPr>
      <w:r>
        <w:t xml:space="preserve">Underwater Combat → Deferred (environment kernel)</w:t>
      </w:r>
    </w:p>
    <w:p>
      <w:pPr>
        <w:pStyle w:val="Compact"/>
        <w:numPr>
          <w:ilvl w:val="0"/>
          <w:numId w:val="1005"/>
        </w:numPr>
      </w:pPr>
      <w:r>
        <w:t xml:space="preserve">Incorporeal Creatures → Deferred (targeting exceptions kernel)</w:t>
      </w:r>
    </w:p>
    <w:p>
      <w:pPr>
        <w:pStyle w:val="Compact"/>
        <w:numPr>
          <w:ilvl w:val="0"/>
          <w:numId w:val="1005"/>
        </w:numPr>
      </w:pPr>
      <w:r>
        <w:t xml:space="preserve">Polymorph / Size Change → Deferred (stat‑mutation kernel)</w:t>
      </w:r>
    </w:p>
    <w:p>
      <w:pPr>
        <w:pStyle w:val="FirstParagraph"/>
      </w:pPr>
      <w:r>
        <w:t xml:space="preserve">Silence or</w:t>
      </w:r>
      <w:r>
        <w:t xml:space="preserve"> </w:t>
      </w:r>
      <w:r>
        <w:t xml:space="preserve">“assumed later”</w:t>
      </w:r>
      <w:r>
        <w:t xml:space="preserve"> </w:t>
      </w:r>
      <w:r>
        <w:t xml:space="preserve">handling is forbidden.</w:t>
      </w:r>
    </w:p>
    <w:p>
      <w:r>
        <w:pict>
          <v:rect style="width:0;height:1.5pt" o:hralign="center" o:hrstd="t" o:hr="t"/>
        </w:pict>
      </w:r>
    </w:p>
    <w:bookmarkEnd w:id="23"/>
    <w:bookmarkStart w:id="24" w:name="governance-rules-new"/>
    <w:p>
      <w:pPr>
        <w:pStyle w:val="Heading2"/>
      </w:pPr>
      <w:r>
        <w:t xml:space="preserve">5. Governance Rules (New)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Targeting Legality Rule</w:t>
      </w:r>
      <w:r>
        <w:br/>
      </w:r>
      <w:r>
        <w:t xml:space="preserve">Any mechanic that makes an attack</w:t>
      </w:r>
      <w:r>
        <w:t xml:space="preserve"> </w:t>
      </w:r>
      <w:r>
        <w:rPr>
          <w:i/>
          <w:iCs/>
        </w:rPr>
        <w:t xml:space="preserve">illegal</w:t>
      </w:r>
      <w:r>
        <w:t xml:space="preserve"> </w:t>
      </w:r>
      <w:r>
        <w:t xml:space="preserve">(not merely penalized) MUST be modeled explicitly and validated before attack resolution.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Secondary RNG Rule</w:t>
      </w:r>
      <w:r>
        <w:br/>
      </w:r>
      <w:r>
        <w:t xml:space="preserve">Any mechanic that introduces RNG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an attack roll (e.g., concealment miss chance) MUST declare and isolate its RNG consumption.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Forced Movement Rule</w:t>
      </w:r>
      <w:r>
        <w:br/>
      </w:r>
      <w:r>
        <w:t xml:space="preserve">Any mechanic that changes an actor’s position without that actor’s movement intent MUST route through the Forced‑Movement kernel.</w:t>
      </w:r>
    </w:p>
    <w:p>
      <w:pPr>
        <w:pStyle w:val="FirstParagraph"/>
      </w:pPr>
      <w:r>
        <w:t xml:space="preserve">Violations discovered during PBHAs are blocking defects.</w:t>
      </w:r>
    </w:p>
    <w:p>
      <w:r>
        <w:pict>
          <v:rect style="width:0;height:1.5pt" o:hralign="center" o:hrstd="t" o:hr="t"/>
        </w:pict>
      </w:r>
    </w:p>
    <w:bookmarkEnd w:id="24"/>
    <w:bookmarkStart w:id="25" w:name="summary"/>
    <w:p>
      <w:pPr>
        <w:pStyle w:val="Heading2"/>
      </w:pPr>
      <w:r>
        <w:t xml:space="preserve">6. Summary</w:t>
      </w:r>
    </w:p>
    <w:p>
      <w:pPr>
        <w:pStyle w:val="FirstParagraph"/>
      </w:pPr>
      <w:r>
        <w:t xml:space="preserve">This amendment closes the second major architectural gap revealed by mounted combat: unmodeled targeting, visibility, and forced‑movement semantics.</w:t>
      </w:r>
    </w:p>
    <w:p>
      <w:pPr>
        <w:pStyle w:val="BodyText"/>
      </w:pPr>
      <w:r>
        <w:t xml:space="preserve">With this amendment in force, future combat expansion can proceed without silent legality drift, RNG contamination, or spatial inconsistencies.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2026-02-08T03:23:13Z</dcterms:created>
  <dcterms:modified xsi:type="dcterms:W3CDTF">2026-02-08T03:23:13Z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