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1a225fe565e051cae7cfe13419af9f63dce316b"/>
    <w:p>
      <w:pPr>
        <w:pStyle w:val="Heading1"/>
      </w:pPr>
      <w:r>
        <w:t xml:space="preserve">Project Coherence Doctrine — Scope, Docs, and Delivery Discipline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Binding Doctrine (Project Governance)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Address and prevent the specific coherence and credibility issues identified in the devil’s-advocate audit. This doctrine defines how the project describes itself, what is in scope, how documentation stays consistent, and how we ensure the work converges into a runnable end-to-end experience.</w:t>
      </w:r>
    </w:p>
    <w:p>
      <w:r>
        <w:pict>
          <v:rect style="width:0;height:1.5pt" o:hralign="center" o:hrstd="t" o:hr="t"/>
        </w:pict>
      </w:r>
    </w:p>
    <w:bookmarkStart w:id="20" w:name="core-problem-statement"/>
    <w:p>
      <w:pPr>
        <w:pStyle w:val="Heading2"/>
      </w:pPr>
      <w:r>
        <w:t xml:space="preserve">1. Core Problem Statement</w:t>
      </w:r>
    </w:p>
    <w:p>
      <w:pPr>
        <w:pStyle w:val="FirstParagraph"/>
      </w:pPr>
      <w:r>
        <w:t xml:space="preserve">The codebase is architecturally disciplined and tests are strong. The remaining risks are:</w:t>
      </w:r>
      <w:r>
        <w:t xml:space="preserve"> </w:t>
      </w:r>
      <w:r>
        <w:t xml:space="preserve">- scope ambiguity in docs (especially around LLMs and campaign continuity)</w:t>
      </w:r>
      <w:r>
        <w:t xml:space="preserve"> </w:t>
      </w:r>
      <w:r>
        <w:t xml:space="preserve">- inconsistent invariants (test runtime target)</w:t>
      </w:r>
      <w:r>
        <w:t xml:space="preserve"> </w:t>
      </w:r>
      <w:r>
        <w:t xml:space="preserve">- lack of an explicit</w:t>
      </w:r>
      <w:r>
        <w:t xml:space="preserve"> </w:t>
      </w:r>
      <w:r>
        <w:t xml:space="preserve">“vertical slice”</w:t>
      </w:r>
      <w:r>
        <w:t xml:space="preserve"> </w:t>
      </w:r>
      <w:r>
        <w:t xml:space="preserve">milestone that proves real usability</w:t>
      </w:r>
      <w:r>
        <w:t xml:space="preserve"> </w:t>
      </w:r>
      <w:r>
        <w:t xml:space="preserve">- lack of an explicit policy for rulings/conflicts (so</w:t>
      </w:r>
      <w:r>
        <w:t xml:space="preserve"> </w:t>
      </w:r>
      <w:r>
        <w:t xml:space="preserve">“no interpretation”</w:t>
      </w:r>
      <w:r>
        <w:t xml:space="preserve"> </w:t>
      </w:r>
      <w:r>
        <w:t xml:space="preserve">doesn’t drift into ad hoc interpretation)</w:t>
      </w:r>
      <w:r>
        <w:t xml:space="preserve"> </w:t>
      </w:r>
      <w:r>
        <w:t xml:space="preserve">- potentially over-strong wording in docs (</w:t>
      </w:r>
      <w:r>
        <w:t xml:space="preserve">“cryptographic hashing”</w:t>
      </w:r>
      <w:r>
        <w:t xml:space="preserve">) without a stated threat model</w:t>
      </w:r>
    </w:p>
    <w:p>
      <w:pPr>
        <w:pStyle w:val="BodyText"/>
      </w:pPr>
      <w:r>
        <w:t xml:space="preserve">This doctrine exists to remove these failure modes.</w:t>
      </w:r>
    </w:p>
    <w:p>
      <w:r>
        <w:pict>
          <v:rect style="width:0;height:1.5pt" o:hralign="center" o:hrstd="t" o:hr="t"/>
        </w:pict>
      </w:r>
    </w:p>
    <w:bookmarkEnd w:id="20"/>
    <w:bookmarkStart w:id="23" w:name="precise-scope-doctrine"/>
    <w:p>
      <w:pPr>
        <w:pStyle w:val="Heading2"/>
      </w:pPr>
      <w:r>
        <w:t xml:space="preserve">2. Precise Scope Doctrine</w:t>
      </w:r>
    </w:p>
    <w:bookmarkStart w:id="21" w:name="runtime-vs-prep-hard-boundary"/>
    <w:p>
      <w:pPr>
        <w:pStyle w:val="Heading3"/>
      </w:pPr>
      <w:r>
        <w:t xml:space="preserve">2.1 Runtime vs Prep (Hard Boundary)</w:t>
      </w:r>
    </w:p>
    <w:p>
      <w:pPr>
        <w:pStyle w:val="FirstParagraph"/>
      </w:pPr>
      <w:r>
        <w:rPr>
          <w:b/>
          <w:bCs/>
        </w:rPr>
        <w:t xml:space="preserve">Deterministic Runtime</w:t>
      </w:r>
      <w:r>
        <w:t xml:space="preserve"> </w:t>
      </w:r>
      <w:r>
        <w:t xml:space="preserve">(binding):</w:t>
      </w:r>
      <w:r>
        <w:t xml:space="preserve"> </w:t>
      </w:r>
      <w:r>
        <w:t xml:space="preserve">- No LLM dependency</w:t>
      </w:r>
      <w:r>
        <w:t xml:space="preserve"> </w:t>
      </w:r>
      <w:r>
        <w:t xml:space="preserve">- No network dependency</w:t>
      </w:r>
      <w:r>
        <w:t xml:space="preserve"> </w:t>
      </w:r>
      <w:r>
        <w:t xml:space="preserve">- All decisions and state changes are deterministic and replayable</w:t>
      </w:r>
      <w:r>
        <w:t xml:space="preserve"> </w:t>
      </w:r>
      <w:r>
        <w:t xml:space="preserve">- All randomness uses isolated deterministic streams</w:t>
      </w:r>
    </w:p>
    <w:p>
      <w:pPr>
        <w:pStyle w:val="BodyText"/>
      </w:pPr>
      <w:r>
        <w:rPr>
          <w:b/>
          <w:bCs/>
        </w:rPr>
        <w:t xml:space="preserve">Prep / Authoring Layer</w:t>
      </w:r>
      <w:r>
        <w:t xml:space="preserve"> </w:t>
      </w:r>
      <w:r>
        <w:t xml:space="preserve">(allowed, non-runtime):</w:t>
      </w:r>
      <w:r>
        <w:t xml:space="preserve"> </w:t>
      </w:r>
      <w:r>
        <w:t xml:space="preserve">- May use LLMs to propose bundles, NPC content, summaries, and narration drafts</w:t>
      </w:r>
      <w:r>
        <w:t xml:space="preserve"> </w:t>
      </w:r>
      <w:r>
        <w:t xml:space="preserve">- All LLM outputs are treated as</w:t>
      </w:r>
      <w:r>
        <w:t xml:space="preserve"> </w:t>
      </w:r>
      <w:r>
        <w:rPr>
          <w:b/>
          <w:bCs/>
        </w:rPr>
        <w:t xml:space="preserve">untrusted drafts</w:t>
      </w:r>
      <w:r>
        <w:t xml:space="preserve"> </w:t>
      </w:r>
      <w:r>
        <w:t xml:space="preserve">- Validators are authoritative; invalid artifacts are rejected or returned for revision</w:t>
      </w:r>
    </w:p>
    <w:p>
      <w:pPr>
        <w:pStyle w:val="BodyText"/>
      </w:pPr>
      <w:r>
        <w:rPr>
          <w:b/>
          <w:bCs/>
        </w:rPr>
        <w:t xml:space="preserve">Narration Layer</w:t>
      </w:r>
      <w:r>
        <w:t xml:space="preserve"> </w:t>
      </w:r>
      <w:r>
        <w:t xml:space="preserve">(optional, non-authoritative):</w:t>
      </w:r>
      <w:r>
        <w:t xml:space="preserve"> </w:t>
      </w:r>
      <w:r>
        <w:t xml:space="preserve">- May use LLMs to describe events already decided by deterministic systems</w:t>
      </w:r>
      <w:r>
        <w:t xml:space="preserve"> </w:t>
      </w:r>
      <w:r>
        <w:t xml:space="preserve">- Never allowed to decide outcomes, mutate state, apply effects, or advance time</w:t>
      </w:r>
    </w:p>
    <w:bookmarkEnd w:id="21"/>
    <w:bookmarkStart w:id="22" w:name="X6760f841bf9ae1243ebe13992fcbbdff737ac01"/>
    <w:p>
      <w:pPr>
        <w:pStyle w:val="Heading3"/>
      </w:pPr>
      <w:r>
        <w:t xml:space="preserve">2.2 Campaign Continuity vs Campaign Management (Clarified)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- Campaign continuity records (session ledgers, evidence logs, thread registries)</w:t>
      </w:r>
      <w:r>
        <w:t xml:space="preserve"> </w:t>
      </w:r>
      <w:r>
        <w:t xml:space="preserve">- Retrieval discipline (</w:t>
      </w:r>
      <w:r>
        <w:t xml:space="preserve">“answer with receipts”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Campaign planning UI/workflows</w:t>
      </w:r>
      <w:r>
        <w:t xml:space="preserve"> </w:t>
      </w:r>
      <w:r>
        <w:t xml:space="preserve">- GM authoring tools, worldbuilding editors, or VTT product features</w:t>
      </w:r>
    </w:p>
    <w:p>
      <w:pPr>
        <w:pStyle w:val="BodyText"/>
      </w:pPr>
      <w:r>
        <w:t xml:space="preserve">This replaces the ambiguous phrase</w:t>
      </w:r>
      <w:r>
        <w:t xml:space="preserve"> </w:t>
      </w:r>
      <w:r>
        <w:t xml:space="preserve">“campaign management”</w:t>
      </w:r>
      <w:r>
        <w:t xml:space="preserve"> </w:t>
      </w:r>
      <w:r>
        <w:t xml:space="preserve">with an explicit boundary.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ocumentation-single-truth-policy"/>
    <w:p>
      <w:pPr>
        <w:pStyle w:val="Heading2"/>
      </w:pPr>
      <w:r>
        <w:t xml:space="preserve">3. Documentation Single-Truth Policy</w:t>
      </w:r>
    </w:p>
    <w:bookmarkStart w:id="24" w:name="canonical-sources"/>
    <w:p>
      <w:pPr>
        <w:pStyle w:val="Heading3"/>
      </w:pPr>
      <w:r>
        <w:t xml:space="preserve">3.1 Canonical 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PROJECT_STATE_DIGEST.md (PSD)</w:t>
      </w:r>
      <w:r>
        <w:t xml:space="preserve"> </w:t>
      </w:r>
      <w:r>
        <w:t xml:space="preserve">— authoritative state snapshot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— user-facing description and examples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— executable specification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code</w:t>
      </w:r>
      <w:r>
        <w:t xml:space="preserve"> </w:t>
      </w:r>
      <w:r>
        <w:t xml:space="preserve">— ground truth</w:t>
      </w:r>
    </w:p>
    <w:bookmarkEnd w:id="24"/>
    <w:bookmarkStart w:id="25" w:name="consistency-rules"/>
    <w:p>
      <w:pPr>
        <w:pStyle w:val="Heading3"/>
      </w:pPr>
      <w:r>
        <w:t xml:space="preserve">3.2 Consistency Rules</w:t>
      </w:r>
    </w:p>
    <w:p>
      <w:pPr>
        <w:pStyle w:val="Compact"/>
        <w:numPr>
          <w:ilvl w:val="0"/>
          <w:numId w:val="1002"/>
        </w:numPr>
      </w:pPr>
      <w:r>
        <w:t xml:space="preserve">Any project invariant (e.g., test runtime threshold) must match in PSD and README.</w:t>
      </w:r>
    </w:p>
    <w:p>
      <w:pPr>
        <w:pStyle w:val="Compact"/>
        <w:numPr>
          <w:ilvl w:val="0"/>
          <w:numId w:val="1002"/>
        </w:numPr>
      </w:pPr>
      <w:r>
        <w:t xml:space="preserve">Any scope boundary statement must match in PSD and README.</w:t>
      </w:r>
    </w:p>
    <w:p>
      <w:pPr>
        <w:pStyle w:val="Compact"/>
        <w:numPr>
          <w:ilvl w:val="0"/>
          <w:numId w:val="1002"/>
        </w:numPr>
      </w:pPr>
      <w:r>
        <w:t xml:space="preserve">Any</w:t>
      </w:r>
      <w:r>
        <w:t xml:space="preserve"> </w:t>
      </w:r>
      <w:r>
        <w:t xml:space="preserve">“future work”</w:t>
      </w:r>
      <w:r>
        <w:t xml:space="preserve"> </w:t>
      </w:r>
      <w:r>
        <w:t xml:space="preserve">item must not contradict</w:t>
      </w:r>
      <w:r>
        <w:t xml:space="preserve"> </w:t>
      </w:r>
      <w:r>
        <w:t xml:space="preserve">“non-goals”</w:t>
      </w:r>
      <w:r>
        <w:t xml:space="preserve"> </w:t>
      </w:r>
      <w:r>
        <w:t xml:space="preserve">wording.</w:t>
      </w:r>
    </w:p>
    <w:bookmarkEnd w:id="25"/>
    <w:bookmarkStart w:id="26" w:name="wording-discipline"/>
    <w:p>
      <w:pPr>
        <w:pStyle w:val="Heading3"/>
      </w:pPr>
      <w:r>
        <w:t xml:space="preserve">3.3 Wording Discipline</w:t>
      </w:r>
    </w:p>
    <w:p>
      <w:pPr>
        <w:pStyle w:val="FirstParagraph"/>
      </w:pPr>
      <w:r>
        <w:t xml:space="preserve">Avoid</w:t>
      </w:r>
      <w:r>
        <w:t xml:space="preserve"> </w:t>
      </w:r>
      <w:r>
        <w:t xml:space="preserve">“marketing-grade”</w:t>
      </w:r>
      <w:r>
        <w:t xml:space="preserve"> </w:t>
      </w:r>
      <w:r>
        <w:t xml:space="preserve">claims unless defined:</w:t>
      </w:r>
      <w:r>
        <w:t xml:space="preserve"> </w:t>
      </w:r>
      <w:r>
        <w:t xml:space="preserve">- If describing hashing, specify what property is intended: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stable identity hashing</w:t>
      </w:r>
      <w:r>
        <w:t xml:space="preserve">,</w:t>
      </w:r>
      <w:r>
        <w:t xml:space="preserve"> </w:t>
      </w:r>
      <w:r>
        <w:rPr>
          <w:i/>
          <w:iCs/>
        </w:rPr>
        <w:t xml:space="preserve">tamper-evident digest</w:t>
      </w:r>
      <w:r>
        <w:t xml:space="preserve">, or</w:t>
      </w:r>
      <w:r>
        <w:t xml:space="preserve"> </w:t>
      </w:r>
      <w:r>
        <w:rPr>
          <w:i/>
          <w:iCs/>
        </w:rPr>
        <w:t xml:space="preserve">cryptographic hash with algorithm stated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738902d1e2e2eaf010872865a990129746912ff"/>
    <w:p>
      <w:pPr>
        <w:pStyle w:val="Heading2"/>
      </w:pPr>
      <w:r>
        <w:t xml:space="preserve">4. Delivery Doctrine: Vertical Slice Requirement</w:t>
      </w:r>
    </w:p>
    <w:bookmarkStart w:id="28" w:name="definition"/>
    <w:p>
      <w:pPr>
        <w:pStyle w:val="Heading3"/>
      </w:pPr>
      <w:r>
        <w:t xml:space="preserve">4.1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Vertical Slice</w:t>
      </w:r>
      <w:r>
        <w:t xml:space="preserve"> </w:t>
      </w:r>
      <w:r>
        <w:t xml:space="preserve">is the smallest runnable end-to-end scenario that demonstrates:</w:t>
      </w:r>
      <w:r>
        <w:t xml:space="preserve"> </w:t>
      </w:r>
      <w:r>
        <w:t xml:space="preserve">- deterministic play loop</w:t>
      </w:r>
      <w:r>
        <w:t xml:space="preserve"> </w:t>
      </w:r>
      <w:r>
        <w:t xml:space="preserve">- event logging and replay</w:t>
      </w:r>
      <w:r>
        <w:t xml:space="preserve"> </w:t>
      </w:r>
      <w:r>
        <w:t xml:space="preserve">- a minimal user interaction flow (even if CLI)</w:t>
      </w:r>
      <w:r>
        <w:t xml:space="preserve"> </w:t>
      </w:r>
      <w:r>
        <w:t xml:space="preserve">- readable output (templated or narrated)</w:t>
      </w:r>
    </w:p>
    <w:bookmarkEnd w:id="28"/>
    <w:bookmarkStart w:id="29" w:name="non-negotiable-milestone"/>
    <w:p>
      <w:pPr>
        <w:pStyle w:val="Heading3"/>
      </w:pPr>
      <w:r>
        <w:t xml:space="preserve">4.2 Non-Negotiable Milestone</w:t>
      </w:r>
    </w:p>
    <w:p>
      <w:pPr>
        <w:pStyle w:val="FirstParagraph"/>
      </w:pPr>
      <w:r>
        <w:t xml:space="preserve">The project must define and complete at least one vertical slice before expanding major new subsystems.</w:t>
      </w:r>
    </w:p>
    <w:bookmarkEnd w:id="29"/>
    <w:bookmarkStart w:id="30" w:name="minimal-slice-specification-v1"/>
    <w:p>
      <w:pPr>
        <w:pStyle w:val="Heading3"/>
      </w:pPr>
      <w:r>
        <w:t xml:space="preserve">4.3 Minimal Slice Specification (V1)</w:t>
      </w:r>
    </w:p>
    <w:p>
      <w:pPr>
        <w:pStyle w:val="Compact"/>
        <w:numPr>
          <w:ilvl w:val="0"/>
          <w:numId w:val="1003"/>
        </w:numPr>
      </w:pPr>
      <w:r>
        <w:t xml:space="preserve">One scene</w:t>
      </w:r>
    </w:p>
    <w:p>
      <w:pPr>
        <w:pStyle w:val="Compact"/>
        <w:numPr>
          <w:ilvl w:val="0"/>
          <w:numId w:val="1003"/>
        </w:numPr>
      </w:pPr>
      <w:r>
        <w:t xml:space="preserve">One monster with doctrine + policy selection</w:t>
      </w:r>
    </w:p>
    <w:p>
      <w:pPr>
        <w:pStyle w:val="Compact"/>
        <w:numPr>
          <w:ilvl w:val="0"/>
          <w:numId w:val="1003"/>
        </w:numPr>
      </w:pPr>
      <w:r>
        <w:t xml:space="preserve">Two PCs (stub entities acceptable)</w:t>
      </w:r>
    </w:p>
    <w:p>
      <w:pPr>
        <w:pStyle w:val="Compact"/>
        <w:numPr>
          <w:ilvl w:val="0"/>
          <w:numId w:val="1003"/>
        </w:numPr>
      </w:pPr>
      <w:r>
        <w:t xml:space="preserve">Three turns total</w:t>
      </w:r>
    </w:p>
    <w:p>
      <w:pPr>
        <w:pStyle w:val="Compact"/>
        <w:numPr>
          <w:ilvl w:val="0"/>
          <w:numId w:val="1003"/>
        </w:numPr>
      </w:pPr>
      <w:r>
        <w:t xml:space="preserve">Outputs:</w:t>
      </w:r>
    </w:p>
    <w:p>
      <w:pPr>
        <w:pStyle w:val="Compact"/>
        <w:numPr>
          <w:ilvl w:val="1"/>
          <w:numId w:val="1004"/>
        </w:numPr>
      </w:pPr>
      <w:r>
        <w:t xml:space="preserve">emitted events</w:t>
      </w:r>
    </w:p>
    <w:p>
      <w:pPr>
        <w:pStyle w:val="Compact"/>
        <w:numPr>
          <w:ilvl w:val="1"/>
          <w:numId w:val="1004"/>
        </w:numPr>
      </w:pPr>
      <w:r>
        <w:t xml:space="preserve">final WorldState</w:t>
      </w:r>
    </w:p>
    <w:p>
      <w:pPr>
        <w:pStyle w:val="Compact"/>
        <w:numPr>
          <w:ilvl w:val="1"/>
          <w:numId w:val="1004"/>
        </w:numPr>
      </w:pPr>
      <w:r>
        <w:t xml:space="preserve">replay confirms identical outcome</w:t>
      </w:r>
    </w:p>
    <w:p>
      <w:pPr>
        <w:pStyle w:val="Compact"/>
        <w:numPr>
          <w:ilvl w:val="1"/>
          <w:numId w:val="1004"/>
        </w:numPr>
      </w:pPr>
      <w:r>
        <w:t xml:space="preserve">human-readable transcript (templated OK)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rulings-conflicts-doctrine"/>
    <w:p>
      <w:pPr>
        <w:pStyle w:val="Heading2"/>
      </w:pPr>
      <w:r>
        <w:t xml:space="preserve">5. Rulings &amp; Conflicts Doctrine</w:t>
      </w:r>
    </w:p>
    <w:p>
      <w:pPr>
        <w:pStyle w:val="FirstParagraph"/>
      </w:pPr>
      <w:r>
        <w:t xml:space="preserve">The project does not</w:t>
      </w:r>
      <w:r>
        <w:t xml:space="preserve"> </w:t>
      </w:r>
      <w:r>
        <w:t xml:space="preserve">“interpret rules”</w:t>
      </w:r>
      <w:r>
        <w:t xml:space="preserve"> </w:t>
      </w:r>
      <w:r>
        <w:t xml:space="preserve">automatically, but it must support real play where conflicts occur.</w:t>
      </w:r>
    </w:p>
    <w:bookmarkStart w:id="32" w:name="required-capability"/>
    <w:p>
      <w:pPr>
        <w:pStyle w:val="Heading3"/>
      </w:pPr>
      <w:r>
        <w:t xml:space="preserve">5.1 Required Capability</w:t>
      </w:r>
    </w:p>
    <w:p>
      <w:pPr>
        <w:pStyle w:val="FirstParagraph"/>
      </w:pPr>
      <w:r>
        <w:t xml:space="preserve">Introduce a structured concept of: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Rules Question</w:t>
      </w:r>
      <w:r>
        <w:t xml:space="preserve"> </w:t>
      </w:r>
      <w:r>
        <w:t xml:space="preserve">- competing</w:t>
      </w:r>
      <w:r>
        <w:t xml:space="preserve"> </w:t>
      </w:r>
      <w:r>
        <w:rPr>
          <w:b/>
          <w:bCs/>
        </w:rPr>
        <w:t xml:space="preserve">citations</w:t>
      </w:r>
      <w:r>
        <w:t xml:space="preserve"> </w:t>
      </w:r>
      <w:r>
        <w:t xml:space="preserve">- an explicit</w:t>
      </w:r>
      <w:r>
        <w:t xml:space="preserve"> </w:t>
      </w:r>
      <w:r>
        <w:rPr>
          <w:b/>
          <w:bCs/>
        </w:rPr>
        <w:t xml:space="preserve">ruling decision</w:t>
      </w:r>
      <w:r>
        <w:t xml:space="preserve"> </w:t>
      </w:r>
      <w:r>
        <w:t xml:space="preserve">- rationale and precedence</w:t>
      </w:r>
    </w:p>
    <w:bookmarkEnd w:id="32"/>
    <w:bookmarkStart w:id="33" w:name="non-goals"/>
    <w:p>
      <w:pPr>
        <w:pStyle w:val="Heading3"/>
      </w:pPr>
      <w:r>
        <w:t xml:space="preserve">5.2 Non-Goals</w:t>
      </w:r>
    </w:p>
    <w:p>
      <w:pPr>
        <w:pStyle w:val="Compact"/>
        <w:numPr>
          <w:ilvl w:val="0"/>
          <w:numId w:val="1005"/>
        </w:numPr>
      </w:pPr>
      <w:r>
        <w:t xml:space="preserve">No automatic precedence inference</w:t>
      </w:r>
    </w:p>
    <w:p>
      <w:pPr>
        <w:pStyle w:val="Compact"/>
        <w:numPr>
          <w:ilvl w:val="0"/>
          <w:numId w:val="1005"/>
        </w:numPr>
      </w:pPr>
      <w:r>
        <w:t xml:space="preserve">No hidden DM fiat</w:t>
      </w:r>
    </w:p>
    <w:bookmarkEnd w:id="33"/>
    <w:bookmarkStart w:id="34" w:name="outcome"/>
    <w:p>
      <w:pPr>
        <w:pStyle w:val="Heading3"/>
      </w:pPr>
      <w:r>
        <w:t xml:space="preserve">5.3 Outcome</w:t>
      </w:r>
    </w:p>
    <w:p>
      <w:pPr>
        <w:pStyle w:val="FirstParagraph"/>
      </w:pPr>
      <w:r>
        <w:t xml:space="preserve">If a conflict is resolved, it must be logged explicitly and replayably.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lm-integration-doctrine-how-to-say-it"/>
    <w:p>
      <w:pPr>
        <w:pStyle w:val="Heading2"/>
      </w:pPr>
      <w:r>
        <w:t xml:space="preserve">6. LLM Integration Doctrine (How to Say It)</w:t>
      </w:r>
    </w:p>
    <w:p>
      <w:pPr>
        <w:pStyle w:val="FirstParagraph"/>
      </w:pPr>
      <w:r>
        <w:t xml:space="preserve">Docs must use this exact conceptual framing:</w:t>
      </w:r>
    </w:p>
    <w:p>
      <w:pPr>
        <w:pStyle w:val="Compact"/>
        <w:numPr>
          <w:ilvl w:val="0"/>
          <w:numId w:val="1006"/>
        </w:numPr>
      </w:pPr>
      <w:r>
        <w:t xml:space="preserve">“No LLM dependency in deterministic runtime.”</w:t>
      </w:r>
    </w:p>
    <w:p>
      <w:pPr>
        <w:pStyle w:val="Compact"/>
        <w:numPr>
          <w:ilvl w:val="0"/>
          <w:numId w:val="1006"/>
        </w:numPr>
      </w:pPr>
      <w:r>
        <w:t xml:space="preserve">“LLMs may be used in prep/narration layers as untrusted generators, gated by validators.”</w:t>
      </w:r>
    </w:p>
    <w:p>
      <w:pPr>
        <w:pStyle w:val="FirstParagraph"/>
      </w:pPr>
      <w:r>
        <w:t xml:space="preserve">This prevents the perception that the project is either hiding AI intent or lacking an AI plan.</w:t>
      </w:r>
    </w:p>
    <w:p>
      <w:r>
        <w:pict>
          <v:rect style="width:0;height:1.5pt" o:hralign="center" o:hrstd="t" o:hr="t"/>
        </w:pict>
      </w:r>
    </w:p>
    <w:bookmarkEnd w:id="36"/>
    <w:bookmarkStart w:id="37" w:name="audit-checklist-ongoing"/>
    <w:p>
      <w:pPr>
        <w:pStyle w:val="Heading2"/>
      </w:pPr>
      <w:r>
        <w:t xml:space="preserve">7. Audit Checklist (Ongoing)</w:t>
      </w:r>
    </w:p>
    <w:p>
      <w:pPr>
        <w:pStyle w:val="FirstParagraph"/>
      </w:pPr>
      <w:r>
        <w:t xml:space="preserve">Before any CP packet is marked complete:</w:t>
      </w:r>
      <w:r>
        <w:t xml:space="preserve"> </w:t>
      </w:r>
      <w:r>
        <w:t xml:space="preserve">- PSD and README invariants match (test threshold, scope boundaries)</w:t>
      </w:r>
      <w:r>
        <w:t xml:space="preserve"> </w:t>
      </w:r>
      <w:r>
        <w:t xml:space="preserve">-</w:t>
      </w:r>
      <w:r>
        <w:t xml:space="preserve"> </w:t>
      </w:r>
      <w:r>
        <w:t xml:space="preserve">“Non-goals”</w:t>
      </w:r>
      <w:r>
        <w:t xml:space="preserve"> </w:t>
      </w:r>
      <w:r>
        <w:t xml:space="preserve">do not contradict</w:t>
      </w:r>
      <w:r>
        <w:t xml:space="preserve"> </w:t>
      </w:r>
      <w:r>
        <w:t xml:space="preserve">“Future work”</w:t>
      </w:r>
      <w:r>
        <w:t xml:space="preserve"> </w:t>
      </w:r>
      <w:r>
        <w:t xml:space="preserve">phrasing</w:t>
      </w:r>
      <w:r>
        <w:t xml:space="preserve"> </w:t>
      </w:r>
      <w:r>
        <w:t xml:space="preserve">- Any new subsystem has an explicit place in runtime/prep/narration boundaries</w:t>
      </w:r>
      <w:r>
        <w:t xml:space="preserve"> </w:t>
      </w:r>
      <w:r>
        <w:t xml:space="preserve">- Vertical slice progress is not blocked by perpetual schema expansion</w:t>
      </w:r>
    </w:p>
    <w:p>
      <w:r>
        <w:pict>
          <v:rect style="width:0;height:1.5pt" o:hralign="center" o:hrstd="t" o:hr="t"/>
        </w:pict>
      </w:r>
    </w:p>
    <w:bookmarkEnd w:id="37"/>
    <w:bookmarkStart w:id="38" w:name="enforcement-mechanism"/>
    <w:p>
      <w:pPr>
        <w:pStyle w:val="Heading2"/>
      </w:pPr>
      <w:r>
        <w:t xml:space="preserve">8. Enforcement Mechanism</w:t>
      </w:r>
    </w:p>
    <w:p>
      <w:pPr>
        <w:pStyle w:val="Compact"/>
        <w:numPr>
          <w:ilvl w:val="0"/>
          <w:numId w:val="1007"/>
        </w:numPr>
      </w:pPr>
      <w:r>
        <w:t xml:space="preserve">Any PR/packet that changes scope wording must update PSD + README in the same packet.</w:t>
      </w:r>
    </w:p>
    <w:p>
      <w:pPr>
        <w:pStyle w:val="Compact"/>
        <w:numPr>
          <w:ilvl w:val="0"/>
          <w:numId w:val="1007"/>
        </w:numPr>
      </w:pPr>
      <w:r>
        <w:t xml:space="preserve">Any new claim of security/replayability must specify the exact mechanism.</w:t>
      </w:r>
    </w:p>
    <w:p>
      <w:pPr>
        <w:pStyle w:val="Compact"/>
        <w:numPr>
          <w:ilvl w:val="0"/>
          <w:numId w:val="1007"/>
        </w:numPr>
      </w:pPr>
      <w:r>
        <w:t xml:space="preserve">Any new subsystem must declare whether it supports or delays the vertical slice.</w:t>
      </w:r>
    </w:p>
    <w:p>
      <w:r>
        <w:pict>
          <v:rect style="width:0;height:1.5pt" o:hralign="center" o:hrstd="t" o:hr="t"/>
        </w:pict>
      </w:r>
    </w:p>
    <w:bookmarkEnd w:id="38"/>
    <w:bookmarkStart w:id="39" w:name="summary"/>
    <w:p>
      <w:pPr>
        <w:pStyle w:val="Heading2"/>
      </w:pPr>
      <w:r>
        <w:t xml:space="preserve">9. Summary</w:t>
      </w:r>
    </w:p>
    <w:p>
      <w:pPr>
        <w:pStyle w:val="FirstParagraph"/>
      </w:pPr>
      <w:r>
        <w:t xml:space="preserve">This doctrine locks the project’s external and internal coherence:</w:t>
      </w:r>
      <w:r>
        <w:t xml:space="preserve"> </w:t>
      </w:r>
      <w:r>
        <w:t xml:space="preserve">- deterministic runtime remains pure</w:t>
      </w:r>
      <w:r>
        <w:t xml:space="preserve"> </w:t>
      </w:r>
      <w:r>
        <w:t xml:space="preserve">- AI is explicitly constrained to prep/narration</w:t>
      </w:r>
      <w:r>
        <w:t xml:space="preserve"> </w:t>
      </w:r>
      <w:r>
        <w:t xml:space="preserve">- campaign continuity is in scope without implying UI/VTT productization</w:t>
      </w:r>
      <w:r>
        <w:t xml:space="preserve"> </w:t>
      </w:r>
      <w:r>
        <w:t xml:space="preserve">- docs remain consistent</w:t>
      </w:r>
      <w:r>
        <w:t xml:space="preserve"> </w:t>
      </w:r>
      <w:r>
        <w:t xml:space="preserve">- vertical slice becomes a first-class milestone</w:t>
      </w:r>
      <w:r>
        <w:t xml:space="preserve"> </w:t>
      </w:r>
      <w:r>
        <w:t xml:space="preserve">- rulings/conflicts become explicit and replayable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2026-02-07T16:57:50Z</dcterms:created>
  <dcterms:modified xsi:type="dcterms:W3CDTF">2026-02-07T16:57:50Z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