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b4c54a9ef45a462347fff14d181c2185092fe6"/>
    <w:p>
      <w:pPr>
        <w:pStyle w:val="Heading1"/>
      </w:pPr>
      <w:r>
        <w:t xml:space="preserve">Project Health Audit Cadence — Packet-Boundary Governance Amendment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once merged</w:t>
      </w:r>
    </w:p>
    <w:p>
      <w:pPr>
        <w:pStyle w:val="BodyText"/>
      </w:pPr>
      <w:r>
        <w:rPr>
          <w:b/>
          <w:bCs/>
        </w:rPr>
        <w:t xml:space="preserve">Applies To:</w:t>
      </w:r>
      <w:r>
        <w:t xml:space="preserve"> </w:t>
      </w:r>
      <w:r>
        <w:t xml:space="preserve">All instruction packets CP-14 and onward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amendment establishes a</w:t>
      </w:r>
      <w:r>
        <w:t xml:space="preserve"> </w:t>
      </w:r>
      <w:r>
        <w:rPr>
          <w:b/>
          <w:bCs/>
        </w:rPr>
        <w:t xml:space="preserve">formal, recurring Project Health Audit cadence</w:t>
      </w:r>
      <w:r>
        <w:t xml:space="preserve"> </w:t>
      </w:r>
      <w:r>
        <w:t xml:space="preserve">to preserve architectural coherence, determinism, and action-plan continuity as the system evolves.</w:t>
      </w:r>
    </w:p>
    <w:p>
      <w:pPr>
        <w:pStyle w:val="BodyText"/>
      </w:pPr>
      <w:r>
        <w:t xml:space="preserve">The goal is to ensure that as new interaction classes (initiative, interrupts, conditions, saves) are introduced, the project maintains a consistent, inspectable, and replay-safe foundation without relying on ad-hoc reviews.</w:t>
      </w:r>
    </w:p>
    <w:p>
      <w:r>
        <w:pict>
          <v:rect style="width:0;height:1.5pt" o:hralign="center" o:hrstd="t" o:hr="t"/>
        </w:pict>
      </w:r>
    </w:p>
    <w:bookmarkEnd w:id="20"/>
    <w:bookmarkStart w:id="22" w:name="audit-type-definition"/>
    <w:p>
      <w:pPr>
        <w:pStyle w:val="Heading2"/>
      </w:pPr>
      <w:r>
        <w:t xml:space="preserve">2. Audit Type Definition</w:t>
      </w:r>
    </w:p>
    <w:bookmarkStart w:id="21" w:name="packet-boundary-health-audit-pbha"/>
    <w:p>
      <w:pPr>
        <w:pStyle w:val="Heading3"/>
      </w:pPr>
      <w:r>
        <w:t xml:space="preserve">Packet Boundary Health Audit (PBHA)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Packet Boundary Health Audit (PBHA)</w:t>
      </w:r>
      <w:r>
        <w:t xml:space="preserve"> </w:t>
      </w:r>
      <w:r>
        <w:t xml:space="preserve">is a narrowly scoped, deterministic integrity review conducted at predefined project milestones.</w:t>
      </w:r>
    </w:p>
    <w:p>
      <w:pPr>
        <w:pStyle w:val="BodyText"/>
      </w:pPr>
      <w:r>
        <w:t xml:space="preserve">A PBHA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(not reactive)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Post-implementation and post-review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Non-redesignative</w:t>
      </w:r>
      <w:r>
        <w:t xml:space="preserve"> </w:t>
      </w:r>
      <w:r>
        <w:t xml:space="preserve">(diagnostic, not speculative)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andatory-audit-triggers"/>
    <w:p>
      <w:pPr>
        <w:pStyle w:val="Heading2"/>
      </w:pPr>
      <w:r>
        <w:t xml:space="preserve">3. Mandatory Audit Triggers</w:t>
      </w:r>
    </w:p>
    <w:p>
      <w:pPr>
        <w:pStyle w:val="FirstParagraph"/>
      </w:pPr>
      <w:r>
        <w:t xml:space="preserve">A PBHA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performed when any of the following conditions are met: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new interaction class is introduced</w:t>
      </w:r>
    </w:p>
    <w:p>
      <w:pPr>
        <w:pStyle w:val="Compact"/>
        <w:numPr>
          <w:ilvl w:val="1"/>
          <w:numId w:val="1002"/>
        </w:numPr>
      </w:pPr>
      <w:r>
        <w:t xml:space="preserve">Examples:</w:t>
      </w:r>
    </w:p>
    <w:p>
      <w:pPr>
        <w:pStyle w:val="Compact"/>
        <w:numPr>
          <w:ilvl w:val="2"/>
          <w:numId w:val="1003"/>
        </w:numPr>
      </w:pPr>
      <w:r>
        <w:t xml:space="preserve">Initiative &amp; round control (CP-14)</w:t>
      </w:r>
    </w:p>
    <w:p>
      <w:pPr>
        <w:pStyle w:val="Compact"/>
        <w:numPr>
          <w:ilvl w:val="2"/>
          <w:numId w:val="1003"/>
        </w:numPr>
      </w:pPr>
      <w:r>
        <w:t xml:space="preserve">Interrupt mechanics such as Attacks of Opportunity (CP-15)</w:t>
      </w:r>
    </w:p>
    <w:p>
      <w:pPr>
        <w:pStyle w:val="Compact"/>
        <w:numPr>
          <w:ilvl w:val="2"/>
          <w:numId w:val="1003"/>
        </w:numPr>
      </w:pPr>
      <w:r>
        <w:t xml:space="preserve">Condition-driven action restriction (CP-16)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packet introduces or modifies event ordering semantics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packet introduces, consumes, or re-routes an RNG stream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packet is designated as foundational in the action plan</w:t>
      </w:r>
    </w:p>
    <w:p>
      <w:r>
        <w:pict>
          <v:rect style="width:0;height:1.5pt" o:hralign="center" o:hrstd="t" o:hr="t"/>
        </w:pict>
      </w:r>
    </w:p>
    <w:bookmarkEnd w:id="23"/>
    <w:bookmarkStart w:id="24" w:name="audit-timing-rule-critical"/>
    <w:p>
      <w:pPr>
        <w:pStyle w:val="Heading2"/>
      </w:pPr>
      <w:r>
        <w:t xml:space="preserve">4. Audit Timing Rule (Critical)</w:t>
      </w:r>
    </w:p>
    <w:p>
      <w:pPr>
        <w:pStyle w:val="FirstParagraph"/>
      </w:pPr>
      <w:r>
        <w:t xml:space="preserve">A PBHA is conducted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the relevant packet reaches a</w:t>
      </w:r>
      <w:r>
        <w:t xml:space="preserve"> </w:t>
      </w:r>
      <w:r>
        <w:rPr>
          <w:b/>
          <w:bCs/>
        </w:rPr>
        <w:t xml:space="preserve">terminal state</w:t>
      </w:r>
      <w:r>
        <w:t xml:space="preserve">, defined as:</w:t>
      </w:r>
    </w:p>
    <w:p>
      <w:pPr>
        <w:pStyle w:val="Compact"/>
        <w:numPr>
          <w:ilvl w:val="0"/>
          <w:numId w:val="1004"/>
        </w:numPr>
      </w:pPr>
      <w:r>
        <w:t xml:space="preserve">Accepted and frozen, or</w:t>
      </w:r>
    </w:p>
    <w:p>
      <w:pPr>
        <w:pStyle w:val="Compact"/>
        <w:numPr>
          <w:ilvl w:val="0"/>
          <w:numId w:val="1004"/>
        </w:numPr>
      </w:pPr>
      <w:r>
        <w:t xml:space="preserve">Explicitly deferred with a documented HOLD</w:t>
      </w:r>
    </w:p>
    <w:p>
      <w:pPr>
        <w:pStyle w:val="FirstParagraph"/>
      </w:pPr>
      <w:r>
        <w:t xml:space="preserve">A PBHA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 conducted:</w:t>
      </w:r>
      <w:r>
        <w:t xml:space="preserve"> </w:t>
      </w:r>
      <w:r>
        <w:t xml:space="preserve">- Mid-implementation</w:t>
      </w:r>
      <w:r>
        <w:t xml:space="preserve"> </w:t>
      </w:r>
      <w:r>
        <w:t xml:space="preserve">- Mid-review</w:t>
      </w:r>
      <w:r>
        <w:t xml:space="preserve"> </w:t>
      </w:r>
      <w:r>
        <w:t xml:space="preserve">- Mid-HOLD</w:t>
      </w:r>
    </w:p>
    <w:p>
      <w:pPr>
        <w:pStyle w:val="BodyText"/>
      </w:pPr>
      <w:r>
        <w:t xml:space="preserve">This rule exists to ensure audits surface real system behavior, not assumptions.</w:t>
      </w:r>
    </w:p>
    <w:p>
      <w:r>
        <w:pict>
          <v:rect style="width:0;height:1.5pt" o:hralign="center" o:hrstd="t" o:hr="t"/>
        </w:pict>
      </w:r>
    </w:p>
    <w:bookmarkEnd w:id="24"/>
    <w:bookmarkStart w:id="25" w:name="audit-scope-fixed"/>
    <w:p>
      <w:pPr>
        <w:pStyle w:val="Heading2"/>
      </w:pPr>
      <w:r>
        <w:t xml:space="preserve">5. Audit Scope (Fixed)</w:t>
      </w:r>
    </w:p>
    <w:p>
      <w:pPr>
        <w:pStyle w:val="FirstParagraph"/>
      </w:pPr>
      <w:r>
        <w:t xml:space="preserve">Each PBHA answers</w:t>
      </w:r>
      <w:r>
        <w:t xml:space="preserve"> </w:t>
      </w:r>
      <w:r>
        <w:rPr>
          <w:b/>
          <w:bCs/>
        </w:rPr>
        <w:t xml:space="preserve">only the following four questions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Determinism Integrity</w:t>
      </w:r>
    </w:p>
    <w:p>
      <w:pPr>
        <w:pStyle w:val="Compact"/>
        <w:numPr>
          <w:ilvl w:val="1"/>
          <w:numId w:val="1006"/>
        </w:numPr>
      </w:pPr>
      <w:r>
        <w:t xml:space="preserve">Are all outcomes reproducible with identical seeds?</w:t>
      </w:r>
    </w:p>
    <w:p>
      <w:pPr>
        <w:pStyle w:val="Compact"/>
        <w:numPr>
          <w:ilvl w:val="1"/>
          <w:numId w:val="1006"/>
        </w:numPr>
      </w:pPr>
      <w:r>
        <w:t xml:space="preserve">Is RNG stream isolation preserved?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Ordering Correctness</w:t>
      </w:r>
    </w:p>
    <w:p>
      <w:pPr>
        <w:pStyle w:val="Compact"/>
        <w:numPr>
          <w:ilvl w:val="1"/>
          <w:numId w:val="1007"/>
        </w:numPr>
      </w:pPr>
      <w:r>
        <w:t xml:space="preserve">Are all state mutations event-driven?</w:t>
      </w:r>
    </w:p>
    <w:p>
      <w:pPr>
        <w:pStyle w:val="Compact"/>
        <w:numPr>
          <w:ilvl w:val="1"/>
          <w:numId w:val="1007"/>
        </w:numPr>
      </w:pPr>
      <w:r>
        <w:t xml:space="preserve">Are interrupt semantics explicit and ordered?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 Loop Coherence</w:t>
      </w:r>
    </w:p>
    <w:p>
      <w:pPr>
        <w:pStyle w:val="Compact"/>
        <w:numPr>
          <w:ilvl w:val="1"/>
          <w:numId w:val="1008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execute_turn()</w:t>
      </w:r>
      <w:r>
        <w:t xml:space="preserve"> </w:t>
      </w:r>
      <w:r>
        <w:t xml:space="preserve">remain the single per-actor execution boundary?</w:t>
      </w:r>
    </w:p>
    <w:p>
      <w:pPr>
        <w:pStyle w:val="Compact"/>
        <w:numPr>
          <w:ilvl w:val="1"/>
          <w:numId w:val="1008"/>
        </w:numPr>
      </w:pPr>
      <w:r>
        <w:t xml:space="preserve">Is round/turn ownership unambiguous?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Plan Validity</w:t>
      </w:r>
    </w:p>
    <w:p>
      <w:pPr>
        <w:pStyle w:val="Compact"/>
        <w:numPr>
          <w:ilvl w:val="1"/>
          <w:numId w:val="1009"/>
        </w:numPr>
      </w:pPr>
      <w:r>
        <w:t xml:space="preserve">Does the next packet still follow logically?</w:t>
      </w:r>
    </w:p>
    <w:p>
      <w:pPr>
        <w:pStyle w:val="Compact"/>
        <w:numPr>
          <w:ilvl w:val="1"/>
          <w:numId w:val="1009"/>
        </w:numPr>
      </w:pPr>
      <w:r>
        <w:t xml:space="preserve">Has any packet been implicitly pulled forward or blocked?</w:t>
      </w:r>
    </w:p>
    <w:p>
      <w:pPr>
        <w:pStyle w:val="FirstParagraph"/>
      </w:pPr>
      <w:r>
        <w:t xml:space="preserve">Audits must not expand beyond these questions.</w:t>
      </w:r>
    </w:p>
    <w:p>
      <w:r>
        <w:pict>
          <v:rect style="width:0;height:1.5pt" o:hralign="center" o:hrstd="t" o:hr="t"/>
        </w:pict>
      </w:r>
    </w:p>
    <w:bookmarkEnd w:id="25"/>
    <w:bookmarkStart w:id="26" w:name="non-goals"/>
    <w:p>
      <w:pPr>
        <w:pStyle w:val="Heading2"/>
      </w:pPr>
      <w:r>
        <w:t xml:space="preserve">6. Non-Goals</w:t>
      </w:r>
    </w:p>
    <w:p>
      <w:pPr>
        <w:pStyle w:val="FirstParagraph"/>
      </w:pPr>
      <w:r>
        <w:t xml:space="preserve">A PBHA explicitly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Redesign completed packets</w:t>
      </w:r>
    </w:p>
    <w:p>
      <w:pPr>
        <w:pStyle w:val="Compact"/>
        <w:numPr>
          <w:ilvl w:val="0"/>
          <w:numId w:val="1010"/>
        </w:numPr>
      </w:pPr>
      <w:r>
        <w:t xml:space="preserve">Re-litigate rules-as-written interpretations</w:t>
      </w:r>
    </w:p>
    <w:p>
      <w:pPr>
        <w:pStyle w:val="Compact"/>
        <w:numPr>
          <w:ilvl w:val="0"/>
          <w:numId w:val="1010"/>
        </w:numPr>
      </w:pPr>
      <w:r>
        <w:t xml:space="preserve">Add new features or scope</w:t>
      </w:r>
    </w:p>
    <w:p>
      <w:pPr>
        <w:pStyle w:val="Compact"/>
        <w:numPr>
          <w:ilvl w:val="0"/>
          <w:numId w:val="1010"/>
        </w:numPr>
      </w:pPr>
      <w:r>
        <w:t xml:space="preserve">Modify frozen instruction packets</w:t>
      </w:r>
    </w:p>
    <w:p>
      <w:pPr>
        <w:pStyle w:val="FirstParagraph"/>
      </w:pPr>
      <w:r>
        <w:t xml:space="preserve">Any issues discovered must be addressed via</w:t>
      </w:r>
      <w:r>
        <w:t xml:space="preserve"> </w:t>
      </w:r>
      <w:r>
        <w:rPr>
          <w:b/>
          <w:bCs/>
        </w:rPr>
        <w:t xml:space="preserve">new packets or documented amendments</w:t>
      </w:r>
      <w:r>
        <w:t xml:space="preserve">, not retroactive changes.</w:t>
      </w:r>
    </w:p>
    <w:p>
      <w:r>
        <w:pict>
          <v:rect style="width:0;height:1.5pt" o:hralign="center" o:hrstd="t" o:hr="t"/>
        </w:pict>
      </w:r>
    </w:p>
    <w:bookmarkEnd w:id="26"/>
    <w:bookmarkStart w:id="27" w:name="documentation-requirements"/>
    <w:p>
      <w:pPr>
        <w:pStyle w:val="Heading2"/>
      </w:pPr>
      <w:r>
        <w:t xml:space="preserve">7. Documentation Requirements</w:t>
      </w:r>
    </w:p>
    <w:p>
      <w:pPr>
        <w:pStyle w:val="FirstParagraph"/>
      </w:pPr>
      <w:r>
        <w:t xml:space="preserve">For each PBHA:</w:t>
      </w:r>
    </w:p>
    <w:p>
      <w:pPr>
        <w:pStyle w:val="Compact"/>
        <w:numPr>
          <w:ilvl w:val="0"/>
          <w:numId w:val="1011"/>
        </w:numPr>
      </w:pPr>
      <w:r>
        <w:t xml:space="preserve">A brief audit summary must be recorded (1–2 pages max)</w:t>
      </w:r>
    </w:p>
    <w:p>
      <w:pPr>
        <w:pStyle w:val="Compact"/>
        <w:numPr>
          <w:ilvl w:val="0"/>
          <w:numId w:val="1011"/>
        </w:numPr>
      </w:pPr>
      <w:r>
        <w:t xml:space="preserve">The summary must state:</w:t>
      </w:r>
    </w:p>
    <w:p>
      <w:pPr>
        <w:pStyle w:val="Compact"/>
        <w:numPr>
          <w:ilvl w:val="1"/>
          <w:numId w:val="1012"/>
        </w:numPr>
      </w:pPr>
      <w:r>
        <w:t xml:space="preserve">Packet audited</w:t>
      </w:r>
    </w:p>
    <w:p>
      <w:pPr>
        <w:pStyle w:val="Compact"/>
        <w:numPr>
          <w:ilvl w:val="1"/>
          <w:numId w:val="1012"/>
        </w:numPr>
      </w:pPr>
      <w:r>
        <w:t xml:space="preserve">Audit trigger</w:t>
      </w:r>
    </w:p>
    <w:p>
      <w:pPr>
        <w:pStyle w:val="Compact"/>
        <w:numPr>
          <w:ilvl w:val="1"/>
          <w:numId w:val="1012"/>
        </w:numPr>
      </w:pPr>
      <w:r>
        <w:t xml:space="preserve">Findings (pass / concerns / block)</w:t>
      </w:r>
    </w:p>
    <w:p>
      <w:pPr>
        <w:pStyle w:val="Compact"/>
        <w:numPr>
          <w:ilvl w:val="1"/>
          <w:numId w:val="1012"/>
        </w:numPr>
      </w:pPr>
      <w:r>
        <w:t xml:space="preserve">Required follow-on actions (if any)</w:t>
      </w:r>
    </w:p>
    <w:p>
      <w:pPr>
        <w:pStyle w:val="FirstParagraph"/>
      </w:pPr>
      <w:r>
        <w:t xml:space="preserve">These summaries are informational artifacts and do not alter packet status unless explicitly stated.</w:t>
      </w:r>
    </w:p>
    <w:p>
      <w:r>
        <w:pict>
          <v:rect style="width:0;height:1.5pt" o:hralign="center" o:hrstd="t" o:hr="t"/>
        </w:pict>
      </w:r>
    </w:p>
    <w:bookmarkEnd w:id="27"/>
    <w:bookmarkStart w:id="28" w:name="enforcement"/>
    <w:p>
      <w:pPr>
        <w:pStyle w:val="Heading2"/>
      </w:pPr>
      <w:r>
        <w:t xml:space="preserve">8. Enforcement</w:t>
      </w:r>
    </w:p>
    <w:p>
      <w:pPr>
        <w:pStyle w:val="Compact"/>
        <w:numPr>
          <w:ilvl w:val="0"/>
          <w:numId w:val="1013"/>
        </w:numPr>
      </w:pPr>
      <w:r>
        <w:t xml:space="preserve">No packet that triggers a PBHA may proceed to the next foundational packet until the PBHA is completed or explicitly waived.</w:t>
      </w:r>
    </w:p>
    <w:p>
      <w:pPr>
        <w:pStyle w:val="Compact"/>
        <w:numPr>
          <w:ilvl w:val="0"/>
          <w:numId w:val="1013"/>
        </w:numPr>
      </w:pPr>
      <w:r>
        <w:t xml:space="preserve">Waivers must be documented and justified.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2"/>
      </w:pPr>
      <w:r>
        <w:t xml:space="preserve">9. Summary</w:t>
      </w:r>
    </w:p>
    <w:p>
      <w:pPr>
        <w:pStyle w:val="FirstParagraph"/>
      </w:pPr>
      <w:r>
        <w:t xml:space="preserve">This amendment ensures that architectural health checks are:</w:t>
      </w:r>
    </w:p>
    <w:p>
      <w:pPr>
        <w:pStyle w:val="Compact"/>
        <w:numPr>
          <w:ilvl w:val="0"/>
          <w:numId w:val="1014"/>
        </w:numPr>
      </w:pPr>
      <w:r>
        <w:t xml:space="preserve">Predictable</w:t>
      </w:r>
    </w:p>
    <w:p>
      <w:pPr>
        <w:pStyle w:val="Compact"/>
        <w:numPr>
          <w:ilvl w:val="0"/>
          <w:numId w:val="1014"/>
        </w:numPr>
      </w:pPr>
      <w:r>
        <w:t xml:space="preserve">Bounded</w:t>
      </w:r>
    </w:p>
    <w:p>
      <w:pPr>
        <w:pStyle w:val="Compact"/>
        <w:numPr>
          <w:ilvl w:val="0"/>
          <w:numId w:val="1014"/>
        </w:numPr>
      </w:pPr>
      <w:r>
        <w:t xml:space="preserve">Actionable</w:t>
      </w:r>
    </w:p>
    <w:p>
      <w:pPr>
        <w:pStyle w:val="Compact"/>
        <w:numPr>
          <w:ilvl w:val="0"/>
          <w:numId w:val="1014"/>
        </w:numPr>
      </w:pPr>
      <w:r>
        <w:t xml:space="preserve">Non-disruptive</w:t>
      </w:r>
    </w:p>
    <w:p>
      <w:pPr>
        <w:pStyle w:val="FirstParagraph"/>
      </w:pPr>
      <w:r>
        <w:t xml:space="preserve">As the system grows in complexity, PBHAs provide continuity of intent without slowing progress.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Effective Upon Merge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2026-02-08T02:17:00Z</dcterms:created>
  <dcterms:modified xsi:type="dcterms:W3CDTF">2026-02-08T02:17:00Z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