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7a9dcebb34e876fcf727453a4dc9e739c8030c"/>
    <w:p>
      <w:pPr>
        <w:pStyle w:val="Heading1"/>
      </w:pPr>
      <w:r>
        <w:t xml:space="preserve">Round 2 — Spell Duration &amp; Dispelling Audit Catalog</w:t>
      </w:r>
    </w:p>
    <w:p>
      <w:pPr>
        <w:pStyle w:val="FirstParagraph"/>
      </w:pPr>
      <w:r>
        <w:rPr>
          <w:b/>
          <w:bCs/>
        </w:rPr>
        <w:t xml:space="preserve">Purpose:</w:t>
      </w:r>
      <w:r>
        <w:t xml:space="preserve"> </w:t>
      </w:r>
      <w:r>
        <w:t xml:space="preserve">Establish a canonical, reusable audit artifact that catalogs all research, findings, and classifications related to spell duration, dispelling, suppression, and permanence. This document is designed to plug directly into the AIDM Core Ruleset Audit process and support deterministic, gate-aware evaluation.</w:t>
      </w:r>
    </w:p>
    <w:p>
      <w:r>
        <w:pict>
          <v:rect style="width:0;height:1.5pt" o:hralign="center" o:hrstd="t" o:hr="t"/>
        </w:pict>
      </w:r>
    </w:p>
    <w:bookmarkStart w:id="20" w:name="audit-scope-intent"/>
    <w:p>
      <w:pPr>
        <w:pStyle w:val="Heading2"/>
      </w:pPr>
      <w:r>
        <w:t xml:space="preserve">1. Audit Scope &amp; Intent</w:t>
      </w:r>
    </w:p>
    <w:p>
      <w:pPr>
        <w:pStyle w:val="FirstParagraph"/>
      </w:pPr>
      <w:r>
        <w:t xml:space="preserve">This catalog formalizes Round 2 research into a structured, queryable format suitable for:</w:t>
      </w:r>
      <w:r>
        <w:t xml:space="preserve"> </w:t>
      </w:r>
      <w:r>
        <w:t xml:space="preserve">- Governance review</w:t>
      </w:r>
      <w:r>
        <w:t xml:space="preserve"> </w:t>
      </w:r>
      <w:r>
        <w:t xml:space="preserve">- Capability gate enforcement</w:t>
      </w:r>
      <w:r>
        <w:t xml:space="preserve"> </w:t>
      </w:r>
      <w:r>
        <w:t xml:space="preserve">- Cross-subsystem hazard detection</w:t>
      </w:r>
      <w:r>
        <w:t xml:space="preserve"> </w:t>
      </w:r>
      <w:r>
        <w:t xml:space="preserve">- Deterministic engine design constraints</w:t>
      </w:r>
    </w:p>
    <w:p>
      <w:pPr>
        <w:pStyle w:val="BodyText"/>
      </w:pPr>
      <w:r>
        <w:rPr>
          <w:b/>
          <w:bCs/>
        </w:rPr>
        <w:t xml:space="preserve">Explicit Non-Goals:</w:t>
      </w:r>
      <w:r>
        <w:t xml:space="preserve"> </w:t>
      </w:r>
      <w:r>
        <w:t xml:space="preserve">- No RAW adjudication or rulings</w:t>
      </w:r>
      <w:r>
        <w:t xml:space="preserve"> </w:t>
      </w:r>
      <w:r>
        <w:t xml:space="preserve">- No implementation guidance</w:t>
      </w:r>
      <w:r>
        <w:t xml:space="preserve"> </w:t>
      </w:r>
      <w:r>
        <w:t xml:space="preserve">- No resolution of disputes</w:t>
      </w:r>
    </w:p>
    <w:p>
      <w:pPr>
        <w:pStyle w:val="BodyText"/>
      </w:pPr>
      <w:r>
        <w:t xml:space="preserve">Classification only.</w:t>
      </w:r>
    </w:p>
    <w:p>
      <w:r>
        <w:pict>
          <v:rect style="width:0;height:1.5pt" o:hralign="center" o:hrstd="t" o:hr="t"/>
        </w:pict>
      </w:r>
    </w:p>
    <w:bookmarkEnd w:id="20"/>
    <w:bookmarkStart w:id="22" w:name="canonical-duration-taxonomy"/>
    <w:p>
      <w:pPr>
        <w:pStyle w:val="Heading2"/>
      </w:pPr>
      <w:r>
        <w:t xml:space="preserve">2. Canonical Duration Taxonomy</w:t>
      </w:r>
    </w:p>
    <w:bookmarkStart w:id="21" w:name="duration-classes"/>
    <w:p>
      <w:pPr>
        <w:pStyle w:val="Heading3"/>
      </w:pPr>
      <w:r>
        <w:t xml:space="preserve">2.1 Duration Classes</w:t>
      </w:r>
    </w:p>
    <w:tbl>
      <w:tblPr>
        <w:tblStyle w:val="Table"/>
        <w:tblW w:type="pct" w:w="5000"/>
        <w:tblLayout w:type="fixed"/>
        <w:tblLook w:firstRow="1" w:lastRow="0" w:firstColumn="0" w:lastColumn="0" w:noHBand="0" w:noVBand="0" w:val="0020"/>
      </w:tblPr>
      <w:tblGrid>
        <w:gridCol w:w="1070"/>
        <w:gridCol w:w="1284"/>
        <w:gridCol w:w="2568"/>
        <w:gridCol w:w="2996"/>
      </w:tblGrid>
      <w:tr>
        <w:trPr>
          <w:tblHeader w:val="on"/>
        </w:trPr>
        <w:tc>
          <w:tcPr/>
          <w:p>
            <w:pPr>
              <w:pStyle w:val="Compact"/>
            </w:pPr>
            <w:r>
              <w:t xml:space="preserve">Code</w:t>
            </w:r>
          </w:p>
        </w:tc>
        <w:tc>
          <w:tcPr/>
          <w:p>
            <w:pPr>
              <w:pStyle w:val="Compact"/>
            </w:pPr>
            <w:r>
              <w:t xml:space="preserve">Name</w:t>
            </w:r>
          </w:p>
        </w:tc>
        <w:tc>
          <w:tcPr/>
          <w:p>
            <w:pPr>
              <w:pStyle w:val="Compact"/>
            </w:pPr>
            <w:r>
              <w:t xml:space="preserve">Definition</w:t>
            </w:r>
          </w:p>
        </w:tc>
        <w:tc>
          <w:tcPr/>
          <w:p>
            <w:pPr>
              <w:pStyle w:val="Compact"/>
            </w:pPr>
            <w:r>
              <w:t xml:space="preserve">Primary Risk</w:t>
            </w:r>
          </w:p>
        </w:tc>
      </w:tr>
      <w:tr>
        <w:tc>
          <w:tcPr/>
          <w:p>
            <w:pPr>
              <w:pStyle w:val="Compact"/>
            </w:pPr>
            <w:r>
              <w:t xml:space="preserve">I</w:t>
            </w:r>
          </w:p>
        </w:tc>
        <w:tc>
          <w:tcPr/>
          <w:p>
            <w:pPr>
              <w:pStyle w:val="Compact"/>
            </w:pPr>
            <w:r>
              <w:t xml:space="preserve">Instantaneous</w:t>
            </w:r>
          </w:p>
        </w:tc>
        <w:tc>
          <w:tcPr/>
          <w:p>
            <w:pPr>
              <w:pStyle w:val="Compact"/>
            </w:pPr>
            <w:r>
              <w:t xml:space="preserve">Effect resolves immediately with no lingering magical effect</w:t>
            </w:r>
          </w:p>
        </w:tc>
        <w:tc>
          <w:tcPr/>
          <w:p>
            <w:pPr>
              <w:pStyle w:val="Compact"/>
            </w:pPr>
            <w:r>
              <w:t xml:space="preserve">Low</w:t>
            </w:r>
          </w:p>
        </w:tc>
      </w:tr>
      <w:tr>
        <w:tc>
          <w:tcPr/>
          <w:p>
            <w:pPr>
              <w:pStyle w:val="Compact"/>
            </w:pPr>
            <w:r>
              <w:t xml:space="preserve">I+L</w:t>
            </w:r>
          </w:p>
        </w:tc>
        <w:tc>
          <w:tcPr/>
          <w:p>
            <w:pPr>
              <w:pStyle w:val="Compact"/>
            </w:pPr>
            <w:r>
              <w:t xml:space="preserve">Instantaneous + Lasting State</w:t>
            </w:r>
          </w:p>
        </w:tc>
        <w:tc>
          <w:tcPr/>
          <w:p>
            <w:pPr>
              <w:pStyle w:val="Compact"/>
            </w:pPr>
            <w:r>
              <w:t xml:space="preserve">Instant effect whose results persist as state</w:t>
            </w:r>
          </w:p>
        </w:tc>
        <w:tc>
          <w:tcPr/>
          <w:p>
            <w:pPr>
              <w:pStyle w:val="Compact"/>
            </w:pPr>
            <w:r>
              <w:t xml:space="preserve">High</w:t>
            </w:r>
          </w:p>
        </w:tc>
      </w:tr>
      <w:tr>
        <w:tc>
          <w:tcPr/>
          <w:p>
            <w:pPr>
              <w:pStyle w:val="Compact"/>
            </w:pPr>
            <w:r>
              <w:t xml:space="preserve">T</w:t>
            </w:r>
          </w:p>
        </w:tc>
        <w:tc>
          <w:tcPr/>
          <w:p>
            <w:pPr>
              <w:pStyle w:val="Compact"/>
            </w:pPr>
            <w:r>
              <w:t xml:space="preserve">Timed</w:t>
            </w:r>
          </w:p>
        </w:tc>
        <w:tc>
          <w:tcPr/>
          <w:p>
            <w:pPr>
              <w:pStyle w:val="Compact"/>
            </w:pPr>
            <w:r>
              <w:t xml:space="preserve">Effect persists for fixed duration</w:t>
            </w:r>
          </w:p>
        </w:tc>
        <w:tc>
          <w:tcPr/>
          <w:p>
            <w:pPr>
              <w:pStyle w:val="Compact"/>
            </w:pPr>
            <w:r>
              <w:t xml:space="preserve">Medium</w:t>
            </w:r>
          </w:p>
        </w:tc>
      </w:tr>
      <w:tr>
        <w:tc>
          <w:tcPr/>
          <w:p>
            <w:pPr>
              <w:pStyle w:val="Compact"/>
            </w:pPr>
            <w:r>
              <w:t xml:space="preserve">T(D)</w:t>
            </w:r>
          </w:p>
        </w:tc>
        <w:tc>
          <w:tcPr/>
          <w:p>
            <w:pPr>
              <w:pStyle w:val="Compact"/>
            </w:pPr>
            <w:r>
              <w:t xml:space="preserve">Timed, Dismissible</w:t>
            </w:r>
          </w:p>
        </w:tc>
        <w:tc>
          <w:tcPr/>
          <w:p>
            <w:pPr>
              <w:pStyle w:val="Compact"/>
            </w:pPr>
            <w:r>
              <w:t xml:space="preserve">Timed effect subject to dismissal</w:t>
            </w:r>
          </w:p>
        </w:tc>
        <w:tc>
          <w:tcPr/>
          <w:p>
            <w:pPr>
              <w:pStyle w:val="Compact"/>
            </w:pPr>
            <w:r>
              <w:t xml:space="preserve">Medium</w:t>
            </w:r>
          </w:p>
        </w:tc>
      </w:tr>
      <w:tr>
        <w:tc>
          <w:tcPr/>
          <w:p>
            <w:pPr>
              <w:pStyle w:val="Compact"/>
            </w:pPr>
            <w:r>
              <w:t xml:space="preserve">P</w:t>
            </w:r>
          </w:p>
        </w:tc>
        <w:tc>
          <w:tcPr/>
          <w:p>
            <w:pPr>
              <w:pStyle w:val="Compact"/>
            </w:pPr>
            <w:r>
              <w:t xml:space="preserve">Permanent</w:t>
            </w:r>
          </w:p>
        </w:tc>
        <w:tc>
          <w:tcPr/>
          <w:p>
            <w:pPr>
              <w:pStyle w:val="Compact"/>
            </w:pPr>
            <w:r>
              <w:t xml:space="preserve">Effect persists indefinitely but may be dispelled</w:t>
            </w:r>
          </w:p>
        </w:tc>
        <w:tc>
          <w:tcPr/>
          <w:p>
            <w:pPr>
              <w:pStyle w:val="Compact"/>
            </w:pPr>
            <w:r>
              <w:t xml:space="preserve">High</w:t>
            </w:r>
          </w:p>
        </w:tc>
      </w:tr>
      <w:tr>
        <w:tc>
          <w:tcPr/>
          <w:p>
            <w:pPr>
              <w:pStyle w:val="Compact"/>
            </w:pPr>
            <w:r>
              <w:t xml:space="preserve">P(true)</w:t>
            </w:r>
          </w:p>
        </w:tc>
        <w:tc>
          <w:tcPr/>
          <w:p>
            <w:pPr>
              <w:pStyle w:val="Compact"/>
            </w:pPr>
            <w:r>
              <w:t xml:space="preserve">True Permanent</w:t>
            </w:r>
          </w:p>
        </w:tc>
        <w:tc>
          <w:tcPr/>
          <w:p>
            <w:pPr>
              <w:pStyle w:val="Compact"/>
            </w:pPr>
            <w:r>
              <w:t xml:space="preserve">Effect explicitly non-dispellable</w:t>
            </w:r>
          </w:p>
        </w:tc>
        <w:tc>
          <w:tcPr/>
          <w:p>
            <w:pPr>
              <w:pStyle w:val="Compact"/>
            </w:pPr>
            <w:r>
              <w:t xml:space="preserve">Critical</w:t>
            </w:r>
          </w:p>
        </w:tc>
      </w:tr>
    </w:tbl>
    <w:p>
      <w:r>
        <w:pict>
          <v:rect style="width:0;height:1.5pt" o:hralign="center" o:hrstd="t" o:hr="t"/>
        </w:pict>
      </w:r>
    </w:p>
    <w:bookmarkEnd w:id="21"/>
    <w:bookmarkEnd w:id="22"/>
    <w:bookmarkStart w:id="24" w:name="intervention-semantics-catalog"/>
    <w:p>
      <w:pPr>
        <w:pStyle w:val="Heading2"/>
      </w:pPr>
      <w:r>
        <w:t xml:space="preserve">3. Intervention Semantics Catalog</w:t>
      </w:r>
    </w:p>
    <w:bookmarkStart w:id="23" w:name="intervention-types"/>
    <w:p>
      <w:pPr>
        <w:pStyle w:val="Heading3"/>
      </w:pPr>
      <w:r>
        <w:t xml:space="preserve">3.1 Intervention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Semantic Role</w:t>
            </w:r>
          </w:p>
        </w:tc>
        <w:tc>
          <w:tcPr/>
          <w:p>
            <w:pPr>
              <w:pStyle w:val="Compact"/>
            </w:pPr>
            <w:r>
              <w:t xml:space="preserve">Notes</w:t>
            </w:r>
          </w:p>
        </w:tc>
      </w:tr>
      <w:tr>
        <w:tc>
          <w:tcPr/>
          <w:p>
            <w:pPr>
              <w:pStyle w:val="Compact"/>
            </w:pPr>
            <w:r>
              <w:t xml:space="preserve">Dispel Magic</w:t>
            </w:r>
          </w:p>
        </w:tc>
        <w:tc>
          <w:tcPr/>
          <w:p>
            <w:pPr>
              <w:pStyle w:val="Compact"/>
            </w:pPr>
            <w:r>
              <w:t xml:space="preserve">Effect removal</w:t>
            </w:r>
          </w:p>
        </w:tc>
        <w:tc>
          <w:tcPr/>
          <w:p>
            <w:pPr>
              <w:pStyle w:val="Compact"/>
            </w:pPr>
            <w:r>
              <w:t xml:space="preserve">Does not rewind state changes</w:t>
            </w:r>
          </w:p>
        </w:tc>
      </w:tr>
      <w:tr>
        <w:tc>
          <w:tcPr/>
          <w:p>
            <w:pPr>
              <w:pStyle w:val="Compact"/>
            </w:pPr>
            <w:r>
              <w:t xml:space="preserve">Greater Dispel</w:t>
            </w:r>
          </w:p>
        </w:tc>
        <w:tc>
          <w:tcPr/>
          <w:p>
            <w:pPr>
              <w:pStyle w:val="Compact"/>
            </w:pPr>
            <w:r>
              <w:t xml:space="preserve">Stronger removal</w:t>
            </w:r>
          </w:p>
        </w:tc>
        <w:tc>
          <w:tcPr/>
          <w:p>
            <w:pPr>
              <w:pStyle w:val="Compact"/>
            </w:pPr>
            <w:r>
              <w:t xml:space="preserve">Same semantic class as Dispel</w:t>
            </w:r>
          </w:p>
        </w:tc>
      </w:tr>
      <w:tr>
        <w:tc>
          <w:tcPr/>
          <w:p>
            <w:pPr>
              <w:pStyle w:val="Compact"/>
            </w:pPr>
            <w:r>
              <w:t xml:space="preserve">Antimagic Field</w:t>
            </w:r>
          </w:p>
        </w:tc>
        <w:tc>
          <w:tcPr/>
          <w:p>
            <w:pPr>
              <w:pStyle w:val="Compact"/>
            </w:pPr>
            <w:r>
              <w:t xml:space="preserve">Suppression</w:t>
            </w:r>
          </w:p>
        </w:tc>
        <w:tc>
          <w:tcPr/>
          <w:p>
            <w:pPr>
              <w:pStyle w:val="Compact"/>
            </w:pPr>
            <w:r>
              <w:t xml:space="preserve">Pauses effects without removing</w:t>
            </w:r>
          </w:p>
        </w:tc>
      </w:tr>
      <w:tr>
        <w:tc>
          <w:tcPr/>
          <w:p>
            <w:pPr>
              <w:pStyle w:val="Compact"/>
            </w:pPr>
            <w:r>
              <w:t xml:space="preserve">Break Enchantment</w:t>
            </w:r>
          </w:p>
        </w:tc>
        <w:tc>
          <w:tcPr/>
          <w:p>
            <w:pPr>
              <w:pStyle w:val="Compact"/>
            </w:pPr>
            <w:r>
              <w:t xml:space="preserve">Lingering removal</w:t>
            </w:r>
          </w:p>
        </w:tc>
        <w:tc>
          <w:tcPr/>
          <w:p>
            <w:pPr>
              <w:pStyle w:val="Compact"/>
            </w:pPr>
            <w:r>
              <w:t xml:space="preserve">Partial reversal tool</w:t>
            </w:r>
          </w:p>
        </w:tc>
      </w:tr>
      <w:tr>
        <w:tc>
          <w:tcPr/>
          <w:p>
            <w:pPr>
              <w:pStyle w:val="Compact"/>
            </w:pPr>
            <w:r>
              <w:t xml:space="preserve">Restoration Series</w:t>
            </w:r>
          </w:p>
        </w:tc>
        <w:tc>
          <w:tcPr/>
          <w:p>
            <w:pPr>
              <w:pStyle w:val="Compact"/>
            </w:pPr>
            <w:r>
              <w:t xml:space="preserve">State repair</w:t>
            </w:r>
          </w:p>
        </w:tc>
        <w:tc>
          <w:tcPr/>
          <w:p>
            <w:pPr>
              <w:pStyle w:val="Compact"/>
            </w:pPr>
            <w:r>
              <w:t xml:space="preserve">Limited to defined penalties</w:t>
            </w:r>
          </w:p>
        </w:tc>
      </w:tr>
      <w:tr>
        <w:tc>
          <w:tcPr/>
          <w:p>
            <w:pPr>
              <w:pStyle w:val="Compact"/>
            </w:pPr>
            <w:r>
              <w:t xml:space="preserve">Wish/Miracle</w:t>
            </w:r>
          </w:p>
        </w:tc>
        <w:tc>
          <w:tcPr/>
          <w:p>
            <w:pPr>
              <w:pStyle w:val="Compact"/>
            </w:pPr>
            <w:r>
              <w:t xml:space="preserve">Reality override</w:t>
            </w:r>
          </w:p>
        </w:tc>
        <w:tc>
          <w:tcPr/>
          <w:p>
            <w:pPr>
              <w:pStyle w:val="Compact"/>
            </w:pPr>
            <w:r>
              <w:t xml:space="preserve">Non-mechanical reversal</w:t>
            </w:r>
          </w:p>
        </w:tc>
      </w:tr>
    </w:tbl>
    <w:p>
      <w:r>
        <w:pict>
          <v:rect style="width:0;height:1.5pt" o:hralign="center" o:hrstd="t" o:hr="t"/>
        </w:pict>
      </w:r>
    </w:p>
    <w:bookmarkEnd w:id="23"/>
    <w:bookmarkEnd w:id="24"/>
    <w:bookmarkStart w:id="29" w:name="audit-classification-checklist-binding"/>
    <w:p>
      <w:pPr>
        <w:pStyle w:val="Heading2"/>
      </w:pPr>
      <w:r>
        <w:t xml:space="preserve">4. Audit Classification Checklist (Binding)</w:t>
      </w:r>
    </w:p>
    <w:p>
      <w:pPr>
        <w:pStyle w:val="FirstParagraph"/>
      </w:pPr>
      <w:r>
        <w:t xml:space="preserve">For every researched spell or interaction, record:</w:t>
      </w:r>
    </w:p>
    <w:bookmarkStart w:id="25" w:name="effect-nature"/>
    <w:p>
      <w:pPr>
        <w:pStyle w:val="Heading3"/>
      </w:pPr>
      <w:r>
        <w:t xml:space="preserve">4.1 Effect Nature</w:t>
      </w:r>
    </w:p>
    <w:p>
      <w:pPr>
        <w:pStyle w:val="Compact"/>
        <w:numPr>
          <w:ilvl w:val="0"/>
          <w:numId w:val="1001"/>
        </w:numPr>
      </w:pPr>
      <w:r>
        <w:t xml:space="preserve">Instantaneous</w:t>
      </w:r>
    </w:p>
    <w:p>
      <w:pPr>
        <w:pStyle w:val="Compact"/>
        <w:numPr>
          <w:ilvl w:val="0"/>
          <w:numId w:val="1002"/>
        </w:numPr>
      </w:pPr>
      <w:r>
        <w:t xml:space="preserve">Instantaneous + Lasting State</w:t>
      </w:r>
    </w:p>
    <w:p>
      <w:pPr>
        <w:pStyle w:val="Compact"/>
        <w:numPr>
          <w:ilvl w:val="0"/>
          <w:numId w:val="1003"/>
        </w:numPr>
      </w:pPr>
      <w:r>
        <w:t xml:space="preserve">Timed</w:t>
      </w:r>
    </w:p>
    <w:p>
      <w:pPr>
        <w:pStyle w:val="Compact"/>
        <w:numPr>
          <w:ilvl w:val="0"/>
          <w:numId w:val="1004"/>
        </w:numPr>
      </w:pPr>
      <w:r>
        <w:t xml:space="preserve">Permanent</w:t>
      </w:r>
    </w:p>
    <w:bookmarkEnd w:id="25"/>
    <w:bookmarkStart w:id="26" w:name="dispel-behavior"/>
    <w:p>
      <w:pPr>
        <w:pStyle w:val="Heading3"/>
      </w:pPr>
      <w:r>
        <w:t xml:space="preserve">4.2 Dispel Behavior</w:t>
      </w:r>
    </w:p>
    <w:p>
      <w:pPr>
        <w:pStyle w:val="Compact"/>
        <w:numPr>
          <w:ilvl w:val="0"/>
          <w:numId w:val="1005"/>
        </w:numPr>
      </w:pPr>
      <w:r>
        <w:t xml:space="preserve">Targetable by Dispel Magic</w:t>
      </w:r>
    </w:p>
    <w:p>
      <w:pPr>
        <w:pStyle w:val="Compact"/>
        <w:numPr>
          <w:ilvl w:val="0"/>
          <w:numId w:val="1006"/>
        </w:numPr>
      </w:pPr>
      <w:r>
        <w:t xml:space="preserve">Effect removed cleanly</w:t>
      </w:r>
    </w:p>
    <w:p>
      <w:pPr>
        <w:pStyle w:val="Compact"/>
        <w:numPr>
          <w:ilvl w:val="0"/>
          <w:numId w:val="1007"/>
        </w:numPr>
      </w:pPr>
      <w:r>
        <w:t xml:space="preserve">Effect partially removed</w:t>
      </w:r>
    </w:p>
    <w:p>
      <w:pPr>
        <w:pStyle w:val="Compact"/>
        <w:numPr>
          <w:ilvl w:val="0"/>
          <w:numId w:val="1008"/>
        </w:numPr>
      </w:pPr>
      <w:r>
        <w:t xml:space="preserve">Effect not removed</w:t>
      </w:r>
    </w:p>
    <w:bookmarkEnd w:id="26"/>
    <w:bookmarkStart w:id="27" w:name="suppression-behavior"/>
    <w:p>
      <w:pPr>
        <w:pStyle w:val="Heading3"/>
      </w:pPr>
      <w:r>
        <w:t xml:space="preserve">4.3 Suppression Behavior</w:t>
      </w:r>
    </w:p>
    <w:p>
      <w:pPr>
        <w:pStyle w:val="Compact"/>
        <w:numPr>
          <w:ilvl w:val="0"/>
          <w:numId w:val="1009"/>
        </w:numPr>
      </w:pPr>
      <w:r>
        <w:t xml:space="preserve">Suppressed by AMF</w:t>
      </w:r>
    </w:p>
    <w:p>
      <w:pPr>
        <w:pStyle w:val="Compact"/>
        <w:numPr>
          <w:ilvl w:val="0"/>
          <w:numId w:val="1010"/>
        </w:numPr>
      </w:pPr>
      <w:r>
        <w:t xml:space="preserve">Suppression pauses effect</w:t>
      </w:r>
    </w:p>
    <w:p>
      <w:pPr>
        <w:pStyle w:val="Compact"/>
        <w:numPr>
          <w:ilvl w:val="0"/>
          <w:numId w:val="1011"/>
        </w:numPr>
      </w:pPr>
      <w:r>
        <w:t xml:space="preserve">Effect resumes after suppression</w:t>
      </w:r>
    </w:p>
    <w:p>
      <w:pPr>
        <w:pStyle w:val="Compact"/>
        <w:numPr>
          <w:ilvl w:val="0"/>
          <w:numId w:val="1012"/>
        </w:numPr>
      </w:pPr>
      <w:r>
        <w:t xml:space="preserve">Effect irreversibly nullified</w:t>
      </w:r>
    </w:p>
    <w:bookmarkEnd w:id="27"/>
    <w:bookmarkStart w:id="28" w:name="reversal-instruments"/>
    <w:p>
      <w:pPr>
        <w:pStyle w:val="Heading3"/>
      </w:pPr>
      <w:r>
        <w:t xml:space="preserve">4.4 Reversal Instruments</w:t>
      </w:r>
    </w:p>
    <w:p>
      <w:pPr>
        <w:pStyle w:val="Compact"/>
        <w:numPr>
          <w:ilvl w:val="0"/>
          <w:numId w:val="1013"/>
        </w:numPr>
      </w:pPr>
      <w:r>
        <w:t xml:space="preserve">Specific reversal spell named</w:t>
      </w:r>
    </w:p>
    <w:p>
      <w:pPr>
        <w:pStyle w:val="Compact"/>
        <w:numPr>
          <w:ilvl w:val="0"/>
          <w:numId w:val="1014"/>
        </w:numPr>
      </w:pPr>
      <w:r>
        <w:t xml:space="preserve">General reversal possible</w:t>
      </w:r>
    </w:p>
    <w:p>
      <w:pPr>
        <w:pStyle w:val="Compact"/>
        <w:numPr>
          <w:ilvl w:val="0"/>
          <w:numId w:val="1015"/>
        </w:numPr>
      </w:pPr>
      <w:r>
        <w:t xml:space="preserve">Wish/Miracle only</w:t>
      </w:r>
    </w:p>
    <w:p>
      <w:pPr>
        <w:pStyle w:val="Compact"/>
        <w:numPr>
          <w:ilvl w:val="0"/>
          <w:numId w:val="1016"/>
        </w:numPr>
      </w:pPr>
      <w:r>
        <w:t xml:space="preserve">No reversal defined</w:t>
      </w:r>
    </w:p>
    <w:p>
      <w:r>
        <w:pict>
          <v:rect style="width:0;height:1.5pt" o:hralign="center" o:hrstd="t" o:hr="t"/>
        </w:pict>
      </w:r>
    </w:p>
    <w:bookmarkEnd w:id="28"/>
    <w:bookmarkEnd w:id="29"/>
    <w:bookmarkStart w:id="30" w:name="hazard-flag-registry"/>
    <w:p>
      <w:pPr>
        <w:pStyle w:val="Heading2"/>
      </w:pPr>
      <w:r>
        <w:t xml:space="preserve">5. Hazard Flag Registry</w:t>
      </w:r>
    </w:p>
    <w:p>
      <w:pPr>
        <w:pStyle w:val="FirstParagraph"/>
      </w:pPr>
      <w:r>
        <w:t xml:space="preserve">Each finding must tag zero or more of the following: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Meaning</w:t>
            </w:r>
          </w:p>
        </w:tc>
      </w:tr>
      <w:tr>
        <w:tc>
          <w:tcPr/>
          <w:p>
            <w:pPr>
              <w:pStyle w:val="Compact"/>
            </w:pPr>
            <w:r>
              <w:t xml:space="preserve">H-PERM</w:t>
            </w:r>
          </w:p>
        </w:tc>
        <w:tc>
          <w:tcPr/>
          <w:p>
            <w:pPr>
              <w:pStyle w:val="Compact"/>
            </w:pPr>
            <w:r>
              <w:t xml:space="preserve">Permanent state mutation</w:t>
            </w:r>
          </w:p>
        </w:tc>
      </w:tr>
      <w:tr>
        <w:tc>
          <w:tcPr/>
          <w:p>
            <w:pPr>
              <w:pStyle w:val="Compact"/>
            </w:pPr>
            <w:r>
              <w:t xml:space="preserve">H-ID</w:t>
            </w:r>
          </w:p>
        </w:tc>
        <w:tc>
          <w:tcPr/>
          <w:p>
            <w:pPr>
              <w:pStyle w:val="Compact"/>
            </w:pPr>
            <w:r>
              <w:t xml:space="preserve">Identity or form continuity risk</w:t>
            </w:r>
          </w:p>
        </w:tc>
      </w:tr>
      <w:tr>
        <w:tc>
          <w:tcPr/>
          <w:p>
            <w:pPr>
              <w:pStyle w:val="Compact"/>
            </w:pPr>
            <w:r>
              <w:t xml:space="preserve">H-SUP</w:t>
            </w:r>
          </w:p>
        </w:tc>
        <w:tc>
          <w:tcPr/>
          <w:p>
            <w:pPr>
              <w:pStyle w:val="Compact"/>
            </w:pPr>
            <w:r>
              <w:t xml:space="preserve">Suppression/reactivation trap</w:t>
            </w:r>
          </w:p>
        </w:tc>
      </w:tr>
      <w:tr>
        <w:tc>
          <w:tcPr/>
          <w:p>
            <w:pPr>
              <w:pStyle w:val="Compact"/>
            </w:pPr>
            <w:r>
              <w:t xml:space="preserve">H-XP</w:t>
            </w:r>
          </w:p>
        </w:tc>
        <w:tc>
          <w:tcPr/>
          <w:p>
            <w:pPr>
              <w:pStyle w:val="Compact"/>
            </w:pPr>
            <w:r>
              <w:t xml:space="preserve">XP or economy impact</w:t>
            </w:r>
          </w:p>
        </w:tc>
      </w:tr>
      <w:tr>
        <w:tc>
          <w:tcPr/>
          <w:p>
            <w:pPr>
              <w:pStyle w:val="Compact"/>
            </w:pPr>
            <w:r>
              <w:t xml:space="preserve">H-TIME</w:t>
            </w:r>
          </w:p>
        </w:tc>
        <w:tc>
          <w:tcPr/>
          <w:p>
            <w:pPr>
              <w:pStyle w:val="Compact"/>
            </w:pPr>
            <w:r>
              <w:t xml:space="preserve">Temporal resolution ambiguity</w:t>
            </w:r>
          </w:p>
        </w:tc>
      </w:tr>
    </w:tbl>
    <w:p>
      <w:r>
        <w:pict>
          <v:rect style="width:0;height:1.5pt" o:hralign="center" o:hrstd="t" o:hr="t"/>
        </w:pict>
      </w:r>
    </w:p>
    <w:bookmarkEnd w:id="30"/>
    <w:bookmarkStart w:id="31" w:name="capability-gate-mapping"/>
    <w:p>
      <w:pPr>
        <w:pStyle w:val="Heading2"/>
      </w:pPr>
      <w:r>
        <w:t xml:space="preserve">6. Capability Gate Mapping</w:t>
      </w:r>
    </w:p>
    <w:p>
      <w:pPr>
        <w:pStyle w:val="FirstParagraph"/>
      </w:pPr>
      <w:r>
        <w:t xml:space="preserve">All findings must be mapped to current gate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Status</w:t>
            </w:r>
          </w:p>
        </w:tc>
        <w:tc>
          <w:tcPr/>
          <w:p>
            <w:pPr>
              <w:pStyle w:val="Compact"/>
            </w:pPr>
            <w:r>
              <w:t xml:space="preserve">Trigger Conditions</w:t>
            </w:r>
          </w:p>
        </w:tc>
      </w:tr>
      <w:tr>
        <w:tc>
          <w:tcPr/>
          <w:p>
            <w:pPr>
              <w:pStyle w:val="Compact"/>
            </w:pPr>
            <w:r>
              <w:t xml:space="preserve">G-T1</w:t>
            </w:r>
          </w:p>
        </w:tc>
        <w:tc>
          <w:tcPr/>
          <w:p>
            <w:pPr>
              <w:pStyle w:val="Compact"/>
            </w:pPr>
            <w:r>
              <w:t xml:space="preserve">OPEN</w:t>
            </w:r>
          </w:p>
        </w:tc>
        <w:tc>
          <w:tcPr/>
          <w:p>
            <w:pPr>
              <w:pStyle w:val="Compact"/>
            </w:pPr>
            <w:r>
              <w:t xml:space="preserve">Targeting, visibility only</w:t>
            </w:r>
          </w:p>
        </w:tc>
      </w:tr>
      <w:tr>
        <w:tc>
          <w:tcPr/>
          <w:p>
            <w:pPr>
              <w:pStyle w:val="Compact"/>
            </w:pPr>
            <w:r>
              <w:t xml:space="preserve">G-T2A</w:t>
            </w:r>
          </w:p>
        </w:tc>
        <w:tc>
          <w:tcPr/>
          <w:p>
            <w:pPr>
              <w:pStyle w:val="Compact"/>
            </w:pPr>
            <w:r>
              <w:t xml:space="preserve">CLOSED</w:t>
            </w:r>
          </w:p>
        </w:tc>
        <w:tc>
          <w:tcPr/>
          <w:p>
            <w:pPr>
              <w:pStyle w:val="Compact"/>
            </w:pPr>
            <w:r>
              <w:t xml:space="preserve">Permanent stat mutation</w:t>
            </w:r>
          </w:p>
        </w:tc>
      </w:tr>
      <w:tr>
        <w:tc>
          <w:tcPr/>
          <w:p>
            <w:pPr>
              <w:pStyle w:val="Compact"/>
            </w:pPr>
            <w:r>
              <w:t xml:space="preserve">G-T2B</w:t>
            </w:r>
          </w:p>
        </w:tc>
        <w:tc>
          <w:tcPr/>
          <w:p>
            <w:pPr>
              <w:pStyle w:val="Compact"/>
            </w:pPr>
            <w:r>
              <w:t xml:space="preserve">CLOSED</w:t>
            </w:r>
          </w:p>
        </w:tc>
        <w:tc>
          <w:tcPr/>
          <w:p>
            <w:pPr>
              <w:pStyle w:val="Compact"/>
            </w:pPr>
            <w:r>
              <w:t xml:space="preserve">XP permanence</w:t>
            </w:r>
          </w:p>
        </w:tc>
      </w:tr>
      <w:tr>
        <w:tc>
          <w:tcPr/>
          <w:p>
            <w:pPr>
              <w:pStyle w:val="Compact"/>
            </w:pPr>
            <w:r>
              <w:t xml:space="preserve">G-T3D</w:t>
            </w:r>
          </w:p>
        </w:tc>
        <w:tc>
          <w:tcPr/>
          <w:p>
            <w:pPr>
              <w:pStyle w:val="Compact"/>
            </w:pPr>
            <w:r>
              <w:t xml:space="preserve">CLOSED</w:t>
            </w:r>
          </w:p>
        </w:tc>
        <w:tc>
          <w:tcPr/>
          <w:p>
            <w:pPr>
              <w:pStyle w:val="Compact"/>
            </w:pPr>
            <w:r>
              <w:t xml:space="preserve">Transformation history</w:t>
            </w:r>
          </w:p>
        </w:tc>
      </w:tr>
    </w:tbl>
    <w:p>
      <w:r>
        <w:pict>
          <v:rect style="width:0;height:1.5pt" o:hralign="center" o:hrstd="t" o:hr="t"/>
        </w:pict>
      </w:r>
    </w:p>
    <w:bookmarkEnd w:id="31"/>
    <w:bookmarkStart w:id="32" w:name="stop-conditions-audit-enforcement"/>
    <w:p>
      <w:pPr>
        <w:pStyle w:val="Heading2"/>
      </w:pPr>
      <w:r>
        <w:t xml:space="preserve">7. STOP Conditions (Audit Enforcement)</w:t>
      </w:r>
    </w:p>
    <w:p>
      <w:pPr>
        <w:pStyle w:val="FirstParagraph"/>
      </w:pPr>
      <w:r>
        <w:t xml:space="preserve">Immediate escalation required if:</w:t>
      </w:r>
      <w:r>
        <w:t xml:space="preserve"> </w:t>
      </w:r>
      <w:r>
        <w:t xml:space="preserve">- I+L with no explicit reversal path</w:t>
      </w:r>
      <w:r>
        <w:t xml:space="preserve"> </w:t>
      </w:r>
      <w:r>
        <w:t xml:space="preserve">- Permanent effect with identity mutation</w:t>
      </w:r>
      <w:r>
        <w:t xml:space="preserve"> </w:t>
      </w:r>
      <w:r>
        <w:t xml:space="preserve">- AMF suppresses but does not remove</w:t>
      </w:r>
      <w:r>
        <w:t xml:space="preserve"> </w:t>
      </w:r>
      <w:r>
        <w:t xml:space="preserve">- Conflicting authoritative sources</w:t>
      </w:r>
    </w:p>
    <w:p>
      <w:r>
        <w:pict>
          <v:rect style="width:0;height:1.5pt" o:hralign="center" o:hrstd="t" o:hr="t"/>
        </w:pict>
      </w:r>
    </w:p>
    <w:bookmarkEnd w:id="32"/>
    <w:bookmarkStart w:id="33" w:name="evidence-logging-template"/>
    <w:p>
      <w:pPr>
        <w:pStyle w:val="Heading2"/>
      </w:pPr>
      <w:r>
        <w:t xml:space="preserve">8. Evidence Logging Template</w:t>
      </w:r>
    </w:p>
    <w:p>
      <w:pPr>
        <w:pStyle w:val="FirstParagraph"/>
      </w:pPr>
      <w:r>
        <w:t xml:space="preserve">Each research item must be logged as:</w:t>
      </w:r>
    </w:p>
    <w:p>
      <w:pPr>
        <w:pStyle w:val="SourceCode"/>
      </w:pPr>
      <w:r>
        <w:rPr>
          <w:rStyle w:val="VerbatimChar"/>
        </w:rPr>
        <w:t xml:space="preserve">Spell / Effect:</w:t>
      </w:r>
      <w:r>
        <w:br/>
      </w:r>
      <w:r>
        <w:rPr>
          <w:rStyle w:val="VerbatimChar"/>
        </w:rPr>
        <w:t xml:space="preserve">Source(s):</w:t>
      </w:r>
      <w:r>
        <w:br/>
      </w:r>
      <w:r>
        <w:rPr>
          <w:rStyle w:val="VerbatimChar"/>
        </w:rPr>
        <w:t xml:space="preserve">Duration Class:</w:t>
      </w:r>
      <w:r>
        <w:br/>
      </w:r>
      <w:r>
        <w:rPr>
          <w:rStyle w:val="VerbatimChar"/>
        </w:rPr>
        <w:t xml:space="preserve">Dispel Behavior:</w:t>
      </w:r>
      <w:r>
        <w:br/>
      </w:r>
      <w:r>
        <w:rPr>
          <w:rStyle w:val="VerbatimChar"/>
        </w:rPr>
        <w:t xml:space="preserve">Suppression Behavior:</w:t>
      </w:r>
      <w:r>
        <w:br/>
      </w:r>
      <w:r>
        <w:rPr>
          <w:rStyle w:val="VerbatimChar"/>
        </w:rPr>
        <w:t xml:space="preserve">Reversal Instruments:</w:t>
      </w:r>
      <w:r>
        <w:br/>
      </w:r>
      <w:r>
        <w:rPr>
          <w:rStyle w:val="VerbatimChar"/>
        </w:rPr>
        <w:t xml:space="preserve">Hazard Flags:</w:t>
      </w:r>
      <w:r>
        <w:br/>
      </w:r>
      <w:r>
        <w:rPr>
          <w:rStyle w:val="VerbatimChar"/>
        </w:rPr>
        <w:t xml:space="preserve">Gate Mapping:</w:t>
      </w:r>
      <w:r>
        <w:br/>
      </w:r>
      <w:r>
        <w:rPr>
          <w:rStyle w:val="VerbatimChar"/>
        </w:rPr>
        <w:t xml:space="preserve">Notes:</w:t>
      </w:r>
    </w:p>
    <w:p>
      <w:r>
        <w:pict>
          <v:rect style="width:0;height:1.5pt" o:hralign="center" o:hrstd="t" o:hr="t"/>
        </w:pict>
      </w:r>
    </w:p>
    <w:bookmarkEnd w:id="33"/>
    <w:bookmarkStart w:id="34" w:name="integration-with-core-audit"/>
    <w:p>
      <w:pPr>
        <w:pStyle w:val="Heading2"/>
      </w:pPr>
      <w:r>
        <w:t xml:space="preserve">9. Integration with Core Audit</w:t>
      </w:r>
    </w:p>
    <w:p>
      <w:pPr>
        <w:pStyle w:val="FirstParagraph"/>
      </w:pPr>
      <w:r>
        <w:t xml:space="preserve">This catalog feeds directly into:</w:t>
      </w:r>
      <w:r>
        <w:t xml:space="preserve"> </w:t>
      </w:r>
      <w:r>
        <w:t xml:space="preserve">- AIDM_CORE_RULESET_AUDIT.md (CCMA entries)</w:t>
      </w:r>
      <w:r>
        <w:t xml:space="preserve"> </w:t>
      </w:r>
      <w:r>
        <w:t xml:space="preserve">- Structural Kernel Register updates</w:t>
      </w:r>
      <w:r>
        <w:t xml:space="preserve"> </w:t>
      </w:r>
      <w:r>
        <w:t xml:space="preserve">- Capability Gate justification dossiers</w:t>
      </w:r>
    </w:p>
    <w:p>
      <w:pPr>
        <w:pStyle w:val="BodyText"/>
      </w:pPr>
      <w:r>
        <w:t xml:space="preserve">No findings may bypass this catalog before escalation.</w:t>
      </w:r>
    </w:p>
    <w:p>
      <w:r>
        <w:pict>
          <v:rect style="width:0;height:1.5pt" o:hralign="center" o:hrstd="t" o:hr="t"/>
        </w:pict>
      </w:r>
    </w:p>
    <w:p>
      <w:pPr>
        <w:pStyle w:val="FirstParagraph"/>
      </w:pPr>
      <w:r>
        <w:rPr>
          <w:b/>
          <w:bCs/>
        </w:rPr>
        <w:t xml:space="preserve">Status:</w:t>
      </w:r>
      <w:r>
        <w:t xml:space="preserve"> </w:t>
      </w:r>
      <w:r>
        <w:t xml:space="preserve">ACTIVE (Round 2)</w:t>
      </w:r>
      <w:r>
        <w:t xml:space="preserve"> </w:t>
      </w:r>
      <w:r>
        <w:rPr>
          <w:b/>
          <w:bCs/>
        </w:rPr>
        <w:t xml:space="preserve">Owner:</w:t>
      </w:r>
      <w:r>
        <w:t xml:space="preserve"> </w:t>
      </w:r>
      <w:r>
        <w:t xml:space="preserve">Audit / Governance</w:t>
      </w:r>
      <w:r>
        <w:t xml:space="preserve"> </w:t>
      </w:r>
      <w:r>
        <w:rPr>
          <w:b/>
          <w:bCs/>
        </w:rPr>
        <w:t xml:space="preserve">Next Update:</w:t>
      </w:r>
      <w:r>
        <w:t xml:space="preserve"> </w:t>
      </w:r>
      <w:r>
        <w:t xml:space="preserve">Populate with Claude’s findings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2026-02-08T11:14:12Z</dcterms:created>
  <dcterms:modified xsi:type="dcterms:W3CDTF">2026-02-08T11:14:12Z</dcterms:modified>
</cp:coreProperties>
</file>

<file path=docProps/custom.xml><?xml version="1.0" encoding="utf-8"?>
<Properties xmlns="http://schemas.openxmlformats.org/officeDocument/2006/custom-properties" xmlns:vt="http://schemas.openxmlformats.org/officeDocument/2006/docPropsVTypes"/>
</file>