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captures and locks a</w:t>
      </w:r>
      <w:r>
        <w:t xml:space="preserve"> </w:t>
      </w:r>
      <w:r>
        <w:rPr>
          <w:b/>
          <w:bCs/>
        </w:rPr>
        <w:t xml:space="preserve">critical transparency and teaching system</w:t>
      </w:r>
      <w:r>
        <w:t xml:space="preserve"> </w:t>
      </w:r>
      <w:r>
        <w:t xml:space="preserve">that complements the voice-first philosophy without undermining it.</w:t>
      </w:r>
    </w:p>
    <w:p>
      <w:pPr>
        <w:pStyle w:val="BodyText"/>
      </w:pPr>
      <w:r>
        <w:t xml:space="preserve">It defines a minimal but authoritative</w:t>
      </w:r>
      <w:r>
        <w:t xml:space="preserve"> </w:t>
      </w:r>
      <w:r>
        <w:rPr>
          <w:b/>
          <w:bCs/>
        </w:rPr>
        <w:t xml:space="preserve">mechanics output window</w:t>
      </w:r>
      <w:r>
        <w:t xml:space="preserve"> </w:t>
      </w:r>
      <w:r>
        <w:t xml:space="preserve">that:</w:t>
      </w:r>
      <w:r>
        <w:t xml:space="preserve"> </w:t>
      </w:r>
      <w:r>
        <w:t xml:space="preserve">- proves fairness and determinism</w:t>
      </w:r>
      <w:r>
        <w:t xml:space="preserve"> </w:t>
      </w:r>
      <w:r>
        <w:t xml:space="preserve">- supports accessibility</w:t>
      </w:r>
      <w:r>
        <w:t xml:space="preserve"> </w:t>
      </w:r>
      <w:r>
        <w:t xml:space="preserve">- teaches new players implicitly</w:t>
      </w:r>
      <w:r>
        <w:t xml:space="preserve"> </w:t>
      </w:r>
      <w:r>
        <w:t xml:space="preserve">- builds trust through visible records</w:t>
      </w:r>
    </w:p>
    <w:p>
      <w:pPr>
        <w:pStyle w:val="BodyText"/>
      </w:pPr>
      <w:r>
        <w:t xml:space="preserve">This is not a control surface. It is a</w:t>
      </w:r>
      <w:r>
        <w:t xml:space="preserve"> </w:t>
      </w:r>
      <w:r>
        <w:rPr>
          <w:b/>
          <w:bCs/>
        </w:rPr>
        <w:t xml:space="preserve">ledger and explanation aid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"/>
    <w:p>
      <w:pPr>
        <w:pStyle w:val="Heading1"/>
      </w:pPr>
      <w:r>
        <w:t xml:space="preserve">Core Principle</w:t>
      </w:r>
    </w:p>
    <w:p>
      <w:pPr>
        <w:pStyle w:val="FirstParagraph"/>
      </w:pPr>
      <w:r>
        <w:rPr>
          <w:b/>
          <w:bCs/>
        </w:rPr>
        <w:t xml:space="preserve">Trust requires visibility.</w:t>
      </w:r>
    </w:p>
    <w:p>
      <w:pPr>
        <w:pStyle w:val="BodyText"/>
      </w:pPr>
      <w:r>
        <w:t xml:space="preserve">Even in a voice-first, narrative-driven system, players must be able to:</w:t>
      </w:r>
      <w:r>
        <w:t xml:space="preserve"> </w:t>
      </w:r>
      <w:r>
        <w:t xml:space="preserve">- see numbers</w:t>
      </w:r>
      <w:r>
        <w:t xml:space="preserve"> </w:t>
      </w:r>
      <w:r>
        <w:t xml:space="preserve">- see rolls</w:t>
      </w:r>
      <w:r>
        <w:t xml:space="preserve"> </w:t>
      </w:r>
      <w:r>
        <w:t xml:space="preserve">- see bonuses</w:t>
      </w:r>
      <w:r>
        <w:t xml:space="preserve"> </w:t>
      </w:r>
      <w:r>
        <w:t xml:space="preserve">- see outcomes</w:t>
      </w:r>
    </w:p>
    <w:p>
      <w:pPr>
        <w:pStyle w:val="BodyText"/>
      </w:pPr>
      <w:r>
        <w:t xml:space="preserve">This visibility is optional, non-intrusive, and always truthful.</w:t>
      </w:r>
    </w:p>
    <w:p>
      <w:r>
        <w:pict>
          <v:rect style="width:0;height:1.5pt" o:hralign="center" o:hrstd="t" o:hr="t"/>
        </w:pict>
      </w:r>
    </w:p>
    <w:bookmarkEnd w:id="21"/>
    <w:bookmarkStart w:id="24" w:name="mechanics-output-window-the-ledger"/>
    <w:p>
      <w:pPr>
        <w:pStyle w:val="Heading1"/>
      </w:pPr>
      <w:r>
        <w:t xml:space="preserve">Mechanics Output Window (</w:t>
      </w:r>
      <w:r>
        <w:t xml:space="preserve">“The Ledger”</w:t>
      </w:r>
      <w:r>
        <w:t xml:space="preserve">)</w:t>
      </w:r>
    </w:p>
    <w:bookmarkStart w:id="22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 lightweight, scrollable output panel that displays</w:t>
      </w:r>
      <w:r>
        <w:t xml:space="preserve"> </w:t>
      </w:r>
      <w:r>
        <w:rPr>
          <w:b/>
          <w:bCs/>
        </w:rPr>
        <w:t xml:space="preserve">mechanical facts</w:t>
      </w:r>
      <w:r>
        <w:t xml:space="preserve"> </w:t>
      </w:r>
      <w:r>
        <w:t xml:space="preserve">in real time.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dice results</w:t>
      </w:r>
      <w:r>
        <w:t xml:space="preserve"> </w:t>
      </w:r>
      <w:r>
        <w:t xml:space="preserve">- modifiers and bonuses</w:t>
      </w:r>
      <w:r>
        <w:t xml:space="preserve"> </w:t>
      </w:r>
      <w:r>
        <w:t xml:space="preserve">- stat values</w:t>
      </w:r>
      <w:r>
        <w:t xml:space="preserve"> </w:t>
      </w:r>
      <w:r>
        <w:t xml:space="preserve">- success/failure outcomes</w:t>
      </w:r>
    </w:p>
    <w:p>
      <w:pPr>
        <w:pStyle w:val="BodyText"/>
      </w:pPr>
      <w:r>
        <w:t xml:space="preserve">This window exists alongside voice narration.</w:t>
      </w:r>
    </w:p>
    <w:p>
      <w:r>
        <w:pict>
          <v:rect style="width:0;height:1.5pt" o:hralign="center" o:hrstd="t" o:hr="t"/>
        </w:pict>
      </w:r>
    </w:p>
    <w:bookmarkEnd w:id="22"/>
    <w:bookmarkStart w:id="23" w:name="design-constraints"/>
    <w:p>
      <w:pPr>
        <w:pStyle w:val="Heading2"/>
      </w:pPr>
      <w:r>
        <w:t xml:space="preserve">Design Constraints</w:t>
      </w:r>
    </w:p>
    <w:p>
      <w:pPr>
        <w:pStyle w:val="Compact"/>
        <w:numPr>
          <w:ilvl w:val="0"/>
          <w:numId w:val="1001"/>
        </w:numPr>
      </w:pPr>
      <w:r>
        <w:t xml:space="preserve">The ledger does not require interaction to function.</w:t>
      </w:r>
    </w:p>
    <w:p>
      <w:pPr>
        <w:pStyle w:val="Compact"/>
        <w:numPr>
          <w:ilvl w:val="0"/>
          <w:numId w:val="1001"/>
        </w:numPr>
      </w:pPr>
      <w:r>
        <w:t xml:space="preserve">It does not compete visually with the DM.</w:t>
      </w:r>
    </w:p>
    <w:p>
      <w:pPr>
        <w:pStyle w:val="Compact"/>
        <w:numPr>
          <w:ilvl w:val="0"/>
          <w:numId w:val="1001"/>
        </w:numPr>
      </w:pPr>
      <w:r>
        <w:t xml:space="preserve">It does not present configuration or controls.</w:t>
      </w:r>
    </w:p>
    <w:p>
      <w:pPr>
        <w:pStyle w:val="Compact"/>
        <w:numPr>
          <w:ilvl w:val="0"/>
          <w:numId w:val="1001"/>
        </w:numPr>
      </w:pPr>
      <w:r>
        <w:t xml:space="preserve">It is readable at a glance and skimmable.</w:t>
      </w:r>
    </w:p>
    <w:p>
      <w:pPr>
        <w:pStyle w:val="FirstParagraph"/>
      </w:pPr>
      <w:r>
        <w:t xml:space="preserve">Placement should be peripheral (side or corner).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accessibility-role"/>
    <w:p>
      <w:pPr>
        <w:pStyle w:val="Heading1"/>
      </w:pPr>
      <w:r>
        <w:t xml:space="preserve">Accessibility Role</w:t>
      </w:r>
    </w:p>
    <w:bookmarkStart w:id="25" w:name="visual-accessibility"/>
    <w:p>
      <w:pPr>
        <w:pStyle w:val="Heading2"/>
      </w:pPr>
      <w:r>
        <w:t xml:space="preserve">Visual Accessibility</w:t>
      </w:r>
    </w:p>
    <w:p>
      <w:pPr>
        <w:pStyle w:val="Compact"/>
        <w:numPr>
          <w:ilvl w:val="0"/>
          <w:numId w:val="1002"/>
        </w:numPr>
      </w:pPr>
      <w:r>
        <w:t xml:space="preserve">Supports players who cannot rely on audio alone.</w:t>
      </w:r>
    </w:p>
    <w:p>
      <w:pPr>
        <w:pStyle w:val="Compact"/>
        <w:numPr>
          <w:ilvl w:val="0"/>
          <w:numId w:val="1002"/>
        </w:numPr>
      </w:pPr>
      <w:r>
        <w:t xml:space="preserve">Font size and contrast must be adjustable.</w:t>
      </w:r>
    </w:p>
    <w:p>
      <w:pPr>
        <w:pStyle w:val="Compact"/>
        <w:numPr>
          <w:ilvl w:val="0"/>
          <w:numId w:val="1002"/>
        </w:numPr>
      </w:pPr>
      <w:r>
        <w:t xml:space="preserve">Information must not rely on color alone.</w:t>
      </w:r>
    </w:p>
    <w:bookmarkEnd w:id="25"/>
    <w:bookmarkStart w:id="26" w:name="cognitive-accessibility"/>
    <w:p>
      <w:pPr>
        <w:pStyle w:val="Heading2"/>
      </w:pPr>
      <w:r>
        <w:t xml:space="preserve">Cognitive Accessibility</w:t>
      </w:r>
    </w:p>
    <w:p>
      <w:pPr>
        <w:pStyle w:val="Compact"/>
        <w:numPr>
          <w:ilvl w:val="0"/>
          <w:numId w:val="1003"/>
        </w:numPr>
      </w:pPr>
      <w:r>
        <w:t xml:space="preserve">Clear numeric breakdowns reduce mental load.</w:t>
      </w:r>
    </w:p>
    <w:p>
      <w:pPr>
        <w:pStyle w:val="Compact"/>
        <w:numPr>
          <w:ilvl w:val="0"/>
          <w:numId w:val="1003"/>
        </w:numPr>
      </w:pPr>
      <w:r>
        <w:t xml:space="preserve">Players can review outcomes at their own pace.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trust-fairness-authentication"/>
    <w:p>
      <w:pPr>
        <w:pStyle w:val="Heading1"/>
      </w:pPr>
      <w:r>
        <w:t xml:space="preserve">Trust &amp; Fairness Authentication</w:t>
      </w:r>
    </w:p>
    <w:bookmarkStart w:id="28" w:name="dice-transparency"/>
    <w:p>
      <w:pPr>
        <w:pStyle w:val="Heading2"/>
      </w:pPr>
      <w:r>
        <w:t xml:space="preserve">Dice Transparency</w:t>
      </w:r>
    </w:p>
    <w:p>
      <w:pPr>
        <w:pStyle w:val="FirstParagraph"/>
      </w:pPr>
      <w:r>
        <w:t xml:space="preserve">For every roll, the ledger should show:</w:t>
      </w:r>
      <w:r>
        <w:t xml:space="preserve"> </w:t>
      </w:r>
      <w:r>
        <w:t xml:space="preserve">- dice type (e.g., d20)</w:t>
      </w:r>
      <w:r>
        <w:t xml:space="preserve"> </w:t>
      </w:r>
      <w:r>
        <w:t xml:space="preserve">- raw roll</w:t>
      </w:r>
      <w:r>
        <w:t xml:space="preserve"> </w:t>
      </w:r>
      <w:r>
        <w:t xml:space="preserve">- applied modifiers</w:t>
      </w:r>
      <w:r>
        <w:t xml:space="preserve"> </w:t>
      </w:r>
      <w:r>
        <w:t xml:space="preserve">- final result</w:t>
      </w:r>
    </w:p>
    <w:p>
      <w:pPr>
        <w:pStyle w:val="BodyText"/>
      </w:pPr>
      <w:r>
        <w:t xml:space="preserve">This acts as</w:t>
      </w:r>
      <w:r>
        <w:t xml:space="preserve"> </w:t>
      </w:r>
      <w:r>
        <w:rPr>
          <w:b/>
          <w:bCs/>
        </w:rPr>
        <w:t xml:space="preserve">proof of fairness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deterministic-proof"/>
    <w:p>
      <w:pPr>
        <w:pStyle w:val="Heading2"/>
      </w:pPr>
      <w:r>
        <w:t xml:space="preserve">Deterministic Proof</w:t>
      </w:r>
    </w:p>
    <w:p>
      <w:pPr>
        <w:pStyle w:val="FirstParagraph"/>
      </w:pPr>
      <w:r>
        <w:t xml:space="preserve">The ledger represents:</w:t>
      </w:r>
      <w:r>
        <w:t xml:space="preserve"> </w:t>
      </w:r>
      <w:r>
        <w:t xml:space="preserve">- what actually happened</w:t>
      </w:r>
      <w:r>
        <w:t xml:space="preserve"> </w:t>
      </w:r>
      <w:r>
        <w:t xml:space="preserve">- what was logged</w:t>
      </w:r>
      <w:r>
        <w:t xml:space="preserve"> </w:t>
      </w:r>
      <w:r>
        <w:t xml:space="preserve">- what can be replayed</w:t>
      </w:r>
    </w:p>
    <w:p>
      <w:pPr>
        <w:pStyle w:val="BodyText"/>
      </w:pPr>
      <w:r>
        <w:t xml:space="preserve">It is a visible reflection of the deterministic engine.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eaching-learning-function"/>
    <w:p>
      <w:pPr>
        <w:pStyle w:val="Heading1"/>
      </w:pPr>
      <w:r>
        <w:t xml:space="preserve">Teaching &amp; Learning Function</w:t>
      </w:r>
    </w:p>
    <w:bookmarkStart w:id="31" w:name="passive-education"/>
    <w:p>
      <w:pPr>
        <w:pStyle w:val="Heading2"/>
      </w:pPr>
      <w:r>
        <w:t xml:space="preserve">Passive Education</w:t>
      </w:r>
    </w:p>
    <w:p>
      <w:pPr>
        <w:pStyle w:val="FirstParagraph"/>
      </w:pPr>
      <w:r>
        <w:t xml:space="preserve">New players learn by seeing:</w:t>
      </w:r>
      <w:r>
        <w:t xml:space="preserve"> </w:t>
      </w:r>
      <w:r>
        <w:t xml:space="preserve">- how stats influence rolls</w:t>
      </w:r>
      <w:r>
        <w:t xml:space="preserve"> </w:t>
      </w:r>
      <w:r>
        <w:t xml:space="preserve">- where bonuses come from</w:t>
      </w:r>
      <w:r>
        <w:t xml:space="preserve"> </w:t>
      </w:r>
      <w:r>
        <w:t xml:space="preserve">- how difficulty affects outcomes</w:t>
      </w:r>
    </w:p>
    <w:p>
      <w:pPr>
        <w:pStyle w:val="BodyText"/>
      </w:pPr>
      <w:r>
        <w:t xml:space="preserve">No tutorial text is required for learning to begin.</w:t>
      </w:r>
    </w:p>
    <w:p>
      <w:r>
        <w:pict>
          <v:rect style="width:0;height:1.5pt" o:hralign="center" o:hrstd="t" o:hr="t"/>
        </w:pict>
      </w:r>
    </w:p>
    <w:bookmarkEnd w:id="31"/>
    <w:bookmarkStart w:id="32" w:name="active-inquiry-support"/>
    <w:p>
      <w:pPr>
        <w:pStyle w:val="Heading2"/>
      </w:pPr>
      <w:r>
        <w:t xml:space="preserve">Active Inquiry Support</w:t>
      </w:r>
    </w:p>
    <w:p>
      <w:pPr>
        <w:pStyle w:val="FirstParagraph"/>
      </w:pPr>
      <w:r>
        <w:t xml:space="preserve">Players may ask:</w:t>
      </w:r>
      <w:r>
        <w:t xml:space="preserve"> </w:t>
      </w:r>
      <w:r>
        <w:t xml:space="preserve">-</w:t>
      </w:r>
      <w:r>
        <w:t xml:space="preserve"> </w:t>
      </w:r>
      <w:r>
        <w:t xml:space="preserve">“Why is this number so high?”</w:t>
      </w:r>
      <w:r>
        <w:t xml:space="preserve"> </w:t>
      </w:r>
      <w:r>
        <w:t xml:space="preserve">-</w:t>
      </w:r>
      <w:r>
        <w:t xml:space="preserve"> </w:t>
      </w:r>
      <w:r>
        <w:t xml:space="preserve">“Where did this bonus come from?”</w:t>
      </w:r>
    </w:p>
    <w:p>
      <w:pPr>
        <w:pStyle w:val="BodyText"/>
      </w:pPr>
      <w:r>
        <w:t xml:space="preserve">The DM must be able to reference ledger entries and explain them conversationally.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lationship-to-player-modeling"/>
    <w:p>
      <w:pPr>
        <w:pStyle w:val="Heading1"/>
      </w:pPr>
      <w:r>
        <w:t xml:space="preserve">Relationship to Player Modeling</w:t>
      </w:r>
    </w:p>
    <w:p>
      <w:pPr>
        <w:pStyle w:val="Compact"/>
        <w:numPr>
          <w:ilvl w:val="0"/>
          <w:numId w:val="1004"/>
        </w:numPr>
      </w:pPr>
      <w:r>
        <w:t xml:space="preserve">Frequent ledger usage may signal analytical/system-focused players.</w:t>
      </w:r>
    </w:p>
    <w:p>
      <w:pPr>
        <w:pStyle w:val="Compact"/>
        <w:numPr>
          <w:ilvl w:val="0"/>
          <w:numId w:val="1004"/>
        </w:numPr>
      </w:pPr>
      <w:r>
        <w:t xml:space="preserve">Minimal usage may signal narrative-first preference.</w:t>
      </w:r>
    </w:p>
    <w:p>
      <w:pPr>
        <w:pStyle w:val="FirstParagraph"/>
      </w:pPr>
      <w:r>
        <w:t xml:space="preserve">The DM may adapt explanation depth accordingly.</w:t>
      </w:r>
    </w:p>
    <w:p>
      <w:r>
        <w:pict>
          <v:rect style="width:0;height:1.5pt" o:hralign="center" o:hrstd="t" o:hr="t"/>
        </w:pict>
      </w:r>
    </w:p>
    <w:bookmarkEnd w:id="34"/>
    <w:bookmarkStart w:id="35" w:name="boundaries"/>
    <w:p>
      <w:pPr>
        <w:pStyle w:val="Heading1"/>
      </w:pPr>
      <w:r>
        <w:t xml:space="preserve">Boundaries</w:t>
      </w:r>
    </w:p>
    <w:p>
      <w:pPr>
        <w:pStyle w:val="Compact"/>
        <w:numPr>
          <w:ilvl w:val="0"/>
          <w:numId w:val="1005"/>
        </w:numPr>
      </w:pPr>
      <w:r>
        <w:t xml:space="preserve">The ledger never changes outcomes.</w:t>
      </w:r>
    </w:p>
    <w:p>
      <w:pPr>
        <w:pStyle w:val="Compact"/>
        <w:numPr>
          <w:ilvl w:val="0"/>
          <w:numId w:val="1005"/>
        </w:numPr>
      </w:pPr>
      <w:r>
        <w:t xml:space="preserve">The ledger never allows editing of values.</w:t>
      </w:r>
    </w:p>
    <w:p>
      <w:pPr>
        <w:pStyle w:val="Compact"/>
        <w:numPr>
          <w:ilvl w:val="0"/>
          <w:numId w:val="1005"/>
        </w:numPr>
      </w:pPr>
      <w:r>
        <w:t xml:space="preserve">The ledger never replaces DM narration.</w:t>
      </w:r>
    </w:p>
    <w:p>
      <w:pPr>
        <w:pStyle w:val="FirstParagraph"/>
      </w:pPr>
      <w:r>
        <w:t xml:space="preserve">It is observational, not authoritative.</w:t>
      </w:r>
    </w:p>
    <w:p>
      <w:r>
        <w:pict>
          <v:rect style="width:0;height:1.5pt" o:hralign="center" o:hrstd="t" o:hr="t"/>
        </w:pict>
      </w:r>
    </w:p>
    <w:bookmarkEnd w:id="35"/>
    <w:bookmarkStart w:id="36" w:name="non-goals"/>
    <w:p>
      <w:pPr>
        <w:pStyle w:val="Heading1"/>
      </w:pPr>
      <w:r>
        <w:t xml:space="preserve">Non-Goals</w:t>
      </w:r>
    </w:p>
    <w:p>
      <w:pPr>
        <w:pStyle w:val="Compact"/>
        <w:numPr>
          <w:ilvl w:val="0"/>
          <w:numId w:val="1006"/>
        </w:numPr>
      </w:pPr>
      <w:r>
        <w:t xml:space="preserve">This is not a character sheet editor.</w:t>
      </w:r>
    </w:p>
    <w:p>
      <w:pPr>
        <w:pStyle w:val="Compact"/>
        <w:numPr>
          <w:ilvl w:val="0"/>
          <w:numId w:val="1006"/>
        </w:numPr>
      </w:pPr>
      <w:r>
        <w:t xml:space="preserve">This is not a combat log spam feed.</w:t>
      </w:r>
    </w:p>
    <w:p>
      <w:pPr>
        <w:pStyle w:val="Compact"/>
        <w:numPr>
          <w:ilvl w:val="0"/>
          <w:numId w:val="1006"/>
        </w:numPr>
      </w:pPr>
      <w:r>
        <w:t xml:space="preserve">This is not a debugging console.</w:t>
      </w:r>
    </w:p>
    <w:p>
      <w:r>
        <w:pict>
          <v:rect style="width:0;height:1.5pt" o:hralign="center" o:hrstd="t" o:hr="t"/>
        </w:pict>
      </w:r>
    </w:p>
    <w:bookmarkEnd w:id="36"/>
    <w:bookmarkStart w:id="37" w:name="status"/>
    <w:p>
      <w:pPr>
        <w:pStyle w:val="Heading1"/>
      </w:pPr>
      <w:r>
        <w:t xml:space="preserve">Status</w:t>
      </w:r>
    </w:p>
    <w:p>
      <w:pPr>
        <w:pStyle w:val="FirstParagraph"/>
      </w:pPr>
      <w:r>
        <w:t xml:space="preserve">This document locks the Mechanics Output Window (Teaching Ledger) as a</w:t>
      </w:r>
      <w:r>
        <w:t xml:space="preserve"> </w:t>
      </w:r>
      <w:r>
        <w:rPr>
          <w:b/>
          <w:bCs/>
        </w:rPr>
        <w:t xml:space="preserve">core trust, accessibility, and education system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2026-02-09T02:14:07Z</dcterms:created>
  <dcterms:modified xsi:type="dcterms:W3CDTF">2026-02-09T02:14:07Z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