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captures and locks the</w:t>
      </w:r>
      <w:r>
        <w:t xml:space="preserve"> </w:t>
      </w:r>
      <w:r>
        <w:rPr>
          <w:b/>
          <w:bCs/>
        </w:rPr>
        <w:t xml:space="preserve">player-owned artifacts</w:t>
      </w:r>
      <w:r>
        <w:t xml:space="preserve"> </w:t>
      </w:r>
      <w:r>
        <w:t xml:space="preserve">that complete the AIDM table experience:</w:t>
      </w:r>
    </w:p>
    <w:p>
      <w:pPr>
        <w:pStyle w:val="Compact"/>
        <w:numPr>
          <w:ilvl w:val="0"/>
          <w:numId w:val="1001"/>
        </w:numPr>
      </w:pPr>
      <w:r>
        <w:t xml:space="preserve">the personal notebook</w:t>
      </w:r>
    </w:p>
    <w:p>
      <w:pPr>
        <w:pStyle w:val="Compact"/>
        <w:numPr>
          <w:ilvl w:val="0"/>
          <w:numId w:val="1001"/>
        </w:numPr>
      </w:pPr>
      <w:r>
        <w:t xml:space="preserve">the player handbook (rules tome)</w:t>
      </w:r>
    </w:p>
    <w:p>
      <w:pPr>
        <w:pStyle w:val="Compact"/>
        <w:numPr>
          <w:ilvl w:val="0"/>
          <w:numId w:val="1001"/>
        </w:numPr>
      </w:pPr>
      <w:r>
        <w:t xml:space="preserve">the evolving knowledge/experience tome</w:t>
      </w:r>
    </w:p>
    <w:p>
      <w:pPr>
        <w:pStyle w:val="FirstParagraph"/>
      </w:pPr>
      <w:r>
        <w:t xml:space="preserve">These artifacts restore the</w:t>
      </w:r>
      <w:r>
        <w:t xml:space="preserve"> </w:t>
      </w:r>
      <w:r>
        <w:rPr>
          <w:i/>
          <w:iCs/>
        </w:rPr>
        <w:t xml:space="preserve">player side of the table</w:t>
      </w:r>
      <w:r>
        <w:t xml:space="preserve"> </w:t>
      </w:r>
      <w:r>
        <w:t xml:space="preserve">and are foundational to immersion, learning, trust, and emotional engagement.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rPr>
          <w:b/>
          <w:bCs/>
        </w:rPr>
        <w:t xml:space="preserve">The player must own something.</w:t>
      </w:r>
    </w:p>
    <w:p>
      <w:pPr>
        <w:pStyle w:val="BodyText"/>
      </w:pPr>
      <w:r>
        <w:t xml:space="preserve">Not everything belongs to the DM or the system.</w:t>
      </w:r>
    </w:p>
    <w:p>
      <w:pPr>
        <w:pStyle w:val="BodyText"/>
      </w:pPr>
      <w:r>
        <w:t xml:space="preserve">Dice, memory, and narration are shared — but notes and understanding belong to the player.</w:t>
      </w:r>
    </w:p>
    <w:p>
      <w:r>
        <w:pict>
          <v:rect style="width:0;height:1.5pt" o:hralign="center" o:hrstd="t" o:hr="t"/>
        </w:pict>
      </w:r>
    </w:p>
    <w:bookmarkEnd w:id="21"/>
    <w:bookmarkStart w:id="27" w:name="player-notebook-freeform-player-owned"/>
    <w:p>
      <w:pPr>
        <w:pStyle w:val="Heading1"/>
      </w:pPr>
      <w:r>
        <w:t xml:space="preserve">1) Player Notebook (Freeform, Player-Owned)</w:t>
      </w:r>
    </w:p>
    <w:bookmarkStart w:id="22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personal, infinite notebook that belongs exclusively to the player.</w:t>
      </w:r>
    </w:p>
    <w:p>
      <w:pPr>
        <w:pStyle w:val="BodyText"/>
      </w:pPr>
      <w:r>
        <w:t xml:space="preserve">It is:</w:t>
      </w:r>
      <w:r>
        <w:t xml:space="preserve"> </w:t>
      </w:r>
      <w:r>
        <w:t xml:space="preserve">- freeform</w:t>
      </w:r>
      <w:r>
        <w:t xml:space="preserve"> </w:t>
      </w:r>
      <w:r>
        <w:t xml:space="preserve">- non-authoritative</w:t>
      </w:r>
      <w:r>
        <w:t xml:space="preserve"> </w:t>
      </w:r>
      <w:r>
        <w:t xml:space="preserve">- non-gamified</w:t>
      </w:r>
      <w:r>
        <w:t xml:space="preserve"> </w:t>
      </w:r>
      <w:r>
        <w:t xml:space="preserve">- persistent</w:t>
      </w:r>
    </w:p>
    <w:p>
      <w:r>
        <w:pict>
          <v:rect style="width:0;height:1.5pt" o:hralign="center" o:hrstd="t" o:hr="t"/>
        </w:pict>
      </w:r>
    </w:p>
    <w:bookmarkEnd w:id="22"/>
    <w:bookmarkStart w:id="23" w:name="capabilities"/>
    <w:p>
      <w:pPr>
        <w:pStyle w:val="Heading2"/>
      </w:pPr>
      <w:r>
        <w:t xml:space="preserve">Capabilities</w:t>
      </w:r>
    </w:p>
    <w:p>
      <w:pPr>
        <w:pStyle w:val="FirstParagraph"/>
      </w:pPr>
      <w:r>
        <w:t xml:space="preserve">The notebook must support:</w:t>
      </w:r>
      <w:r>
        <w:t xml:space="preserve"> </w:t>
      </w:r>
      <w:r>
        <w:t xml:space="preserve">- freehand drawing</w:t>
      </w:r>
      <w:r>
        <w:t xml:space="preserve"> </w:t>
      </w:r>
      <w:r>
        <w:t xml:space="preserve">- handwritten-style text input</w:t>
      </w:r>
      <w:r>
        <w:t xml:space="preserve"> </w:t>
      </w:r>
      <w:r>
        <w:t xml:space="preserve">- simple shapes</w:t>
      </w:r>
      <w:r>
        <w:t xml:space="preserve"> </w:t>
      </w:r>
      <w:r>
        <w:t xml:space="preserve">- doodling</w:t>
      </w:r>
      <w:r>
        <w:t xml:space="preserve"> </w:t>
      </w:r>
      <w:r>
        <w:t xml:space="preserve">- loose diagrams (maps, symbols, reminders)</w:t>
      </w:r>
    </w:p>
    <w:p>
      <w:pPr>
        <w:pStyle w:val="BodyText"/>
      </w:pPr>
      <w:r>
        <w:t xml:space="preserve">No scoring, validation, or correction is applied.</w:t>
      </w:r>
    </w:p>
    <w:p>
      <w:r>
        <w:pict>
          <v:rect style="width:0;height:1.5pt" o:hralign="center" o:hrstd="t" o:hr="t"/>
        </w:pict>
      </w:r>
    </w:p>
    <w:bookmarkEnd w:id="23"/>
    <w:bookmarkStart w:id="24" w:name="ui-philosophy"/>
    <w:p>
      <w:pPr>
        <w:pStyle w:val="Heading2"/>
      </w:pPr>
      <w:r>
        <w:t xml:space="preserve">UI Philosophy</w:t>
      </w:r>
    </w:p>
    <w:p>
      <w:pPr>
        <w:pStyle w:val="Compact"/>
        <w:numPr>
          <w:ilvl w:val="0"/>
          <w:numId w:val="1002"/>
        </w:numPr>
      </w:pPr>
      <w:r>
        <w:t xml:space="preserve">Minimal, tactile, tool-like (pen, brush, eraser)</w:t>
      </w:r>
    </w:p>
    <w:p>
      <w:pPr>
        <w:pStyle w:val="Compact"/>
        <w:numPr>
          <w:ilvl w:val="0"/>
          <w:numId w:val="1002"/>
        </w:numPr>
      </w:pPr>
      <w:r>
        <w:t xml:space="preserve">Simple radial or contextual tool selection</w:t>
      </w:r>
    </w:p>
    <w:p>
      <w:pPr>
        <w:pStyle w:val="Compact"/>
        <w:numPr>
          <w:ilvl w:val="0"/>
          <w:numId w:val="1002"/>
        </w:numPr>
      </w:pPr>
      <w:r>
        <w:t xml:space="preserve">Mouse / stylus behaves like a pen</w:t>
      </w:r>
    </w:p>
    <w:p>
      <w:pPr>
        <w:pStyle w:val="Compact"/>
        <w:numPr>
          <w:ilvl w:val="0"/>
          <w:numId w:val="1002"/>
        </w:numPr>
      </w:pPr>
      <w:r>
        <w:t xml:space="preserve">No complex menus</w:t>
      </w:r>
    </w:p>
    <w:p>
      <w:pPr>
        <w:pStyle w:val="FirstParagraph"/>
      </w:pPr>
      <w:r>
        <w:t xml:space="preserve">The notebook should feel</w:t>
      </w:r>
      <w:r>
        <w:t xml:space="preserve"> </w:t>
      </w:r>
      <w:r>
        <w:rPr>
          <w:i/>
          <w:iCs/>
        </w:rPr>
        <w:t xml:space="preserve">physical</w:t>
      </w:r>
      <w:r>
        <w:t xml:space="preserve">, not technical.</w:t>
      </w:r>
    </w:p>
    <w:p>
      <w:r>
        <w:pict>
          <v:rect style="width:0;height:1.5pt" o:hralign="center" o:hrstd="t" o:hr="t"/>
        </w:pict>
      </w:r>
    </w:p>
    <w:bookmarkEnd w:id="24"/>
    <w:bookmarkStart w:id="25" w:name="dm-interaction-with-notebook"/>
    <w:p>
      <w:pPr>
        <w:pStyle w:val="Heading2"/>
      </w:pPr>
      <w:r>
        <w:t xml:space="preserve">DM Interaction with Notebook</w:t>
      </w:r>
    </w:p>
    <w:p>
      <w:pPr>
        <w:pStyle w:val="FirstParagraph"/>
      </w:pPr>
      <w:r>
        <w:t xml:space="preserve">The player may ask:</w:t>
      </w:r>
      <w:r>
        <w:t xml:space="preserve"> </w:t>
      </w:r>
      <w:r>
        <w:t xml:space="preserve">-</w:t>
      </w:r>
      <w:r>
        <w:t xml:space="preserve"> </w:t>
      </w:r>
      <w:r>
        <w:t xml:space="preserve">“DM, can you make a note of that for me?”</w:t>
      </w:r>
      <w:r>
        <w:t xml:space="preserve"> </w:t>
      </w:r>
      <w:r>
        <w:t xml:space="preserve">-</w:t>
      </w:r>
      <w:r>
        <w:t xml:space="preserve"> </w:t>
      </w:r>
      <w:r>
        <w:t xml:space="preserve">“Put that in my notebook for later.”</w:t>
      </w:r>
    </w:p>
    <w:p>
      <w:pPr>
        <w:pStyle w:val="BodyText"/>
      </w:pPr>
      <w:r>
        <w:t xml:space="preserve">The DM may:</w:t>
      </w:r>
      <w:r>
        <w:t xml:space="preserve"> </w:t>
      </w:r>
      <w:r>
        <w:t xml:space="preserve">- add brief notes</w:t>
      </w:r>
      <w:r>
        <w:t xml:space="preserve"> </w:t>
      </w:r>
      <w:r>
        <w:t xml:space="preserve">- organize entries into loose sections (e.g.,</w:t>
      </w:r>
      <w:r>
        <w:t xml:space="preserve"> </w:t>
      </w:r>
      <w:r>
        <w:t xml:space="preserve">“Things Learned”</w:t>
      </w:r>
      <w:r>
        <w:t xml:space="preserve">)</w:t>
      </w:r>
    </w:p>
    <w:p>
      <w:pPr>
        <w:pStyle w:val="BodyText"/>
      </w:pPr>
      <w:r>
        <w:t xml:space="preserve">The DM never edits or corrects player-written notes unless explicitly asked.</w:t>
      </w:r>
    </w:p>
    <w:p>
      <w:r>
        <w:pict>
          <v:rect style="width:0;height:1.5pt" o:hralign="center" o:hrstd="t" o:hr="t"/>
        </w:pict>
      </w:r>
    </w:p>
    <w:bookmarkEnd w:id="25"/>
    <w:bookmarkStart w:id="26" w:name="design-constraints"/>
    <w:p>
      <w:pPr>
        <w:pStyle w:val="Heading2"/>
      </w:pPr>
      <w:r>
        <w:t xml:space="preserve">Design Constraints</w:t>
      </w:r>
    </w:p>
    <w:p>
      <w:pPr>
        <w:pStyle w:val="Compact"/>
        <w:numPr>
          <w:ilvl w:val="0"/>
          <w:numId w:val="1003"/>
        </w:numPr>
      </w:pPr>
      <w:r>
        <w:t xml:space="preserve">The notebook may contain incorrect or incomplete information.</w:t>
      </w:r>
    </w:p>
    <w:p>
      <w:pPr>
        <w:pStyle w:val="Compact"/>
        <w:numPr>
          <w:ilvl w:val="0"/>
          <w:numId w:val="1003"/>
        </w:numPr>
      </w:pPr>
      <w:r>
        <w:t xml:space="preserve">This is intentional and must not be corrected automatically.</w:t>
      </w:r>
    </w:p>
    <w:p>
      <w:pPr>
        <w:pStyle w:val="Compact"/>
        <w:numPr>
          <w:ilvl w:val="0"/>
          <w:numId w:val="1003"/>
        </w:numPr>
      </w:pPr>
      <w:r>
        <w:t xml:space="preserve">It represents the player’s memory, not objective truth.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layer-handbook-rules-tome"/>
    <w:p>
      <w:pPr>
        <w:pStyle w:val="Heading1"/>
      </w:pPr>
      <w:r>
        <w:t xml:space="preserve">2) Player Handbook / Rules Tome</w:t>
      </w:r>
    </w:p>
    <w:bookmarkStart w:id="28" w:name="definition-1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searchable, indexed reference that fulfills the role of the physical Player’s Handbook.</w:t>
      </w:r>
    </w:p>
    <w:p>
      <w:pPr>
        <w:pStyle w:val="BodyText"/>
      </w:pPr>
      <w:r>
        <w:t xml:space="preserve">It is not meant to be read linearly.</w:t>
      </w:r>
    </w:p>
    <w:p>
      <w:r>
        <w:pict>
          <v:rect style="width:0;height:1.5pt" o:hralign="center" o:hrstd="t" o:hr="t"/>
        </w:pict>
      </w:r>
    </w:p>
    <w:bookmarkEnd w:id="28"/>
    <w:bookmarkStart w:id="29" w:name="content-scope"/>
    <w:p>
      <w:pPr>
        <w:pStyle w:val="Heading2"/>
      </w:pPr>
      <w:r>
        <w:t xml:space="preserve">Content Scope</w:t>
      </w:r>
    </w:p>
    <w:p>
      <w:pPr>
        <w:pStyle w:val="Compact"/>
        <w:numPr>
          <w:ilvl w:val="0"/>
          <w:numId w:val="1004"/>
        </w:numPr>
      </w:pPr>
      <w:r>
        <w:t xml:space="preserve">System concepts (stats, actions, conditions)</w:t>
      </w:r>
    </w:p>
    <w:p>
      <w:pPr>
        <w:pStyle w:val="Compact"/>
        <w:numPr>
          <w:ilvl w:val="0"/>
          <w:numId w:val="1004"/>
        </w:numPr>
      </w:pPr>
      <w:r>
        <w:t xml:space="preserve">Generalized rules explanations (rephrased, non-copyrighted)</w:t>
      </w:r>
    </w:p>
    <w:p>
      <w:pPr>
        <w:pStyle w:val="Compact"/>
        <w:numPr>
          <w:ilvl w:val="0"/>
          <w:numId w:val="1004"/>
        </w:numPr>
      </w:pPr>
      <w:r>
        <w:t xml:space="preserve">Indexed entries and glossary-style access</w:t>
      </w:r>
    </w:p>
    <w:p>
      <w:pPr>
        <w:pStyle w:val="FirstParagraph"/>
      </w:pPr>
      <w:r>
        <w:t xml:space="preserve">Exact rule text is avoided; intent and function are emphasized.</w:t>
      </w:r>
    </w:p>
    <w:p>
      <w:r>
        <w:pict>
          <v:rect style="width:0;height:1.5pt" o:hralign="center" o:hrstd="t" o:hr="t"/>
        </w:pict>
      </w:r>
    </w:p>
    <w:bookmarkEnd w:id="29"/>
    <w:bookmarkStart w:id="30" w:name="interaction"/>
    <w:p>
      <w:pPr>
        <w:pStyle w:val="Heading2"/>
      </w:pPr>
      <w:r>
        <w:t xml:space="preserve">Interaction</w:t>
      </w:r>
    </w:p>
    <w:p>
      <w:pPr>
        <w:pStyle w:val="Compact"/>
        <w:numPr>
          <w:ilvl w:val="0"/>
          <w:numId w:val="1005"/>
        </w:numPr>
      </w:pPr>
      <w:r>
        <w:t xml:space="preserve">Searchable by concept or term</w:t>
      </w:r>
    </w:p>
    <w:p>
      <w:pPr>
        <w:pStyle w:val="Compact"/>
        <w:numPr>
          <w:ilvl w:val="0"/>
          <w:numId w:val="1005"/>
        </w:numPr>
      </w:pPr>
      <w:r>
        <w:t xml:space="preserve">Clickable references from narration or ledger</w:t>
      </w:r>
    </w:p>
    <w:p>
      <w:pPr>
        <w:pStyle w:val="Compact"/>
        <w:numPr>
          <w:ilvl w:val="0"/>
          <w:numId w:val="1005"/>
        </w:numPr>
      </w:pPr>
      <w:r>
        <w:t xml:space="preserve">DM may direct players to entries conversationally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&gt;</w:t>
      </w:r>
      <w:r>
        <w:t xml:space="preserve"> </w:t>
      </w:r>
      <w:r>
        <w:t xml:space="preserve">“If you want more detail, check your handbook under</w:t>
      </w:r>
      <w:r>
        <w:t xml:space="preserve"> </w:t>
      </w:r>
      <w:r>
        <w:t xml:space="preserve">‘Grappling.’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knowledge-experience-tome-discoverable"/>
    <w:p>
      <w:pPr>
        <w:pStyle w:val="Heading1"/>
      </w:pPr>
      <w:r>
        <w:t xml:space="preserve">3) Knowledge / Experience Tome (Discoverable)</w:t>
      </w:r>
    </w:p>
    <w:bookmarkStart w:id="32" w:name="definition-2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living record of</w:t>
      </w:r>
      <w:r>
        <w:t xml:space="preserve"> </w:t>
      </w:r>
      <w:r>
        <w:rPr>
          <w:b/>
          <w:bCs/>
        </w:rPr>
        <w:t xml:space="preserve">what the player character knows</w:t>
      </w:r>
      <w:r>
        <w:t xml:space="preserve">, not what the system knows.</w:t>
      </w:r>
    </w:p>
    <w:p>
      <w:pPr>
        <w:pStyle w:val="BodyText"/>
      </w:pPr>
      <w:r>
        <w:t xml:space="preserve">This tome grows through play.</w:t>
      </w:r>
    </w:p>
    <w:p>
      <w:r>
        <w:pict>
          <v:rect style="width:0;height:1.5pt" o:hralign="center" o:hrstd="t" o:hr="t"/>
        </w:pict>
      </w:r>
    </w:p>
    <w:bookmarkEnd w:id="32"/>
    <w:bookmarkStart w:id="33" w:name="contents"/>
    <w:p>
      <w:pPr>
        <w:pStyle w:val="Heading2"/>
      </w:pPr>
      <w:r>
        <w:t xml:space="preserve">Contents</w:t>
      </w:r>
    </w:p>
    <w:p>
      <w:pPr>
        <w:pStyle w:val="FirstParagraph"/>
      </w:pPr>
      <w:r>
        <w:t xml:space="preserve">May include:</w:t>
      </w:r>
      <w:r>
        <w:t xml:space="preserve"> </w:t>
      </w:r>
      <w:r>
        <w:t xml:space="preserve">- discovered monsters (descriptive, not full stat blocks)</w:t>
      </w:r>
      <w:r>
        <w:t xml:space="preserve"> </w:t>
      </w:r>
      <w:r>
        <w:t xml:space="preserve">- learned spell effects (only if identified)</w:t>
      </w:r>
      <w:r>
        <w:t xml:space="preserve"> </w:t>
      </w:r>
      <w:r>
        <w:t xml:space="preserve">- known locations</w:t>
      </w:r>
      <w:r>
        <w:t xml:space="preserve"> </w:t>
      </w:r>
      <w:r>
        <w:t xml:space="preserve">- factions and NPCs encountered</w:t>
      </w:r>
      <w:r>
        <w:t xml:space="preserve"> </w:t>
      </w:r>
      <w:r>
        <w:t xml:space="preserve">- XP milestones</w:t>
      </w:r>
    </w:p>
    <w:p>
      <w:r>
        <w:pict>
          <v:rect style="width:0;height:1.5pt" o:hralign="center" o:hrstd="t" o:hr="t"/>
        </w:pict>
      </w:r>
    </w:p>
    <w:bookmarkEnd w:id="33"/>
    <w:bookmarkStart w:id="34" w:name="knowledge-gating"/>
    <w:p>
      <w:pPr>
        <w:pStyle w:val="Heading2"/>
      </w:pPr>
      <w:r>
        <w:t xml:space="preserve">Knowledge Gating</w:t>
      </w:r>
    </w:p>
    <w:p>
      <w:pPr>
        <w:pStyle w:val="FirstParagraph"/>
      </w:pPr>
      <w:r>
        <w:t xml:space="preserve">Information appears only when:</w:t>
      </w:r>
      <w:r>
        <w:t xml:space="preserve"> </w:t>
      </w:r>
      <w:r>
        <w:t xml:space="preserve">- the character has perceived it</w:t>
      </w:r>
      <w:r>
        <w:t xml:space="preserve"> </w:t>
      </w:r>
      <w:r>
        <w:t xml:space="preserve">- the character has learned it through action or experience</w:t>
      </w:r>
    </w:p>
    <w:p>
      <w:pPr>
        <w:pStyle w:val="BodyText"/>
      </w:pPr>
      <w:r>
        <w:t xml:space="preserve">Unknown information does not appear at all.</w:t>
      </w:r>
    </w:p>
    <w:p>
      <w:r>
        <w:pict>
          <v:rect style="width:0;height:1.5pt" o:hralign="center" o:hrstd="t" o:hr="t"/>
        </w:pict>
      </w:r>
    </w:p>
    <w:bookmarkEnd w:id="34"/>
    <w:bookmarkStart w:id="35" w:name="progressive-detail"/>
    <w:p>
      <w:pPr>
        <w:pStyle w:val="Heading2"/>
      </w:pPr>
      <w:r>
        <w:t xml:space="preserve">Progressive Detail</w:t>
      </w:r>
    </w:p>
    <w:p>
      <w:pPr>
        <w:pStyle w:val="FirstParagraph"/>
      </w:pPr>
      <w:r>
        <w:t xml:space="preserve">Entries may evolve:</w:t>
      </w:r>
      <w:r>
        <w:t xml:space="preserve"> </w:t>
      </w:r>
      <w:r>
        <w:t xml:space="preserve">-</w:t>
      </w:r>
      <w:r>
        <w:t xml:space="preserve"> </w:t>
      </w:r>
      <w:r>
        <w:t xml:space="preserve">“Goblin — small, aggressive”</w:t>
      </w:r>
      <w:r>
        <w:t xml:space="preserve"> </w:t>
      </w:r>
      <w:r>
        <w:t xml:space="preserve">- later:</w:t>
      </w:r>
      <w:r>
        <w:t xml:space="preserve"> </w:t>
      </w:r>
      <w:r>
        <w:t xml:space="preserve">“Fast, lightly armored”</w:t>
      </w:r>
      <w:r>
        <w:t xml:space="preserve"> </w:t>
      </w:r>
      <w:r>
        <w:t xml:space="preserve">- later still:</w:t>
      </w:r>
      <w:r>
        <w:t xml:space="preserve"> </w:t>
      </w:r>
      <w:r>
        <w:t xml:space="preserve">“Defense appears around 15”</w:t>
      </w:r>
    </w:p>
    <w:p>
      <w:pPr>
        <w:pStyle w:val="BodyText"/>
      </w:pPr>
      <w:r>
        <w:t xml:space="preserve">Exact values only appear if explicitly learned.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lationship-between-artifacts"/>
    <w:p>
      <w:pPr>
        <w:pStyle w:val="Heading1"/>
      </w:pPr>
      <w:r>
        <w:t xml:space="preserve">Relationship Between Artifacts</w:t>
      </w:r>
    </w:p>
    <w:p>
      <w:pPr>
        <w:pStyle w:val="Compact"/>
        <w:numPr>
          <w:ilvl w:val="0"/>
          <w:numId w:val="1006"/>
        </w:numPr>
      </w:pPr>
      <w:r>
        <w:t xml:space="preserve">Notebook = player memory (subjective, messy)</w:t>
      </w:r>
    </w:p>
    <w:p>
      <w:pPr>
        <w:pStyle w:val="Compact"/>
        <w:numPr>
          <w:ilvl w:val="0"/>
          <w:numId w:val="1006"/>
        </w:numPr>
      </w:pPr>
      <w:r>
        <w:t xml:space="preserve">Handbook = system knowledge (objective, reference)</w:t>
      </w:r>
    </w:p>
    <w:p>
      <w:pPr>
        <w:pStyle w:val="Compact"/>
        <w:numPr>
          <w:ilvl w:val="0"/>
          <w:numId w:val="1006"/>
        </w:numPr>
      </w:pPr>
      <w:r>
        <w:t xml:space="preserve">Knowledge Tome = character knowledge (earned, partial)</w:t>
      </w:r>
    </w:p>
    <w:p>
      <w:pPr>
        <w:pStyle w:val="FirstParagraph"/>
      </w:pPr>
      <w:r>
        <w:t xml:space="preserve">They must remain distinct.</w:t>
      </w:r>
    </w:p>
    <w:p>
      <w:r>
        <w:pict>
          <v:rect style="width:0;height:1.5pt" o:hralign="center" o:hrstd="t" o:hr="t"/>
        </w:pict>
      </w:r>
    </w:p>
    <w:bookmarkEnd w:id="37"/>
    <w:bookmarkStart w:id="38" w:name="accessibility-considerations"/>
    <w:p>
      <w:pPr>
        <w:pStyle w:val="Heading1"/>
      </w:pPr>
      <w:r>
        <w:t xml:space="preserve">Accessibility Considerations</w:t>
      </w:r>
    </w:p>
    <w:p>
      <w:pPr>
        <w:pStyle w:val="Compact"/>
        <w:numPr>
          <w:ilvl w:val="0"/>
          <w:numId w:val="1007"/>
        </w:numPr>
      </w:pPr>
      <w:r>
        <w:t xml:space="preserve">All artifacts must support text-only interaction</w:t>
      </w:r>
    </w:p>
    <w:p>
      <w:pPr>
        <w:pStyle w:val="Compact"/>
        <w:numPr>
          <w:ilvl w:val="0"/>
          <w:numId w:val="1007"/>
        </w:numPr>
      </w:pPr>
      <w:r>
        <w:t xml:space="preserve">Screen-reader compatibility required</w:t>
      </w:r>
    </w:p>
    <w:p>
      <w:pPr>
        <w:pStyle w:val="Compact"/>
        <w:numPr>
          <w:ilvl w:val="0"/>
          <w:numId w:val="1007"/>
        </w:numPr>
      </w:pPr>
      <w:r>
        <w:t xml:space="preserve">Font size and contrast adjustable</w:t>
      </w:r>
    </w:p>
    <w:p>
      <w:r>
        <w:pict>
          <v:rect style="width:0;height:1.5pt" o:hralign="center" o:hrstd="t" o:hr="t"/>
        </w:pict>
      </w:r>
    </w:p>
    <w:bookmarkEnd w:id="38"/>
    <w:bookmarkStart w:id="39" w:name="why-this-matters"/>
    <w:p>
      <w:pPr>
        <w:pStyle w:val="Heading1"/>
      </w:pPr>
      <w:r>
        <w:t xml:space="preserve">Why This Matters</w:t>
      </w:r>
    </w:p>
    <w:p>
      <w:pPr>
        <w:pStyle w:val="FirstParagraph"/>
      </w:pPr>
      <w:r>
        <w:t xml:space="preserve">These artifacts:</w:t>
      </w:r>
      <w:r>
        <w:t xml:space="preserve"> </w:t>
      </w:r>
      <w:r>
        <w:t xml:space="preserve">- complete the tabletop ritual</w:t>
      </w:r>
      <w:r>
        <w:t xml:space="preserve"> </w:t>
      </w:r>
      <w:r>
        <w:t xml:space="preserve">- support learning without pressure</w:t>
      </w:r>
      <w:r>
        <w:t xml:space="preserve"> </w:t>
      </w:r>
      <w:r>
        <w:t xml:space="preserve">- preserve mystery</w:t>
      </w:r>
      <w:r>
        <w:t xml:space="preserve"> </w:t>
      </w:r>
      <w:r>
        <w:t xml:space="preserve">- enable reflection</w:t>
      </w:r>
      <w:r>
        <w:t xml:space="preserve"> </w:t>
      </w:r>
      <w:r>
        <w:t xml:space="preserve">- build emotional ownership</w:t>
      </w:r>
    </w:p>
    <w:p>
      <w:pPr>
        <w:pStyle w:val="BodyText"/>
      </w:pPr>
      <w:r>
        <w:t xml:space="preserve">They are not optional UX elements.</w:t>
      </w:r>
    </w:p>
    <w:p>
      <w:r>
        <w:pict>
          <v:rect style="width:0;height:1.5pt" o:hralign="center" o:hrstd="t" o:hr="t"/>
        </w:pict>
      </w:r>
    </w:p>
    <w:bookmarkEnd w:id="39"/>
    <w:bookmarkStart w:id="40" w:name="status"/>
    <w:p>
      <w:pPr>
        <w:pStyle w:val="Heading1"/>
      </w:pPr>
      <w:r>
        <w:t xml:space="preserve">Status</w:t>
      </w:r>
    </w:p>
    <w:p>
      <w:pPr>
        <w:pStyle w:val="FirstParagraph"/>
      </w:pPr>
      <w:r>
        <w:t xml:space="preserve">This document locks player-owned artifacts as</w:t>
      </w:r>
      <w:r>
        <w:t xml:space="preserve"> </w:t>
      </w:r>
      <w:r>
        <w:rPr>
          <w:b/>
          <w:bCs/>
        </w:rPr>
        <w:t xml:space="preserve">core experiential systems</w:t>
      </w:r>
      <w:r>
        <w:t xml:space="preserve">, not auxiliary features.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2026-02-09T02:58:47Z</dcterms:created>
  <dcterms:modified xsi:type="dcterms:W3CDTF">2026-02-09T02:58:47Z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