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rPr/>
      </w:pPr>
      <w:r>
        <w:rPr>
          <w:rFonts w:eastAsia="Arial" w:cs="Arial"/>
          <w:b/>
          <w:bCs/>
          <w:color w:val="1A3A5C"/>
          <w:sz w:val="56"/>
          <w:szCs w:val="56"/>
        </w:rPr>
        <w:t>Eviction Risk Navigator</w:t>
      </w:r>
    </w:p>
    <w:p>
      <w:pPr>
        <w:pStyle w:val="Normal"/>
        <w:spacing w:before="0" w:after="120"/>
        <w:rPr/>
      </w:pPr>
      <w:r>
        <w:rPr>
          <w:rFonts w:eastAsia="Arial" w:cs="Arial"/>
          <w:i/>
          <w:iCs/>
          <w:color w:val="2C5F8A"/>
          <w:sz w:val="26"/>
          <w:szCs w:val="26"/>
        </w:rPr>
        <w:t>A Codex-Powered Neighborhood Risk Tool for Housing Counselors and City Planners</w:t>
      </w:r>
    </w:p>
    <w:p>
      <w:pPr>
        <w:pStyle w:val="Normal"/>
        <w:spacing w:before="80" w:after="80"/>
        <w:rPr/>
      </w:pPr>
      <w:r>
        <w:rPr>
          <w:rFonts w:eastAsia="Arial" w:cs="Arial"/>
          <w:color w:val="888888"/>
          <w:sz w:val="20"/>
          <w:szCs w:val="20"/>
        </w:rPr>
        <w:t xml:space="preserve">Tim </w:t>
      </w:r>
      <w:r>
        <w:rPr>
          <w:rFonts w:eastAsia="Arial" w:cs="Arial"/>
          <w:color w:val="888888"/>
          <w:sz w:val="20"/>
          <w:szCs w:val="20"/>
        </w:rPr>
        <w:t>Hollis</w:t>
      </w:r>
      <w:r>
        <w:rPr>
          <w:rFonts w:eastAsia="Arial" w:cs="Arial"/>
          <w:color w:val="888888"/>
          <w:sz w:val="20"/>
          <w:szCs w:val="20"/>
        </w:rPr>
        <w:t xml:space="preserve">  |   OpenAI Codex Contest 2026   |   Submission Deadline: April 30, 2026</w:t>
      </w:r>
    </w:p>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1. Problem Statement</w:t>
      </w:r>
    </w:p>
    <w:p>
      <w:pPr>
        <w:pStyle w:val="Normal"/>
        <w:spacing w:before="60" w:after="100"/>
        <w:rPr/>
      </w:pPr>
      <w:r>
        <w:rPr>
          <w:rFonts w:eastAsia="Arial" w:cs="Arial"/>
          <w:color w:val="222222"/>
          <w:sz w:val="22"/>
          <w:szCs w:val="22"/>
        </w:rPr>
        <w:t>Every year, millions of Americans face eviction. By the time an eviction filing hits the courthouse, it is often too late for intervention. Housing counselors, legal aid orgs, and city planners lack a fast, accessible way to identify which neighborhoods are approaching a tipping point before displacement accelerates.</w:t>
      </w:r>
    </w:p>
    <w:p>
      <w:pPr>
        <w:pStyle w:val="Normal"/>
        <w:spacing w:before="80" w:after="80"/>
        <w:rPr/>
      </w:pPr>
      <w:r>
        <w:rPr/>
      </w:r>
    </w:p>
    <w:p>
      <w:pPr>
        <w:pStyle w:val="Normal"/>
        <w:spacing w:before="60" w:after="100"/>
        <w:rPr/>
      </w:pPr>
      <w:r>
        <w:rPr>
          <w:rFonts w:eastAsia="Arial" w:cs="Arial"/>
          <w:color w:val="222222"/>
          <w:sz w:val="22"/>
          <w:szCs w:val="22"/>
        </w:rPr>
        <w:t>Eviction Risk Navigator closes that gap. Given a census tract or city, the tool returns a risk score, the top three driving factors behind that score, and plain-language guidance a housing counselor can act on the same day.</w:t>
      </w:r>
    </w:p>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2. Target Users</w:t>
      </w:r>
    </w:p>
    <w:tbl>
      <w:tblPr>
        <w:tblW w:w="8760" w:type="dxa"/>
        <w:jc w:val="start"/>
        <w:tblInd w:w="0" w:type="dxa"/>
        <w:tblLayout w:type="fixed"/>
        <w:tblCellMar>
          <w:top w:w="100" w:type="dxa"/>
          <w:start w:w="150" w:type="dxa"/>
          <w:bottom w:w="100" w:type="dxa"/>
          <w:end w:w="150" w:type="dxa"/>
        </w:tblCellMar>
      </w:tblPr>
      <w:tblGrid>
        <w:gridCol w:w="2199"/>
        <w:gridCol w:w="3200"/>
        <w:gridCol w:w="3361"/>
      </w:tblGrid>
      <w:tr>
        <w:trPr>
          <w:tblHeader w:val="true"/>
        </w:trPr>
        <w:tc>
          <w:tcPr>
            <w:tcW w:w="2199"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User</w:t>
            </w:r>
          </w:p>
        </w:tc>
        <w:tc>
          <w:tcPr>
            <w:tcW w:w="32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How They Use It</w:t>
            </w:r>
          </w:p>
        </w:tc>
        <w:tc>
          <w:tcPr>
            <w:tcW w:w="3361"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Value</w:t>
            </w:r>
          </w:p>
        </w:tc>
      </w:tr>
      <w:tr>
        <w:trPr/>
        <w:tc>
          <w:tcPr>
            <w:tcW w:w="21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Nonprofit housing counselors</w:t>
            </w:r>
          </w:p>
        </w:tc>
        <w:tc>
          <w:tcPr>
            <w:tcW w:w="32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Triage caseloads by neighborhood risk tier</w:t>
            </w:r>
          </w:p>
        </w:tc>
        <w:tc>
          <w:tcPr>
            <w:tcW w:w="336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Reach at-risk renters before eviction is filed</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City housing authorities</w:t>
            </w:r>
          </w:p>
        </w:tc>
        <w:tc>
          <w:tcPr>
            <w:tcW w:w="32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Allocate rental assistance funds proactively</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Maximize impact of limited intervention budgets</w:t>
            </w:r>
          </w:p>
        </w:tc>
      </w:tr>
      <w:tr>
        <w:trPr/>
        <w:tc>
          <w:tcPr>
            <w:tcW w:w="21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Legal aid organizations</w:t>
            </w:r>
          </w:p>
        </w:tc>
        <w:tc>
          <w:tcPr>
            <w:tcW w:w="32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Prioritize outreach by geography</w:t>
            </w:r>
          </w:p>
        </w:tc>
        <w:tc>
          <w:tcPr>
            <w:tcW w:w="336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Deploy attorneys where the need is highest</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Policy analysts / journalists</w:t>
            </w:r>
          </w:p>
        </w:tc>
        <w:tc>
          <w:tcPr>
            <w:tcW w:w="32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Explore displacement trends visually</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Data storytelling without needing a data science background</w:t>
            </w:r>
          </w:p>
        </w:tc>
      </w:tr>
    </w:tbl>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3. The Codex Angle</w:t>
      </w:r>
    </w:p>
    <w:p>
      <w:pPr>
        <w:pStyle w:val="Normal"/>
        <w:spacing w:before="60" w:after="100"/>
        <w:rPr/>
      </w:pPr>
      <w:r>
        <w:rPr>
          <w:rFonts w:eastAsia="Arial" w:cs="Arial"/>
          <w:color w:val="222222"/>
          <w:sz w:val="22"/>
          <w:szCs w:val="22"/>
        </w:rPr>
        <w:t>This is not just a data science project. The contest submission will demonstrate Codex building the entire pipeline through natural language prompts, including:</w:t>
      </w:r>
    </w:p>
    <w:p>
      <w:pPr>
        <w:pStyle w:val="Normal"/>
        <w:spacing w:before="80" w:after="80"/>
        <w:rPr/>
      </w:pPr>
      <w:r>
        <w:rPr/>
      </w:r>
    </w:p>
    <w:p>
      <w:pPr>
        <w:pStyle w:val="ListParagraph"/>
        <w:numPr>
          <w:ilvl w:val="0"/>
          <w:numId w:val="3"/>
        </w:numPr>
        <w:spacing w:before="60" w:after="80"/>
        <w:rPr/>
      </w:pPr>
      <w:r>
        <w:rPr>
          <w:rFonts w:eastAsia="Arial" w:cs="Arial"/>
          <w:color w:val="222222"/>
          <w:sz w:val="22"/>
          <w:szCs w:val="22"/>
        </w:rPr>
        <w:t>Data ingestion scripts for all five sources (Eviction Lab, Census ACS, HUD FMR, CDC PLACES, BLS/FRED)</w:t>
      </w:r>
    </w:p>
    <w:p>
      <w:pPr>
        <w:pStyle w:val="ListParagraph"/>
        <w:numPr>
          <w:ilvl w:val="0"/>
          <w:numId w:val="1"/>
        </w:numPr>
        <w:spacing w:before="60" w:after="80"/>
        <w:rPr/>
      </w:pPr>
      <w:r>
        <w:rPr>
          <w:rFonts w:eastAsia="Arial" w:cs="Arial"/>
          <w:color w:val="222222"/>
          <w:sz w:val="22"/>
          <w:szCs w:val="22"/>
        </w:rPr>
        <w:t>Feature engineering and merge pipeline across census tract keys</w:t>
      </w:r>
    </w:p>
    <w:p>
      <w:pPr>
        <w:pStyle w:val="ListParagraph"/>
        <w:numPr>
          <w:ilvl w:val="0"/>
          <w:numId w:val="1"/>
        </w:numPr>
        <w:spacing w:before="60" w:after="80"/>
        <w:rPr/>
      </w:pPr>
      <w:r>
        <w:rPr>
          <w:rFonts w:eastAsia="Arial" w:cs="Arial"/>
          <w:color w:val="222222"/>
          <w:sz w:val="22"/>
          <w:szCs w:val="22"/>
        </w:rPr>
        <w:t>Model training code (logistic regression baseline + XGBoost)</w:t>
      </w:r>
    </w:p>
    <w:p>
      <w:pPr>
        <w:pStyle w:val="ListParagraph"/>
        <w:numPr>
          <w:ilvl w:val="0"/>
          <w:numId w:val="1"/>
        </w:numPr>
        <w:spacing w:before="60" w:after="80"/>
        <w:rPr/>
      </w:pPr>
      <w:r>
        <w:rPr>
          <w:rFonts w:eastAsia="Arial" w:cs="Arial"/>
          <w:color w:val="222222"/>
          <w:sz w:val="22"/>
          <w:szCs w:val="22"/>
        </w:rPr>
        <w:t>SHAP explainability layer that surfaces the top 3 driving factors per tract</w:t>
      </w:r>
    </w:p>
    <w:p>
      <w:pPr>
        <w:pStyle w:val="ListParagraph"/>
        <w:numPr>
          <w:ilvl w:val="0"/>
          <w:numId w:val="1"/>
        </w:numPr>
        <w:spacing w:before="60" w:after="80"/>
        <w:rPr/>
      </w:pPr>
      <w:r>
        <w:rPr>
          <w:rFonts w:eastAsia="Arial" w:cs="Arial"/>
          <w:color w:val="222222"/>
          <w:sz w:val="22"/>
          <w:szCs w:val="22"/>
        </w:rPr>
        <w:t>Flask or FastAPI back end serving predictions</w:t>
      </w:r>
    </w:p>
    <w:p>
      <w:pPr>
        <w:pStyle w:val="ListParagraph"/>
        <w:numPr>
          <w:ilvl w:val="0"/>
          <w:numId w:val="1"/>
        </w:numPr>
        <w:spacing w:before="60" w:after="80"/>
        <w:rPr/>
      </w:pPr>
      <w:r>
        <w:rPr>
          <w:rFonts w:eastAsia="Arial" w:cs="Arial"/>
          <w:color w:val="222222"/>
          <w:sz w:val="22"/>
          <w:szCs w:val="22"/>
        </w:rPr>
        <w:t>React or Streamlit front end deployed to a public URL</w:t>
      </w:r>
    </w:p>
    <w:p>
      <w:pPr>
        <w:pStyle w:val="Normal"/>
        <w:spacing w:before="80" w:after="80"/>
        <w:rPr/>
      </w:pPr>
      <w:r>
        <w:rPr/>
      </w:r>
    </w:p>
    <w:p>
      <w:pPr>
        <w:pStyle w:val="Normal"/>
        <w:spacing w:before="60" w:after="100"/>
        <w:rPr/>
      </w:pPr>
      <w:r>
        <w:rPr>
          <w:rFonts w:eastAsia="Arial" w:cs="Arial"/>
          <w:color w:val="222222"/>
          <w:sz w:val="22"/>
          <w:szCs w:val="22"/>
        </w:rPr>
        <w:t>Every major code artifact will be generated or substantially co-written by Codex, with the prompts and iteration documented as part of the submission narrative. This tells a clear story: Codex accelerated a socially impactful tool from idea to deployment in under five weeks.</w:t>
      </w:r>
    </w:p>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4. Data Sources</w:t>
      </w:r>
    </w:p>
    <w:tbl>
      <w:tblPr>
        <w:tblW w:w="9200" w:type="dxa"/>
        <w:jc w:val="start"/>
        <w:tblInd w:w="0" w:type="dxa"/>
        <w:tblLayout w:type="fixed"/>
        <w:tblCellMar>
          <w:top w:w="100" w:type="dxa"/>
          <w:start w:w="150" w:type="dxa"/>
          <w:bottom w:w="100" w:type="dxa"/>
          <w:end w:w="150" w:type="dxa"/>
        </w:tblCellMar>
      </w:tblPr>
      <w:tblGrid>
        <w:gridCol w:w="1800"/>
        <w:gridCol w:w="2800"/>
        <w:gridCol w:w="1800"/>
        <w:gridCol w:w="2800"/>
      </w:tblGrid>
      <w:tr>
        <w:trPr>
          <w:tblHeader w:val="true"/>
        </w:trPr>
        <w:tc>
          <w:tcPr>
            <w:tcW w:w="18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Source</w:t>
            </w:r>
          </w:p>
        </w:tc>
        <w:tc>
          <w:tcPr>
            <w:tcW w:w="28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What It Provides</w:t>
            </w:r>
          </w:p>
        </w:tc>
        <w:tc>
          <w:tcPr>
            <w:tcW w:w="18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Granularity</w:t>
            </w:r>
          </w:p>
        </w:tc>
        <w:tc>
          <w:tcPr>
            <w:tcW w:w="28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Access Method</w:t>
            </w:r>
          </w:p>
        </w:tc>
      </w:tr>
      <w:tr>
        <w:trPr/>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Princeton Eviction Lab</w:t>
            </w:r>
          </w:p>
        </w:tc>
        <w:tc>
          <w:tcPr>
            <w:tcW w:w="2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Historical eviction filing and judgment rates</w:t>
            </w:r>
          </w:p>
        </w:tc>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Census tract / county</w:t>
            </w:r>
          </w:p>
        </w:tc>
        <w:tc>
          <w:tcPr>
            <w:tcW w:w="2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Direct download (CSV)</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Census ACS 5-Year</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Income, rent burden, unemployment, household size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Census tract</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Census API</w:t>
            </w:r>
          </w:p>
        </w:tc>
      </w:tr>
      <w:tr>
        <w:trPr/>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HUD Fair Market Rent</w:t>
            </w:r>
          </w:p>
        </w:tc>
        <w:tc>
          <w:tcPr>
            <w:tcW w:w="2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Rental affordability benchmarks by metro area</w:t>
            </w:r>
          </w:p>
        </w:tc>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Metro / county</w:t>
            </w:r>
          </w:p>
        </w:tc>
        <w:tc>
          <w:tcPr>
            <w:tcW w:w="2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HUD API / CSV</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CDC PLACES</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Health outcome indicators (stress, housing instability proxies)</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Census tract</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CDC open data portal</w:t>
            </w:r>
          </w:p>
        </w:tc>
      </w:tr>
      <w:tr>
        <w:trPr/>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BLS / FRED</w:t>
            </w:r>
          </w:p>
        </w:tc>
        <w:tc>
          <w:tcPr>
            <w:tcW w:w="2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Local unemployment rate, wage growth, inflation</w:t>
            </w:r>
          </w:p>
        </w:tc>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County / MSA</w:t>
            </w:r>
          </w:p>
        </w:tc>
        <w:tc>
          <w:tcPr>
            <w:tcW w:w="2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FRED API</w:t>
            </w:r>
          </w:p>
        </w:tc>
      </w:tr>
    </w:tbl>
    <w:p>
      <w:pPr>
        <w:pStyle w:val="Normal"/>
        <w:spacing w:before="80" w:after="80"/>
        <w:rPr/>
      </w:pPr>
      <w:r>
        <w:rPr/>
      </w:r>
    </w:p>
    <w:p>
      <w:pPr>
        <w:pStyle w:val="Normal"/>
        <w:spacing w:before="60" w:after="100"/>
        <w:rPr/>
      </w:pPr>
      <w:r>
        <w:rPr>
          <w:rFonts w:eastAsia="Arial" w:cs="Arial"/>
          <w:color w:val="222222"/>
          <w:sz w:val="22"/>
          <w:szCs w:val="22"/>
        </w:rPr>
        <w:t>All sources are free and publicly available. No proprietary data is required. The merge key is GEOID (11-digit FIPS census tract code), standardized across all five sources in the data pipeline.</w:t>
      </w:r>
    </w:p>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5. Model Architecture</w:t>
      </w:r>
    </w:p>
    <w:p>
      <w:pPr>
        <w:pStyle w:val="Heading2"/>
        <w:spacing w:before="280" w:after="120"/>
        <w:rPr/>
      </w:pPr>
      <w:r>
        <w:rPr>
          <w:rFonts w:eastAsia="Arial" w:cs="Arial" w:ascii="Arial" w:hAnsi="Arial"/>
          <w:b/>
          <w:bCs/>
          <w:color w:val="1A3A5C"/>
          <w:sz w:val="26"/>
          <w:szCs w:val="26"/>
        </w:rPr>
        <w:t>5.1 Target Variable</w:t>
      </w:r>
    </w:p>
    <w:p>
      <w:pPr>
        <w:pStyle w:val="Normal"/>
        <w:spacing w:before="60" w:after="100"/>
        <w:rPr/>
      </w:pPr>
      <w:r>
        <w:rPr>
          <w:rFonts w:eastAsia="Arial" w:cs="Arial"/>
          <w:color w:val="222222"/>
          <w:sz w:val="22"/>
          <w:szCs w:val="22"/>
        </w:rPr>
        <w:t>Binary classification: high eviction risk (1) vs. low eviction risk (0) at the census tract level, derived from Eviction Lab filing rate percentiles. Tracts in the top tertile of filing rates for their state = high risk.</w:t>
      </w:r>
    </w:p>
    <w:p>
      <w:pPr>
        <w:pStyle w:val="Normal"/>
        <w:spacing w:before="80" w:after="80"/>
        <w:rPr/>
      </w:pPr>
      <w:r>
        <w:rPr/>
      </w:r>
    </w:p>
    <w:p>
      <w:pPr>
        <w:pStyle w:val="Heading2"/>
        <w:spacing w:before="280" w:after="120"/>
        <w:rPr/>
      </w:pPr>
      <w:r>
        <w:rPr>
          <w:rFonts w:eastAsia="Arial" w:cs="Arial" w:ascii="Arial" w:hAnsi="Arial"/>
          <w:b/>
          <w:bCs/>
          <w:color w:val="1A3A5C"/>
          <w:sz w:val="26"/>
          <w:szCs w:val="26"/>
        </w:rPr>
        <w:t>5.2 Feature Set</w:t>
      </w:r>
    </w:p>
    <w:p>
      <w:pPr>
        <w:pStyle w:val="ListParagraph"/>
        <w:numPr>
          <w:ilvl w:val="0"/>
          <w:numId w:val="1"/>
        </w:numPr>
        <w:spacing w:before="60" w:after="80"/>
        <w:rPr/>
      </w:pPr>
      <w:r>
        <w:rPr>
          <w:rFonts w:eastAsia="Arial" w:cs="Arial"/>
          <w:color w:val="222222"/>
          <w:sz w:val="22"/>
          <w:szCs w:val="22"/>
        </w:rPr>
        <w:t>Rent burden (% of households paying &gt; 30% of income on rent)</w:t>
      </w:r>
    </w:p>
    <w:p>
      <w:pPr>
        <w:pStyle w:val="ListParagraph"/>
        <w:numPr>
          <w:ilvl w:val="0"/>
          <w:numId w:val="1"/>
        </w:numPr>
        <w:spacing w:before="60" w:after="80"/>
        <w:rPr/>
      </w:pPr>
      <w:r>
        <w:rPr>
          <w:rFonts w:eastAsia="Arial" w:cs="Arial"/>
          <w:color w:val="222222"/>
          <w:sz w:val="22"/>
          <w:szCs w:val="22"/>
        </w:rPr>
        <w:t>Median gross rent as % of HUD Fair Market Rent</w:t>
      </w:r>
    </w:p>
    <w:p>
      <w:pPr>
        <w:pStyle w:val="ListParagraph"/>
        <w:numPr>
          <w:ilvl w:val="0"/>
          <w:numId w:val="1"/>
        </w:numPr>
        <w:spacing w:before="60" w:after="80"/>
        <w:rPr/>
      </w:pPr>
      <w:r>
        <w:rPr>
          <w:rFonts w:eastAsia="Arial" w:cs="Arial"/>
          <w:color w:val="222222"/>
          <w:sz w:val="22"/>
          <w:szCs w:val="22"/>
        </w:rPr>
        <w:t>Unemployment rate (BLS/FRED)</w:t>
      </w:r>
    </w:p>
    <w:p>
      <w:pPr>
        <w:pStyle w:val="ListParagraph"/>
        <w:numPr>
          <w:ilvl w:val="0"/>
          <w:numId w:val="1"/>
        </w:numPr>
        <w:spacing w:before="60" w:after="80"/>
        <w:rPr/>
      </w:pPr>
      <w:r>
        <w:rPr>
          <w:rFonts w:eastAsia="Arial" w:cs="Arial"/>
          <w:color w:val="222222"/>
          <w:sz w:val="22"/>
          <w:szCs w:val="22"/>
        </w:rPr>
        <w:t>Renter-occupied housing units %</w:t>
      </w:r>
    </w:p>
    <w:p>
      <w:pPr>
        <w:pStyle w:val="ListParagraph"/>
        <w:numPr>
          <w:ilvl w:val="0"/>
          <w:numId w:val="1"/>
        </w:numPr>
        <w:spacing w:before="60" w:after="80"/>
        <w:rPr/>
      </w:pPr>
      <w:r>
        <w:rPr>
          <w:rFonts w:eastAsia="Arial" w:cs="Arial"/>
          <w:color w:val="222222"/>
          <w:sz w:val="22"/>
          <w:szCs w:val="22"/>
        </w:rPr>
        <w:t>Median household income</w:t>
      </w:r>
    </w:p>
    <w:p>
      <w:pPr>
        <w:pStyle w:val="ListParagraph"/>
        <w:numPr>
          <w:ilvl w:val="0"/>
          <w:numId w:val="1"/>
        </w:numPr>
        <w:spacing w:before="60" w:after="80"/>
        <w:rPr/>
      </w:pPr>
      <w:r>
        <w:rPr>
          <w:rFonts w:eastAsia="Arial" w:cs="Arial"/>
          <w:color w:val="222222"/>
          <w:sz w:val="22"/>
          <w:szCs w:val="22"/>
        </w:rPr>
        <w:t>Housing instability proxy (CDC PLACES)</w:t>
      </w:r>
    </w:p>
    <w:p>
      <w:pPr>
        <w:pStyle w:val="ListParagraph"/>
        <w:numPr>
          <w:ilvl w:val="0"/>
          <w:numId w:val="1"/>
        </w:numPr>
        <w:spacing w:before="60" w:after="80"/>
        <w:rPr/>
      </w:pPr>
      <w:r>
        <w:rPr>
          <w:rFonts w:eastAsia="Arial" w:cs="Arial"/>
          <w:color w:val="222222"/>
          <w:sz w:val="22"/>
          <w:szCs w:val="22"/>
        </w:rPr>
        <w:t>Prior-year eviction filing rate (lagged)</w:t>
      </w:r>
    </w:p>
    <w:p>
      <w:pPr>
        <w:pStyle w:val="ListParagraph"/>
        <w:numPr>
          <w:ilvl w:val="0"/>
          <w:numId w:val="1"/>
        </w:numPr>
        <w:spacing w:before="60" w:after="80"/>
        <w:rPr/>
      </w:pPr>
      <w:r>
        <w:rPr>
          <w:rFonts w:eastAsia="Arial" w:cs="Arial"/>
          <w:color w:val="222222"/>
          <w:sz w:val="22"/>
          <w:szCs w:val="22"/>
        </w:rPr>
        <w:t>Population density</w:t>
      </w:r>
    </w:p>
    <w:p>
      <w:pPr>
        <w:pStyle w:val="Normal"/>
        <w:spacing w:before="80" w:after="80"/>
        <w:rPr/>
      </w:pPr>
      <w:r>
        <w:rPr/>
      </w:r>
    </w:p>
    <w:p>
      <w:pPr>
        <w:pStyle w:val="Heading2"/>
        <w:spacing w:before="280" w:after="120"/>
        <w:rPr/>
      </w:pPr>
      <w:r>
        <w:rPr>
          <w:rFonts w:eastAsia="Arial" w:cs="Arial" w:ascii="Arial" w:hAnsi="Arial"/>
          <w:b/>
          <w:bCs/>
          <w:color w:val="1A3A5C"/>
          <w:sz w:val="26"/>
          <w:szCs w:val="26"/>
        </w:rPr>
        <w:t>5.3 Models</w:t>
      </w:r>
    </w:p>
    <w:p>
      <w:pPr>
        <w:pStyle w:val="ListParagraph"/>
        <w:numPr>
          <w:ilvl w:val="0"/>
          <w:numId w:val="1"/>
        </w:numPr>
        <w:spacing w:before="60" w:after="80"/>
        <w:rPr/>
      </w:pPr>
      <w:r>
        <w:rPr>
          <w:rFonts w:eastAsia="Arial" w:cs="Arial"/>
          <w:color w:val="222222"/>
          <w:sz w:val="22"/>
          <w:szCs w:val="22"/>
        </w:rPr>
        <w:t>Logistic regression as interpretable baseline</w:t>
      </w:r>
    </w:p>
    <w:p>
      <w:pPr>
        <w:pStyle w:val="ListParagraph"/>
        <w:numPr>
          <w:ilvl w:val="0"/>
          <w:numId w:val="1"/>
        </w:numPr>
        <w:spacing w:before="60" w:after="80"/>
        <w:rPr/>
      </w:pPr>
      <w:r>
        <w:rPr>
          <w:rFonts w:eastAsia="Arial" w:cs="Arial"/>
          <w:color w:val="222222"/>
          <w:sz w:val="22"/>
          <w:szCs w:val="22"/>
        </w:rPr>
        <w:t>XGBoost as primary classifier (F1 + AUC-ROC optimized)</w:t>
      </w:r>
    </w:p>
    <w:p>
      <w:pPr>
        <w:pStyle w:val="ListParagraph"/>
        <w:numPr>
          <w:ilvl w:val="0"/>
          <w:numId w:val="1"/>
        </w:numPr>
        <w:spacing w:before="60" w:after="80"/>
        <w:rPr/>
      </w:pPr>
      <w:r>
        <w:rPr>
          <w:rFonts w:eastAsia="Arial" w:cs="Arial"/>
          <w:color w:val="222222"/>
          <w:sz w:val="22"/>
          <w:szCs w:val="22"/>
        </w:rPr>
        <w:t>SHAP values for per-prediction explainability (top 3 factors per tract)</w:t>
      </w:r>
    </w:p>
    <w:p>
      <w:pPr>
        <w:pStyle w:val="Normal"/>
        <w:spacing w:before="80" w:after="80"/>
        <w:rPr/>
      </w:pPr>
      <w:r>
        <w:rPr/>
      </w:r>
    </w:p>
    <w:p>
      <w:pPr>
        <w:pStyle w:val="Heading2"/>
        <w:spacing w:before="280" w:after="120"/>
        <w:rPr/>
      </w:pPr>
      <w:r>
        <w:rPr>
          <w:rFonts w:eastAsia="Arial" w:cs="Arial" w:ascii="Arial" w:hAnsi="Arial"/>
          <w:b/>
          <w:bCs/>
          <w:color w:val="1A3A5C"/>
          <w:sz w:val="26"/>
          <w:szCs w:val="26"/>
        </w:rPr>
        <w:t>5.4 Evaluation Metrics</w:t>
      </w:r>
    </w:p>
    <w:tbl>
      <w:tblPr>
        <w:tblW w:w="8400" w:type="dxa"/>
        <w:jc w:val="start"/>
        <w:tblInd w:w="0" w:type="dxa"/>
        <w:tblLayout w:type="fixed"/>
        <w:tblCellMar>
          <w:top w:w="100" w:type="dxa"/>
          <w:start w:w="150" w:type="dxa"/>
          <w:bottom w:w="100" w:type="dxa"/>
          <w:end w:w="150" w:type="dxa"/>
        </w:tblCellMar>
      </w:tblPr>
      <w:tblGrid>
        <w:gridCol w:w="2399"/>
        <w:gridCol w:w="6001"/>
      </w:tblGrid>
      <w:tr>
        <w:trPr>
          <w:tblHeader w:val="true"/>
        </w:trPr>
        <w:tc>
          <w:tcPr>
            <w:tcW w:w="2399"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Metric</w:t>
            </w:r>
          </w:p>
        </w:tc>
        <w:tc>
          <w:tcPr>
            <w:tcW w:w="6001"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Why It Matters</w:t>
            </w:r>
          </w:p>
        </w:tc>
      </w:tr>
      <w:tr>
        <w:trPr/>
        <w:tc>
          <w:tcPr>
            <w:tcW w:w="23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F1 Score</w:t>
            </w:r>
          </w:p>
        </w:tc>
        <w:tc>
          <w:tcPr>
            <w:tcW w:w="600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Balances precision and recall; critical when false negatives (missed high-risk tracts) carry real human cost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AUC-ROC</w:t>
            </w:r>
          </w:p>
        </w:tc>
        <w:tc>
          <w:tcPr>
            <w:tcW w:w="6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Threshold-independent measure of model discrimination</w:t>
            </w:r>
          </w:p>
        </w:tc>
      </w:tr>
      <w:tr>
        <w:trPr/>
        <w:tc>
          <w:tcPr>
            <w:tcW w:w="23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Feature importance (SHAP)</w:t>
            </w:r>
          </w:p>
        </w:tc>
        <w:tc>
          <w:tcPr>
            <w:tcW w:w="600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Required to generate the top 3 driving factors shown to end users</w:t>
            </w:r>
          </w:p>
        </w:tc>
      </w:tr>
    </w:tbl>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6. App Features</w:t>
      </w:r>
    </w:p>
    <w:p>
      <w:pPr>
        <w:pStyle w:val="Heading2"/>
        <w:spacing w:before="280" w:after="120"/>
        <w:rPr/>
      </w:pPr>
      <w:r>
        <w:rPr>
          <w:rFonts w:eastAsia="Arial" w:cs="Arial" w:ascii="Arial" w:hAnsi="Arial"/>
          <w:b/>
          <w:bCs/>
          <w:color w:val="1A3A5C"/>
          <w:sz w:val="26"/>
          <w:szCs w:val="26"/>
        </w:rPr>
        <w:t>6.1 Core Features (MVP)</w:t>
      </w:r>
    </w:p>
    <w:p>
      <w:pPr>
        <w:pStyle w:val="ListParagraph"/>
        <w:numPr>
          <w:ilvl w:val="0"/>
          <w:numId w:val="1"/>
        </w:numPr>
        <w:spacing w:before="60" w:after="80"/>
        <w:rPr/>
      </w:pPr>
      <w:r>
        <w:rPr>
          <w:rFonts w:eastAsia="Arial" w:cs="Arial"/>
          <w:color w:val="222222"/>
          <w:sz w:val="22"/>
          <w:szCs w:val="22"/>
        </w:rPr>
        <w:t>Search by city name or zip code</w:t>
      </w:r>
    </w:p>
    <w:p>
      <w:pPr>
        <w:pStyle w:val="ListParagraph"/>
        <w:numPr>
          <w:ilvl w:val="0"/>
          <w:numId w:val="1"/>
        </w:numPr>
        <w:spacing w:before="60" w:after="80"/>
        <w:rPr/>
      </w:pPr>
      <w:r>
        <w:rPr>
          <w:rFonts w:eastAsia="Arial" w:cs="Arial"/>
          <w:color w:val="222222"/>
          <w:sz w:val="22"/>
          <w:szCs w:val="22"/>
        </w:rPr>
        <w:t>Choropleth map of census tracts colored by risk tier (low / medium / high / critical)</w:t>
      </w:r>
    </w:p>
    <w:p>
      <w:pPr>
        <w:pStyle w:val="ListParagraph"/>
        <w:numPr>
          <w:ilvl w:val="0"/>
          <w:numId w:val="1"/>
        </w:numPr>
        <w:spacing w:before="60" w:after="80"/>
        <w:rPr/>
      </w:pPr>
      <w:r>
        <w:rPr>
          <w:rFonts w:eastAsia="Arial" w:cs="Arial"/>
          <w:color w:val="222222"/>
          <w:sz w:val="22"/>
          <w:szCs w:val="22"/>
        </w:rPr>
        <w:t>Click any tract to see: risk score, top 3 driving factors, comparison to state average</w:t>
      </w:r>
    </w:p>
    <w:p>
      <w:pPr>
        <w:pStyle w:val="ListParagraph"/>
        <w:numPr>
          <w:ilvl w:val="0"/>
          <w:numId w:val="1"/>
        </w:numPr>
        <w:spacing w:before="60" w:after="80"/>
        <w:rPr/>
      </w:pPr>
      <w:r>
        <w:rPr>
          <w:rFonts w:eastAsia="Arial" w:cs="Arial"/>
          <w:color w:val="222222"/>
          <w:sz w:val="22"/>
          <w:szCs w:val="22"/>
        </w:rPr>
        <w:t>Plain-language summary card a housing counselor can read in 30 seconds</w:t>
      </w:r>
    </w:p>
    <w:p>
      <w:pPr>
        <w:pStyle w:val="ListParagraph"/>
        <w:numPr>
          <w:ilvl w:val="0"/>
          <w:numId w:val="1"/>
        </w:numPr>
        <w:spacing w:before="60" w:after="80"/>
        <w:rPr/>
      </w:pPr>
      <w:r>
        <w:rPr>
          <w:rFonts w:eastAsia="Arial" w:cs="Arial"/>
          <w:color w:val="222222"/>
          <w:sz w:val="22"/>
          <w:szCs w:val="22"/>
        </w:rPr>
        <w:t>CSV export of flagged tracts for a given city</w:t>
      </w:r>
    </w:p>
    <w:p>
      <w:pPr>
        <w:pStyle w:val="Normal"/>
        <w:spacing w:before="80" w:after="80"/>
        <w:rPr/>
      </w:pPr>
      <w:r>
        <w:rPr/>
      </w:r>
    </w:p>
    <w:p>
      <w:pPr>
        <w:pStyle w:val="Heading2"/>
        <w:spacing w:before="280" w:after="120"/>
        <w:rPr/>
      </w:pPr>
      <w:r>
        <w:rPr>
          <w:rFonts w:eastAsia="Arial" w:cs="Arial" w:ascii="Arial" w:hAnsi="Arial"/>
          <w:b/>
          <w:bCs/>
          <w:color w:val="1A3A5C"/>
          <w:sz w:val="26"/>
          <w:szCs w:val="26"/>
        </w:rPr>
        <w:t>6.2 Stretch Features</w:t>
      </w:r>
    </w:p>
    <w:p>
      <w:pPr>
        <w:pStyle w:val="ListParagraph"/>
        <w:numPr>
          <w:ilvl w:val="0"/>
          <w:numId w:val="1"/>
        </w:numPr>
        <w:spacing w:before="60" w:after="80"/>
        <w:rPr/>
      </w:pPr>
      <w:r>
        <w:rPr>
          <w:rFonts w:eastAsia="Arial" w:cs="Arial"/>
          <w:color w:val="222222"/>
          <w:sz w:val="22"/>
          <w:szCs w:val="22"/>
        </w:rPr>
        <w:t>Time series view: how has risk trended in this tract over 3 years?</w:t>
      </w:r>
    </w:p>
    <w:p>
      <w:pPr>
        <w:pStyle w:val="ListParagraph"/>
        <w:numPr>
          <w:ilvl w:val="0"/>
          <w:numId w:val="1"/>
        </w:numPr>
        <w:spacing w:before="60" w:after="80"/>
        <w:rPr/>
      </w:pPr>
      <w:r>
        <w:rPr>
          <w:rFonts w:eastAsia="Arial" w:cs="Arial"/>
          <w:color w:val="222222"/>
          <w:sz w:val="22"/>
          <w:szCs w:val="22"/>
        </w:rPr>
        <w:t>Side-by-side comparison of two tracts or neighborhoods</w:t>
      </w:r>
    </w:p>
    <w:p>
      <w:pPr>
        <w:pStyle w:val="ListParagraph"/>
        <w:numPr>
          <w:ilvl w:val="0"/>
          <w:numId w:val="1"/>
        </w:numPr>
        <w:spacing w:before="60" w:after="80"/>
        <w:rPr/>
      </w:pPr>
      <w:r>
        <w:rPr>
          <w:rFonts w:eastAsia="Arial" w:cs="Arial"/>
          <w:color w:val="222222"/>
          <w:sz w:val="22"/>
          <w:szCs w:val="22"/>
        </w:rPr>
        <w:t>Shareable report link (unique URL per tract lookup)</w:t>
      </w:r>
    </w:p>
    <w:p>
      <w:pPr>
        <w:pStyle w:val="ListParagraph"/>
        <w:numPr>
          <w:ilvl w:val="0"/>
          <w:numId w:val="1"/>
        </w:numPr>
        <w:spacing w:before="60" w:after="80"/>
        <w:rPr/>
      </w:pPr>
      <w:r>
        <w:rPr>
          <w:rFonts w:eastAsia="Arial" w:cs="Arial"/>
          <w:color w:val="222222"/>
          <w:sz w:val="22"/>
          <w:szCs w:val="22"/>
        </w:rPr>
        <w:t>Accessibility: WCAG 2.1 AA compliant, screen-reader friendly</w:t>
      </w:r>
    </w:p>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7. Tech Stack</w:t>
      </w:r>
    </w:p>
    <w:tbl>
      <w:tblPr>
        <w:tblW w:w="8400" w:type="dxa"/>
        <w:jc w:val="start"/>
        <w:tblInd w:w="0" w:type="dxa"/>
        <w:tblLayout w:type="fixed"/>
        <w:tblCellMar>
          <w:top w:w="100" w:type="dxa"/>
          <w:start w:w="150" w:type="dxa"/>
          <w:bottom w:w="100" w:type="dxa"/>
          <w:end w:w="150" w:type="dxa"/>
        </w:tblCellMar>
      </w:tblPr>
      <w:tblGrid>
        <w:gridCol w:w="1800"/>
        <w:gridCol w:w="2799"/>
        <w:gridCol w:w="3801"/>
      </w:tblGrid>
      <w:tr>
        <w:trPr>
          <w:tblHeader w:val="true"/>
        </w:trPr>
        <w:tc>
          <w:tcPr>
            <w:tcW w:w="18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Layer</w:t>
            </w:r>
          </w:p>
        </w:tc>
        <w:tc>
          <w:tcPr>
            <w:tcW w:w="2799"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Technology</w:t>
            </w:r>
          </w:p>
        </w:tc>
        <w:tc>
          <w:tcPr>
            <w:tcW w:w="3801"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Notes</w:t>
            </w:r>
          </w:p>
        </w:tc>
      </w:tr>
      <w:tr>
        <w:trPr/>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Data pipeline</w:t>
            </w:r>
          </w:p>
        </w:tc>
        <w:tc>
          <w:tcPr>
            <w:tcW w:w="27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Python (pandas, requests, Census API)</w:t>
            </w:r>
          </w:p>
        </w:tc>
        <w:tc>
          <w:tcPr>
            <w:tcW w:w="380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Codex-generated scripts</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ML model</w:t>
            </w:r>
          </w:p>
        </w:tc>
        <w:tc>
          <w:tcPr>
            <w:tcW w:w="2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scikit-learn + XGBoost + SHAP</w:t>
            </w:r>
          </w:p>
        </w:tc>
        <w:tc>
          <w:tcPr>
            <w:tcW w:w="38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Notebooks in Jupyter, exported to .pkl</w:t>
            </w:r>
          </w:p>
        </w:tc>
      </w:tr>
      <w:tr>
        <w:trPr/>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Back end</w:t>
            </w:r>
          </w:p>
        </w:tc>
        <w:tc>
          <w:tcPr>
            <w:tcW w:w="27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FastAPI (Python)</w:t>
            </w:r>
          </w:p>
        </w:tc>
        <w:tc>
          <w:tcPr>
            <w:tcW w:w="380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REST endpoint: POST /predict with GEOID</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Front end</w:t>
            </w:r>
          </w:p>
        </w:tc>
        <w:tc>
          <w:tcPr>
            <w:tcW w:w="2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React + Mapbox GL JS (or Leaflet)</w:t>
            </w:r>
          </w:p>
        </w:tc>
        <w:tc>
          <w:tcPr>
            <w:tcW w:w="38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Deployed to Vercel or Render</w:t>
            </w:r>
          </w:p>
        </w:tc>
      </w:tr>
      <w:tr>
        <w:trPr/>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Database</w:t>
            </w:r>
          </w:p>
        </w:tc>
        <w:tc>
          <w:tcPr>
            <w:tcW w:w="27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SQLite (local) / Supabase (prod)</w:t>
            </w:r>
          </w:p>
        </w:tc>
        <w:tc>
          <w:tcPr>
            <w:tcW w:w="380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Pre-computed predictions cached for speed</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Deployment</w:t>
            </w:r>
          </w:p>
        </w:tc>
        <w:tc>
          <w:tcPr>
            <w:tcW w:w="2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Render.com or Railway</w:t>
            </w:r>
          </w:p>
        </w:tc>
        <w:tc>
          <w:tcPr>
            <w:tcW w:w="38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Free tier, shareable public URL</w:t>
            </w:r>
          </w:p>
        </w:tc>
      </w:tr>
      <w:tr>
        <w:trPr/>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Version control</w:t>
            </w:r>
          </w:p>
        </w:tc>
        <w:tc>
          <w:tcPr>
            <w:tcW w:w="27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GitHub monorepo</w:t>
            </w:r>
          </w:p>
        </w:tc>
        <w:tc>
          <w:tcPr>
            <w:tcW w:w="380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Codex prompt log included in /docs</w:t>
            </w:r>
          </w:p>
        </w:tc>
      </w:tr>
    </w:tbl>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8. Week-by-Week Timeline</w:t>
      </w:r>
    </w:p>
    <w:tbl>
      <w:tblPr>
        <w:tblW w:w="8400" w:type="dxa"/>
        <w:jc w:val="start"/>
        <w:tblInd w:w="0" w:type="dxa"/>
        <w:tblLayout w:type="fixed"/>
        <w:tblCellMar>
          <w:top w:w="100" w:type="dxa"/>
          <w:start w:w="150" w:type="dxa"/>
          <w:bottom w:w="100" w:type="dxa"/>
          <w:end w:w="150" w:type="dxa"/>
        </w:tblCellMar>
      </w:tblPr>
      <w:tblGrid>
        <w:gridCol w:w="899"/>
        <w:gridCol w:w="1800"/>
        <w:gridCol w:w="2400"/>
        <w:gridCol w:w="3301"/>
      </w:tblGrid>
      <w:tr>
        <w:trPr>
          <w:tblHeader w:val="true"/>
        </w:trPr>
        <w:tc>
          <w:tcPr>
            <w:tcW w:w="899"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Week</w:t>
            </w:r>
          </w:p>
        </w:tc>
        <w:tc>
          <w:tcPr>
            <w:tcW w:w="18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Dates</w:t>
            </w:r>
          </w:p>
        </w:tc>
        <w:tc>
          <w:tcPr>
            <w:tcW w:w="24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Milestone</w:t>
            </w:r>
          </w:p>
        </w:tc>
        <w:tc>
          <w:tcPr>
            <w:tcW w:w="3301"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Key Deliverable</w:t>
            </w:r>
          </w:p>
        </w:tc>
      </w:tr>
      <w:tr>
        <w:trPr/>
        <w:tc>
          <w:tcPr>
            <w:tcW w:w="8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Week 1</w:t>
            </w:r>
          </w:p>
        </w:tc>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Mar 27 - Apr 2</w:t>
            </w:r>
          </w:p>
        </w:tc>
        <w:tc>
          <w:tcPr>
            <w:tcW w:w="24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Data acquisition &amp; pipeline</w:t>
            </w:r>
          </w:p>
        </w:tc>
        <w:tc>
          <w:tcPr>
            <w:tcW w:w="330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All 5 sources downloaded, cleaned, merged to single tract-level CSV</w:t>
            </w:r>
          </w:p>
        </w:tc>
      </w:tr>
      <w:tr>
        <w:trPr/>
        <w:tc>
          <w:tcPr>
            <w:tcW w:w="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Week 2</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Apr 3 - Apr 9</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Modeling</w:t>
            </w:r>
          </w:p>
        </w:tc>
        <w:tc>
          <w:tcPr>
            <w:tcW w:w="33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Trained XGBoost model with SHAP explainability; evaluation report</w:t>
            </w:r>
          </w:p>
        </w:tc>
      </w:tr>
      <w:tr>
        <w:trPr/>
        <w:tc>
          <w:tcPr>
            <w:tcW w:w="8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Week 3</w:t>
            </w:r>
          </w:p>
        </w:tc>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Apr 10 - Apr 16</w:t>
            </w:r>
          </w:p>
        </w:tc>
        <w:tc>
          <w:tcPr>
            <w:tcW w:w="24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Back end</w:t>
            </w:r>
          </w:p>
        </w:tc>
        <w:tc>
          <w:tcPr>
            <w:tcW w:w="330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FastAPI serving predictions locally; prediction endpoint tested</w:t>
            </w:r>
          </w:p>
        </w:tc>
      </w:tr>
      <w:tr>
        <w:trPr/>
        <w:tc>
          <w:tcPr>
            <w:tcW w:w="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Week 4</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Apr 17 - Apr 23</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Front end + map</w:t>
            </w:r>
          </w:p>
        </w:tc>
        <w:tc>
          <w:tcPr>
            <w:tcW w:w="33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React app with choropleth map deployed to public URL</w:t>
            </w:r>
          </w:p>
        </w:tc>
      </w:tr>
      <w:tr>
        <w:trPr/>
        <w:tc>
          <w:tcPr>
            <w:tcW w:w="899"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Week 5</w:t>
            </w:r>
          </w:p>
        </w:tc>
        <w:tc>
          <w:tcPr>
            <w:tcW w:w="1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Apr 24 - Apr 30</w:t>
            </w:r>
          </w:p>
        </w:tc>
        <w:tc>
          <w:tcPr>
            <w:tcW w:w="24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Polish + submission</w:t>
            </w:r>
          </w:p>
        </w:tc>
        <w:tc>
          <w:tcPr>
            <w:tcW w:w="3301"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README, Codex prompt log, demo video, contest submission</w:t>
            </w:r>
          </w:p>
        </w:tc>
      </w:tr>
    </w:tbl>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9. Ethics &amp; Fairness Considerations</w:t>
      </w:r>
    </w:p>
    <w:p>
      <w:pPr>
        <w:pStyle w:val="Normal"/>
        <w:spacing w:before="60" w:after="100"/>
        <w:rPr/>
      </w:pPr>
      <w:r>
        <w:rPr>
          <w:rFonts w:eastAsia="Arial" w:cs="Arial"/>
          <w:color w:val="222222"/>
          <w:sz w:val="22"/>
          <w:szCs w:val="22"/>
        </w:rPr>
        <w:t>This project carries real ethical weight. A risk score attached to a census tract can influence resource allocation in ways that affect real people. The submission will explicitly address:</w:t>
      </w:r>
    </w:p>
    <w:p>
      <w:pPr>
        <w:pStyle w:val="Normal"/>
        <w:spacing w:before="80" w:after="80"/>
        <w:rPr/>
      </w:pPr>
      <w:r>
        <w:rPr/>
      </w:r>
    </w:p>
    <w:p>
      <w:pPr>
        <w:pStyle w:val="ListParagraph"/>
        <w:numPr>
          <w:ilvl w:val="0"/>
          <w:numId w:val="1"/>
        </w:numPr>
        <w:spacing w:before="60" w:after="80"/>
        <w:rPr/>
      </w:pPr>
      <w:r>
        <w:rPr>
          <w:rFonts w:eastAsia="Arial" w:cs="Arial"/>
          <w:color w:val="222222"/>
          <w:sz w:val="22"/>
          <w:szCs w:val="22"/>
        </w:rPr>
        <w:t>Disparate impact analysis: does the model perform equally across majority-minority tracts?</w:t>
      </w:r>
    </w:p>
    <w:p>
      <w:pPr>
        <w:pStyle w:val="ListParagraph"/>
        <w:numPr>
          <w:ilvl w:val="0"/>
          <w:numId w:val="1"/>
        </w:numPr>
        <w:spacing w:before="60" w:after="80"/>
        <w:rPr/>
      </w:pPr>
      <w:r>
        <w:rPr>
          <w:rFonts w:eastAsia="Arial" w:cs="Arial"/>
          <w:color w:val="222222"/>
          <w:sz w:val="22"/>
          <w:szCs w:val="22"/>
        </w:rPr>
        <w:t>Transparency: no black-box outputs. Every score is paired with the top 3 human-readable drivers.</w:t>
      </w:r>
    </w:p>
    <w:p>
      <w:pPr>
        <w:pStyle w:val="ListParagraph"/>
        <w:numPr>
          <w:ilvl w:val="0"/>
          <w:numId w:val="1"/>
        </w:numPr>
        <w:spacing w:before="60" w:after="80"/>
        <w:rPr/>
      </w:pPr>
      <w:r>
        <w:rPr>
          <w:rFonts w:eastAsia="Arial" w:cs="Arial"/>
          <w:color w:val="222222"/>
          <w:sz w:val="22"/>
          <w:szCs w:val="22"/>
        </w:rPr>
        <w:t>Limitation disclosure: the model predicts risk, not certainty. Scores are advisory, not deterministic.</w:t>
      </w:r>
    </w:p>
    <w:p>
      <w:pPr>
        <w:pStyle w:val="ListParagraph"/>
        <w:numPr>
          <w:ilvl w:val="0"/>
          <w:numId w:val="1"/>
        </w:numPr>
        <w:spacing w:before="60" w:after="80"/>
        <w:rPr/>
      </w:pPr>
      <w:r>
        <w:rPr>
          <w:rFonts w:eastAsia="Arial" w:cs="Arial"/>
          <w:color w:val="222222"/>
          <w:sz w:val="22"/>
          <w:szCs w:val="22"/>
        </w:rPr>
        <w:t>Data recency: Eviction Lab data lags by 1-2 years. The app will display data vintage prominently.</w:t>
      </w:r>
    </w:p>
    <w:p>
      <w:pPr>
        <w:pStyle w:val="ListParagraph"/>
        <w:numPr>
          <w:ilvl w:val="0"/>
          <w:numId w:val="1"/>
        </w:numPr>
        <w:spacing w:before="60" w:after="80"/>
        <w:rPr/>
      </w:pPr>
      <w:r>
        <w:rPr>
          <w:rFonts w:eastAsia="Arial" w:cs="Arial"/>
          <w:color w:val="222222"/>
          <w:sz w:val="22"/>
          <w:szCs w:val="22"/>
        </w:rPr>
        <w:t>Intended use statement: the tool is designed for intervention, not surveillance or enforcement.</w:t>
      </w:r>
    </w:p>
    <w:p>
      <w:pPr>
        <w:pStyle w:val="Normal"/>
        <w:pBdr>
          <w:bottom w:val="single" w:sz="4" w:space="1" w:color="DDDDDD"/>
        </w:pBdr>
        <w:spacing w:before="200" w:after="200"/>
        <w:rPr/>
      </w:pPr>
      <w:r>
        <w:rPr/>
      </w:r>
    </w:p>
    <w:p>
      <w:pPr>
        <w:pStyle w:val="Heading1"/>
        <w:spacing w:before="360" w:after="160"/>
        <w:rPr/>
      </w:pPr>
      <w:r>
        <w:rPr>
          <w:rFonts w:eastAsia="Arial" w:cs="Arial" w:ascii="Arial" w:hAnsi="Arial"/>
          <w:b/>
          <w:bCs/>
          <w:color w:val="1A3A5C"/>
          <w:sz w:val="32"/>
          <w:szCs w:val="32"/>
        </w:rPr>
        <w:t>10. Contest Submission Checklist</w:t>
      </w:r>
    </w:p>
    <w:tbl>
      <w:tblPr>
        <w:tblW w:w="8400" w:type="dxa"/>
        <w:jc w:val="start"/>
        <w:tblInd w:w="0" w:type="dxa"/>
        <w:tblLayout w:type="fixed"/>
        <w:tblCellMar>
          <w:top w:w="100" w:type="dxa"/>
          <w:start w:w="150" w:type="dxa"/>
          <w:bottom w:w="100" w:type="dxa"/>
          <w:end w:w="150" w:type="dxa"/>
        </w:tblCellMar>
      </w:tblPr>
      <w:tblGrid>
        <w:gridCol w:w="2800"/>
        <w:gridCol w:w="1400"/>
        <w:gridCol w:w="4200"/>
      </w:tblGrid>
      <w:tr>
        <w:trPr>
          <w:tblHeader w:val="true"/>
        </w:trPr>
        <w:tc>
          <w:tcPr>
            <w:tcW w:w="28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Item</w:t>
            </w:r>
          </w:p>
        </w:tc>
        <w:tc>
          <w:tcPr>
            <w:tcW w:w="14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Status</w:t>
            </w:r>
          </w:p>
        </w:tc>
        <w:tc>
          <w:tcPr>
            <w:tcW w:w="4200" w:type="dxa"/>
            <w:tcBorders>
              <w:top w:val="single" w:sz="2" w:space="0" w:color="1A3A5C"/>
              <w:start w:val="single" w:sz="2" w:space="0" w:color="1A3A5C"/>
              <w:bottom w:val="single" w:sz="2" w:space="0" w:color="1A3A5C"/>
              <w:end w:val="single" w:sz="2" w:space="0" w:color="1A3A5C"/>
            </w:tcBorders>
            <w:shd w:fill="1A3A5C" w:val="clear"/>
          </w:tcPr>
          <w:p>
            <w:pPr>
              <w:pStyle w:val="Normal"/>
              <w:rPr/>
            </w:pPr>
            <w:r>
              <w:rPr>
                <w:rFonts w:eastAsia="Arial" w:cs="Arial"/>
                <w:b/>
                <w:bCs/>
                <w:color w:val="FFFFFF"/>
                <w:sz w:val="20"/>
                <w:szCs w:val="20"/>
              </w:rPr>
              <w:t>Notes</w:t>
            </w:r>
          </w:p>
        </w:tc>
      </w:tr>
      <w:tr>
        <w:trPr/>
        <w:tc>
          <w:tcPr>
            <w:tcW w:w="2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Project added to AI showcase</w:t>
            </w:r>
          </w:p>
        </w:tc>
        <w:tc>
          <w:tcPr>
            <w:tcW w:w="14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Pending</w:t>
            </w:r>
          </w:p>
        </w:tc>
        <w:tc>
          <w:tcPr>
            <w:tcW w:w="42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Due by April 30</w:t>
            </w:r>
          </w:p>
        </w:tc>
      </w:tr>
      <w:tr>
        <w:trPr/>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Public URL (deployed app)</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Pending</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Render or Vercel</w:t>
            </w:r>
          </w:p>
        </w:tc>
      </w:tr>
      <w:tr>
        <w:trPr/>
        <w:tc>
          <w:tcPr>
            <w:tcW w:w="2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GitHub repo (public)</w:t>
            </w:r>
          </w:p>
        </w:tc>
        <w:tc>
          <w:tcPr>
            <w:tcW w:w="14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Pending</w:t>
            </w:r>
          </w:p>
        </w:tc>
        <w:tc>
          <w:tcPr>
            <w:tcW w:w="42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Includes /docs/codex-prompts.md</w:t>
            </w:r>
          </w:p>
        </w:tc>
      </w:tr>
      <w:tr>
        <w:trPr/>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Demo video (2-3 min)</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Pending</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Loom walkthrough of the tool</w:t>
            </w:r>
          </w:p>
        </w:tc>
      </w:tr>
      <w:tr>
        <w:trPr/>
        <w:tc>
          <w:tcPr>
            <w:tcW w:w="28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README with setup instructions</w:t>
            </w:r>
          </w:p>
        </w:tc>
        <w:tc>
          <w:tcPr>
            <w:tcW w:w="14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Pending</w:t>
            </w:r>
          </w:p>
        </w:tc>
        <w:tc>
          <w:tcPr>
            <w:tcW w:w="4200" w:type="dxa"/>
            <w:tcBorders>
              <w:top w:val="single" w:sz="2" w:space="0" w:color="CCCCCC"/>
              <w:start w:val="single" w:sz="2" w:space="0" w:color="CCCCCC"/>
              <w:bottom w:val="single" w:sz="2" w:space="0" w:color="CCCCCC"/>
              <w:end w:val="single" w:sz="2" w:space="0" w:color="CCCCCC"/>
            </w:tcBorders>
            <w:shd w:fill="F4F7FB" w:val="clear"/>
            <w:tcMar>
              <w:top w:w="80" w:type="dxa"/>
              <w:bottom w:w="80" w:type="dxa"/>
            </w:tcMar>
          </w:tcPr>
          <w:p>
            <w:pPr>
              <w:pStyle w:val="Normal"/>
              <w:rPr/>
            </w:pPr>
            <w:r>
              <w:rPr>
                <w:rFonts w:eastAsia="Arial" w:cs="Arial"/>
                <w:color w:val="222222"/>
                <w:sz w:val="20"/>
                <w:szCs w:val="20"/>
              </w:rPr>
              <w:t>For reproducibility</w:t>
            </w:r>
          </w:p>
        </w:tc>
      </w:tr>
      <w:tr>
        <w:trPr/>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Ethics statement</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Pending</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222222"/>
                <w:sz w:val="20"/>
                <w:szCs w:val="20"/>
              </w:rPr>
              <w:t>Inline in README and app UI</w:t>
            </w:r>
          </w:p>
        </w:tc>
      </w:tr>
    </w:tbl>
    <w:p>
      <w:pPr>
        <w:pStyle w:val="Normal"/>
        <w:spacing w:before="80" w:after="80"/>
        <w:rPr/>
      </w:pPr>
      <w:r>
        <w:rPr/>
      </w:r>
    </w:p>
    <w:p>
      <w:pPr>
        <w:pStyle w:val="Normal"/>
        <w:pBdr>
          <w:bottom w:val="single" w:sz="4" w:space="1" w:color="DDDDDD"/>
        </w:pBdr>
        <w:spacing w:before="200" w:after="200"/>
        <w:rPr>
          <w:rFonts w:ascii="Arial" w:hAnsi="Arial" w:eastAsia="Arial" w:cs="Arial"/>
          <w:i/>
          <w:iCs/>
          <w:color w:val="AAAAAA"/>
          <w:sz w:val="18"/>
          <w:szCs w:val="18"/>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sz w:val="32"/>
      <w:szCs w:val="32"/>
    </w:rPr>
  </w:style>
  <w:style w:type="paragraph" w:styleId="Heading2">
    <w:name w:val="heading 2"/>
    <w:basedOn w:val="Heading"/>
    <w:qFormat/>
    <w:pPr>
      <w:spacing w:before="280" w:after="120"/>
      <w:outlineLvl w:val="1"/>
    </w:pPr>
    <w:rPr>
      <w:rFonts w:ascii="Arial" w:hAnsi="Arial" w:eastAsia="Arial" w:cs="Arial"/>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5</Pages>
  <Words>1066</Words>
  <Characters>5755</Characters>
  <CharactersWithSpaces>6624</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2026-03-26T13:41:59Z</dcterms:created>
  <dc:creator>Un-named</dc:creator>
  <dc:description/>
  <dc:language>en-US</dc:language>
  <cp:lastModifiedBy/>
  <dcterms:modified xsi:type="dcterms:W3CDTF">2026-03-26T09:02:49Z</dcterms:modified>
  <cp:revision>2</cp:revision>
  <dc:subject/>
  <dc:title/>
</cp:coreProperties>
</file>