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DFAF7" w14:textId="77777777" w:rsidR="00285DF4" w:rsidRDefault="007833F7">
      <w:pPr>
        <w:pStyle w:val="Title"/>
      </w:pPr>
      <w:r>
        <w:t>Methods Final Project</w:t>
      </w:r>
    </w:p>
    <w:p w14:paraId="2091D017" w14:textId="77777777" w:rsidR="00285DF4" w:rsidRDefault="007833F7">
      <w:pPr>
        <w:pStyle w:val="Author"/>
      </w:pPr>
      <w:r>
        <w:t>Tim Vigers</w:t>
      </w:r>
    </w:p>
    <w:p w14:paraId="14E8CDA9" w14:textId="77777777" w:rsidR="00285DF4" w:rsidRDefault="007833F7">
      <w:pPr>
        <w:pStyle w:val="Date"/>
      </w:pPr>
      <w:r>
        <w:t>December 3, 2018</w:t>
      </w:r>
    </w:p>
    <w:p w14:paraId="422694ED" w14:textId="77777777" w:rsidR="00285DF4" w:rsidRDefault="007833F7">
      <w:pPr>
        <w:pStyle w:val="Heading1"/>
      </w:pPr>
      <w:bookmarkStart w:id="0" w:name="introduction"/>
      <w:r>
        <w:t>Introduction</w:t>
      </w:r>
      <w:bookmarkEnd w:id="0"/>
    </w:p>
    <w:p w14:paraId="5D2C1B57" w14:textId="77777777" w:rsidR="00285DF4" w:rsidRDefault="007833F7">
      <w:pPr>
        <w:pStyle w:val="FirstParagraph"/>
      </w:pPr>
      <w:r>
        <w:t>Parkinson’s Disease (PD) is a neurodegenerative disorder that is expected to affect between 8-9 million people worldwide by 2030, an is generally treated with a combination of pharmacology and surgery. There is some evidence suggesting that exercise improv</w:t>
      </w:r>
      <w:r>
        <w:t>es function and quality of life in individuals with PD, but there is currently no consensus regarding physiotherapy best practices. This study was designed to compare three forms of exercise intervention: a standard aerobic endurance program (AE), a flexib</w:t>
      </w:r>
      <w:r>
        <w:t>ility/balance/function (FBF) program designed for people with PD, and a series of at-home exercises as recommended by the National Parkinson’s Foundation (CON). The primary outcome for this study was improvement on the on the Unified Parkinson’s Disease Ra</w:t>
      </w:r>
      <w:r>
        <w:t>ting Scale (UPDRS) from baseline to 4 months (the end of the supervised period) and baseline to 10 months. At the time of data collection, the UPDRS was the gold standard for assessing PD severity (Schenkman et al., 2012).</w:t>
      </w:r>
    </w:p>
    <w:p w14:paraId="0021D13F" w14:textId="77777777" w:rsidR="00285DF4" w:rsidRDefault="007833F7">
      <w:pPr>
        <w:pStyle w:val="Heading1"/>
      </w:pPr>
      <w:bookmarkStart w:id="1" w:name="hypothesis"/>
      <w:r>
        <w:t>Hypothesis</w:t>
      </w:r>
      <w:bookmarkEnd w:id="1"/>
    </w:p>
    <w:p w14:paraId="2C64FBEF" w14:textId="77777777" w:rsidR="00285DF4" w:rsidRDefault="007833F7">
      <w:pPr>
        <w:pStyle w:val="FirstParagraph"/>
      </w:pPr>
      <w:r>
        <w:t>We hypothesized that d</w:t>
      </w:r>
      <w:r>
        <w:t>uring the supervised period, the FBF program would improve UPDRS scores more than both AE and CON, because the focus on flexibility and balance was expected to translate more directly to PD-specific function measures.</w:t>
      </w:r>
    </w:p>
    <w:p w14:paraId="3921D372" w14:textId="77777777" w:rsidR="00285DF4" w:rsidRDefault="007833F7">
      <w:pPr>
        <w:pStyle w:val="BodyText"/>
      </w:pPr>
      <w:r>
        <w:t>Our secondary hypothesis was that part</w:t>
      </w:r>
      <w:r>
        <w:t>icipants randomized to the FBF program would still show clinically significant improvement 6 months after the end of the supervised exercise period (the 10 month endpoint), while the other two groups would not.</w:t>
      </w:r>
    </w:p>
    <w:p w14:paraId="61B9998C" w14:textId="77777777" w:rsidR="00285DF4" w:rsidRDefault="007833F7">
      <w:pPr>
        <w:pStyle w:val="Heading1"/>
      </w:pPr>
      <w:bookmarkStart w:id="2" w:name="materials-and-methods"/>
      <w:r>
        <w:t>Materials and Methods</w:t>
      </w:r>
      <w:bookmarkEnd w:id="2"/>
    </w:p>
    <w:p w14:paraId="28448799" w14:textId="77777777" w:rsidR="00285DF4" w:rsidRDefault="007833F7">
      <w:pPr>
        <w:pStyle w:val="FirstParagraph"/>
      </w:pPr>
      <w:r>
        <w:t>Participants had PD dia</w:t>
      </w:r>
      <w:r>
        <w:t>gnosed by movement specialists and were in stages 1-3 of Hoehn and Yahr. Exclusion criteria included: “uncontrolled hypertension, on-state freezing or exercise limitations from other disorders, and Mini-Mental State Examination less than 24.” (Schenkman et</w:t>
      </w:r>
      <w:r>
        <w:t xml:space="preserve"> al., 2012) After completing baseline testing, 121 patients were randomized to one of the three exercise programs, stratified by sex. All study personnel were blinded to exercise group, and the UPDRS was performed by experienced physical therapists as base</w:t>
      </w:r>
      <w:r>
        <w:t>line, 4 months, and 10 months. For the first 4 months of the study, FBF and AE patients participated in supervised exercise 3 days/week, after which supervision was tapered. CON patients were supervised 1 day/month for the duration of the study. All partic</w:t>
      </w:r>
      <w:r>
        <w:t xml:space="preserve">ipants were </w:t>
      </w:r>
      <w:r>
        <w:lastRenderedPageBreak/>
        <w:t>encouraged to exercise 5-7 days per week, and were assisted with the development of long-term habits regardless of exercise group. (Schenkman et al., 2012)</w:t>
      </w:r>
    </w:p>
    <w:p w14:paraId="6812B619" w14:textId="77777777" w:rsidR="00285DF4" w:rsidRDefault="007833F7">
      <w:pPr>
        <w:pStyle w:val="Heading1"/>
      </w:pPr>
      <w:bookmarkStart w:id="3" w:name="analysis-plan"/>
      <w:r>
        <w:t>Analysis Plan</w:t>
      </w:r>
      <w:bookmarkEnd w:id="3"/>
    </w:p>
    <w:p w14:paraId="30E0BBCB" w14:textId="77777777" w:rsidR="00285DF4" w:rsidRDefault="007833F7">
      <w:pPr>
        <w:pStyle w:val="FirstParagraph"/>
      </w:pPr>
      <w:r>
        <w:t>Variables were assessed for normality using the Kolmogorov-Smirnov test. C</w:t>
      </w:r>
      <w:r>
        <w:t>ontinuous variables were compared using Analysis of Variance (ANOVA) or Kruskal-Wallis Rank Sum tests, and chi-square tests or Fisher’s exact tests were used for categorical variables.</w:t>
      </w:r>
    </w:p>
    <w:p w14:paraId="38912500" w14:textId="77777777" w:rsidR="00285DF4" w:rsidRDefault="007833F7">
      <w:pPr>
        <w:pStyle w:val="BodyText"/>
      </w:pPr>
      <w:r>
        <w:t>Bootstrap distributions were generated for baseline, 4 month, and 10 mo</w:t>
      </w:r>
      <w:r>
        <w:t>nth UPDRS scores, and normality of the sampling distributions was assessed. Approximately 5% of each distribution was beyond the bootstrap mean plus/minus 1.96SE, so the central limit theorem was assumed to hold for the primary outcome variables.</w:t>
      </w:r>
    </w:p>
    <w:p w14:paraId="33454B11" w14:textId="77777777" w:rsidR="00285DF4" w:rsidRDefault="007833F7">
      <w:pPr>
        <w:pStyle w:val="BodyText"/>
      </w:pPr>
      <w:r>
        <w:t xml:space="preserve">Analyses </w:t>
      </w:r>
      <w:r>
        <w:t>were performed using R version 3.5.1 (ahsfb) and descriptive statistics were compared using the “tableone” package (akjshvb).</w:t>
      </w:r>
    </w:p>
    <w:p w14:paraId="045D8B65" w14:textId="77777777" w:rsidR="00285DF4" w:rsidRDefault="007833F7">
      <w:pPr>
        <w:pStyle w:val="Heading1"/>
      </w:pPr>
      <w:bookmarkStart w:id="4" w:name="results"/>
      <w:r>
        <w:t>Results</w:t>
      </w:r>
      <w:bookmarkEnd w:id="4"/>
    </w:p>
    <w:p w14:paraId="13B9485C" w14:textId="77777777" w:rsidR="00285DF4" w:rsidRDefault="007833F7">
      <w:pPr>
        <w:pStyle w:val="FirstParagraph"/>
      </w:pPr>
      <w:r>
        <w:t>At baseline there were no significant differences between the three groups for gender, age, disease duration, Hoehn and Ya</w:t>
      </w:r>
      <w:r>
        <w:t>hr stage, five meter walk in number of steps and seconds, timed up and go in seconds, total UPDRS score, six minute walk in meters, or Levodopa equivalents (mg/day).</w:t>
      </w:r>
    </w:p>
    <w:p w14:paraId="46199A68" w14:textId="77777777" w:rsidR="00285DF4" w:rsidRDefault="007833F7">
      <w:pPr>
        <w:pStyle w:val="BodyText"/>
      </w:pPr>
      <w:r>
        <w:t>Table 1: Descriptive Characteristics at Baseline.</w:t>
      </w:r>
    </w:p>
    <w:tbl>
      <w:tblPr>
        <w:tblStyle w:val="Table"/>
        <w:tblW w:w="0" w:type="pct"/>
        <w:tblLook w:val="07E0" w:firstRow="1" w:lastRow="1" w:firstColumn="1" w:lastColumn="1" w:noHBand="1" w:noVBand="1"/>
      </w:tblPr>
      <w:tblGrid>
        <w:gridCol w:w="1897"/>
        <w:gridCol w:w="961"/>
        <w:gridCol w:w="1583"/>
        <w:gridCol w:w="1583"/>
        <w:gridCol w:w="1583"/>
        <w:gridCol w:w="797"/>
        <w:gridCol w:w="1172"/>
      </w:tblGrid>
      <w:tr w:rsidR="00285DF4" w14:paraId="0278BD54" w14:textId="77777777">
        <w:tc>
          <w:tcPr>
            <w:tcW w:w="0" w:type="auto"/>
            <w:tcBorders>
              <w:bottom w:val="single" w:sz="0" w:space="0" w:color="auto"/>
            </w:tcBorders>
            <w:vAlign w:val="bottom"/>
          </w:tcPr>
          <w:p w14:paraId="5F456F55" w14:textId="77777777" w:rsidR="00285DF4" w:rsidRDefault="00285DF4"/>
        </w:tc>
        <w:tc>
          <w:tcPr>
            <w:tcW w:w="0" w:type="auto"/>
            <w:tcBorders>
              <w:bottom w:val="single" w:sz="0" w:space="0" w:color="auto"/>
            </w:tcBorders>
            <w:vAlign w:val="bottom"/>
          </w:tcPr>
          <w:p w14:paraId="05CCEAC5" w14:textId="77777777" w:rsidR="00285DF4" w:rsidRDefault="007833F7">
            <w:pPr>
              <w:pStyle w:val="Compact"/>
            </w:pPr>
            <w:r>
              <w:t>level</w:t>
            </w:r>
          </w:p>
        </w:tc>
        <w:tc>
          <w:tcPr>
            <w:tcW w:w="0" w:type="auto"/>
            <w:tcBorders>
              <w:bottom w:val="single" w:sz="0" w:space="0" w:color="auto"/>
            </w:tcBorders>
            <w:vAlign w:val="bottom"/>
          </w:tcPr>
          <w:p w14:paraId="215747B5" w14:textId="77777777" w:rsidR="00285DF4" w:rsidRDefault="007833F7">
            <w:pPr>
              <w:pStyle w:val="Compact"/>
            </w:pPr>
            <w:r>
              <w:t>AE</w:t>
            </w:r>
          </w:p>
        </w:tc>
        <w:tc>
          <w:tcPr>
            <w:tcW w:w="0" w:type="auto"/>
            <w:tcBorders>
              <w:bottom w:val="single" w:sz="0" w:space="0" w:color="auto"/>
            </w:tcBorders>
            <w:vAlign w:val="bottom"/>
          </w:tcPr>
          <w:p w14:paraId="2C66B0D0" w14:textId="77777777" w:rsidR="00285DF4" w:rsidRDefault="007833F7">
            <w:pPr>
              <w:pStyle w:val="Compact"/>
            </w:pPr>
            <w:r>
              <w:t>CON</w:t>
            </w:r>
          </w:p>
        </w:tc>
        <w:tc>
          <w:tcPr>
            <w:tcW w:w="0" w:type="auto"/>
            <w:tcBorders>
              <w:bottom w:val="single" w:sz="0" w:space="0" w:color="auto"/>
            </w:tcBorders>
            <w:vAlign w:val="bottom"/>
          </w:tcPr>
          <w:p w14:paraId="7A99EF08" w14:textId="77777777" w:rsidR="00285DF4" w:rsidRDefault="007833F7">
            <w:pPr>
              <w:pStyle w:val="Compact"/>
            </w:pPr>
            <w:r>
              <w:t>FBF</w:t>
            </w:r>
          </w:p>
        </w:tc>
        <w:tc>
          <w:tcPr>
            <w:tcW w:w="0" w:type="auto"/>
            <w:tcBorders>
              <w:bottom w:val="single" w:sz="0" w:space="0" w:color="auto"/>
            </w:tcBorders>
            <w:vAlign w:val="bottom"/>
          </w:tcPr>
          <w:p w14:paraId="7E73ED14" w14:textId="77777777" w:rsidR="00285DF4" w:rsidRDefault="007833F7">
            <w:pPr>
              <w:pStyle w:val="Compact"/>
            </w:pPr>
            <w:r>
              <w:t>p</w:t>
            </w:r>
          </w:p>
        </w:tc>
        <w:tc>
          <w:tcPr>
            <w:tcW w:w="0" w:type="auto"/>
            <w:tcBorders>
              <w:bottom w:val="single" w:sz="0" w:space="0" w:color="auto"/>
            </w:tcBorders>
            <w:vAlign w:val="bottom"/>
          </w:tcPr>
          <w:p w14:paraId="405B1D1D" w14:textId="77777777" w:rsidR="00285DF4" w:rsidRDefault="007833F7">
            <w:pPr>
              <w:pStyle w:val="Compact"/>
            </w:pPr>
            <w:r>
              <w:t>test</w:t>
            </w:r>
          </w:p>
        </w:tc>
      </w:tr>
      <w:tr w:rsidR="00285DF4" w14:paraId="6A832ED1" w14:textId="77777777">
        <w:tc>
          <w:tcPr>
            <w:tcW w:w="0" w:type="auto"/>
          </w:tcPr>
          <w:p w14:paraId="6D03E02F" w14:textId="77777777" w:rsidR="00285DF4" w:rsidRDefault="007833F7">
            <w:pPr>
              <w:pStyle w:val="Compact"/>
            </w:pPr>
            <w:r>
              <w:t>n</w:t>
            </w:r>
          </w:p>
        </w:tc>
        <w:tc>
          <w:tcPr>
            <w:tcW w:w="0" w:type="auto"/>
          </w:tcPr>
          <w:p w14:paraId="48BC4C69" w14:textId="77777777" w:rsidR="00285DF4" w:rsidRDefault="00285DF4"/>
        </w:tc>
        <w:tc>
          <w:tcPr>
            <w:tcW w:w="0" w:type="auto"/>
          </w:tcPr>
          <w:p w14:paraId="7ACC20BF" w14:textId="77777777" w:rsidR="00285DF4" w:rsidRDefault="007833F7">
            <w:pPr>
              <w:pStyle w:val="Compact"/>
            </w:pPr>
            <w:r>
              <w:t>41</w:t>
            </w:r>
          </w:p>
        </w:tc>
        <w:tc>
          <w:tcPr>
            <w:tcW w:w="0" w:type="auto"/>
          </w:tcPr>
          <w:p w14:paraId="04113FF8" w14:textId="77777777" w:rsidR="00285DF4" w:rsidRDefault="007833F7">
            <w:pPr>
              <w:pStyle w:val="Compact"/>
            </w:pPr>
            <w:r>
              <w:t>41</w:t>
            </w:r>
          </w:p>
        </w:tc>
        <w:tc>
          <w:tcPr>
            <w:tcW w:w="0" w:type="auto"/>
          </w:tcPr>
          <w:p w14:paraId="24CFB4E2" w14:textId="77777777" w:rsidR="00285DF4" w:rsidRDefault="007833F7">
            <w:pPr>
              <w:pStyle w:val="Compact"/>
            </w:pPr>
            <w:r>
              <w:t>39</w:t>
            </w:r>
          </w:p>
        </w:tc>
        <w:tc>
          <w:tcPr>
            <w:tcW w:w="0" w:type="auto"/>
          </w:tcPr>
          <w:p w14:paraId="4F5B06E3" w14:textId="77777777" w:rsidR="00285DF4" w:rsidRDefault="00285DF4"/>
        </w:tc>
        <w:tc>
          <w:tcPr>
            <w:tcW w:w="0" w:type="auto"/>
          </w:tcPr>
          <w:p w14:paraId="7224028F" w14:textId="77777777" w:rsidR="00285DF4" w:rsidRDefault="00285DF4"/>
        </w:tc>
      </w:tr>
      <w:tr w:rsidR="00285DF4" w14:paraId="3B42D0F6" w14:textId="77777777">
        <w:tc>
          <w:tcPr>
            <w:tcW w:w="0" w:type="auto"/>
          </w:tcPr>
          <w:p w14:paraId="45A80654" w14:textId="77777777" w:rsidR="00285DF4" w:rsidRDefault="007833F7">
            <w:pPr>
              <w:pStyle w:val="Compact"/>
            </w:pPr>
            <w:r>
              <w:t>Gender (%)</w:t>
            </w:r>
          </w:p>
        </w:tc>
        <w:tc>
          <w:tcPr>
            <w:tcW w:w="0" w:type="auto"/>
          </w:tcPr>
          <w:p w14:paraId="5A07AEC3" w14:textId="77777777" w:rsidR="00285DF4" w:rsidRDefault="007833F7">
            <w:pPr>
              <w:pStyle w:val="Compact"/>
            </w:pPr>
            <w:r>
              <w:t>Female</w:t>
            </w:r>
          </w:p>
        </w:tc>
        <w:tc>
          <w:tcPr>
            <w:tcW w:w="0" w:type="auto"/>
          </w:tcPr>
          <w:p w14:paraId="73C85E68" w14:textId="77777777" w:rsidR="00285DF4" w:rsidRDefault="007833F7">
            <w:pPr>
              <w:pStyle w:val="Compact"/>
            </w:pPr>
            <w:r>
              <w:t>15 (36.6)</w:t>
            </w:r>
          </w:p>
        </w:tc>
        <w:tc>
          <w:tcPr>
            <w:tcW w:w="0" w:type="auto"/>
          </w:tcPr>
          <w:p w14:paraId="68DAA760" w14:textId="77777777" w:rsidR="00285DF4" w:rsidRDefault="007833F7">
            <w:pPr>
              <w:pStyle w:val="Compact"/>
            </w:pPr>
            <w:r>
              <w:t>15 (36.6)</w:t>
            </w:r>
          </w:p>
        </w:tc>
        <w:tc>
          <w:tcPr>
            <w:tcW w:w="0" w:type="auto"/>
          </w:tcPr>
          <w:p w14:paraId="275407C9" w14:textId="77777777" w:rsidR="00285DF4" w:rsidRDefault="007833F7">
            <w:pPr>
              <w:pStyle w:val="Compact"/>
            </w:pPr>
            <w:r>
              <w:t>15 (38.5)</w:t>
            </w:r>
          </w:p>
        </w:tc>
        <w:tc>
          <w:tcPr>
            <w:tcW w:w="0" w:type="auto"/>
          </w:tcPr>
          <w:p w14:paraId="5DBB71CD" w14:textId="77777777" w:rsidR="00285DF4" w:rsidRDefault="007833F7">
            <w:pPr>
              <w:pStyle w:val="Compact"/>
            </w:pPr>
            <w:r>
              <w:t>0.980</w:t>
            </w:r>
          </w:p>
        </w:tc>
        <w:tc>
          <w:tcPr>
            <w:tcW w:w="0" w:type="auto"/>
          </w:tcPr>
          <w:p w14:paraId="7B099FC2" w14:textId="77777777" w:rsidR="00285DF4" w:rsidRDefault="00285DF4"/>
        </w:tc>
      </w:tr>
      <w:tr w:rsidR="00285DF4" w14:paraId="73FF6997" w14:textId="77777777">
        <w:tc>
          <w:tcPr>
            <w:tcW w:w="0" w:type="auto"/>
          </w:tcPr>
          <w:p w14:paraId="0D572E09" w14:textId="77777777" w:rsidR="00285DF4" w:rsidRDefault="00285DF4"/>
        </w:tc>
        <w:tc>
          <w:tcPr>
            <w:tcW w:w="0" w:type="auto"/>
          </w:tcPr>
          <w:p w14:paraId="648DB961" w14:textId="77777777" w:rsidR="00285DF4" w:rsidRDefault="007833F7">
            <w:pPr>
              <w:pStyle w:val="Compact"/>
            </w:pPr>
            <w:r>
              <w:t>Male</w:t>
            </w:r>
          </w:p>
        </w:tc>
        <w:tc>
          <w:tcPr>
            <w:tcW w:w="0" w:type="auto"/>
          </w:tcPr>
          <w:p w14:paraId="2C0D9B3A" w14:textId="77777777" w:rsidR="00285DF4" w:rsidRDefault="007833F7">
            <w:pPr>
              <w:pStyle w:val="Compact"/>
            </w:pPr>
            <w:r>
              <w:t>26 (63.4)</w:t>
            </w:r>
          </w:p>
        </w:tc>
        <w:tc>
          <w:tcPr>
            <w:tcW w:w="0" w:type="auto"/>
          </w:tcPr>
          <w:p w14:paraId="2108C382" w14:textId="77777777" w:rsidR="00285DF4" w:rsidRDefault="007833F7">
            <w:pPr>
              <w:pStyle w:val="Compact"/>
            </w:pPr>
            <w:r>
              <w:t>26 (63.4)</w:t>
            </w:r>
          </w:p>
        </w:tc>
        <w:tc>
          <w:tcPr>
            <w:tcW w:w="0" w:type="auto"/>
          </w:tcPr>
          <w:p w14:paraId="684117FC" w14:textId="77777777" w:rsidR="00285DF4" w:rsidRDefault="007833F7">
            <w:pPr>
              <w:pStyle w:val="Compact"/>
            </w:pPr>
            <w:r>
              <w:t>24 (61.5)</w:t>
            </w:r>
          </w:p>
        </w:tc>
        <w:tc>
          <w:tcPr>
            <w:tcW w:w="0" w:type="auto"/>
          </w:tcPr>
          <w:p w14:paraId="2441FC82" w14:textId="77777777" w:rsidR="00285DF4" w:rsidRDefault="00285DF4"/>
        </w:tc>
        <w:tc>
          <w:tcPr>
            <w:tcW w:w="0" w:type="auto"/>
          </w:tcPr>
          <w:p w14:paraId="1280D887" w14:textId="77777777" w:rsidR="00285DF4" w:rsidRDefault="00285DF4"/>
        </w:tc>
      </w:tr>
      <w:tr w:rsidR="00285DF4" w14:paraId="015D0417" w14:textId="77777777">
        <w:tc>
          <w:tcPr>
            <w:tcW w:w="0" w:type="auto"/>
          </w:tcPr>
          <w:p w14:paraId="2882A8B0" w14:textId="77777777" w:rsidR="00285DF4" w:rsidRDefault="007833F7">
            <w:pPr>
              <w:pStyle w:val="Compact"/>
            </w:pPr>
            <w:r>
              <w:t>Age (mean (sd))</w:t>
            </w:r>
          </w:p>
        </w:tc>
        <w:tc>
          <w:tcPr>
            <w:tcW w:w="0" w:type="auto"/>
          </w:tcPr>
          <w:p w14:paraId="378E31E4" w14:textId="77777777" w:rsidR="00285DF4" w:rsidRDefault="00285DF4"/>
        </w:tc>
        <w:tc>
          <w:tcPr>
            <w:tcW w:w="0" w:type="auto"/>
          </w:tcPr>
          <w:p w14:paraId="651CDC61" w14:textId="77777777" w:rsidR="00285DF4" w:rsidRDefault="007833F7">
            <w:pPr>
              <w:pStyle w:val="Compact"/>
            </w:pPr>
            <w:r>
              <w:t>63.44 (11.20)</w:t>
            </w:r>
          </w:p>
        </w:tc>
        <w:tc>
          <w:tcPr>
            <w:tcW w:w="0" w:type="auto"/>
          </w:tcPr>
          <w:p w14:paraId="1F3F6C4D" w14:textId="77777777" w:rsidR="00285DF4" w:rsidRDefault="007833F7">
            <w:pPr>
              <w:pStyle w:val="Compact"/>
            </w:pPr>
            <w:r>
              <w:t>66.27 (10.08)</w:t>
            </w:r>
          </w:p>
        </w:tc>
        <w:tc>
          <w:tcPr>
            <w:tcW w:w="0" w:type="auto"/>
          </w:tcPr>
          <w:p w14:paraId="5F2A9180" w14:textId="77777777" w:rsidR="00285DF4" w:rsidRDefault="007833F7">
            <w:pPr>
              <w:pStyle w:val="Compact"/>
            </w:pPr>
            <w:r>
              <w:t>64.54 (9.95)</w:t>
            </w:r>
          </w:p>
        </w:tc>
        <w:tc>
          <w:tcPr>
            <w:tcW w:w="0" w:type="auto"/>
          </w:tcPr>
          <w:p w14:paraId="7F1CB8EF" w14:textId="77777777" w:rsidR="00285DF4" w:rsidRDefault="007833F7">
            <w:pPr>
              <w:pStyle w:val="Compact"/>
            </w:pPr>
            <w:r>
              <w:t>0.467</w:t>
            </w:r>
          </w:p>
        </w:tc>
        <w:tc>
          <w:tcPr>
            <w:tcW w:w="0" w:type="auto"/>
          </w:tcPr>
          <w:p w14:paraId="0BEF9613" w14:textId="77777777" w:rsidR="00285DF4" w:rsidRDefault="00285DF4"/>
        </w:tc>
      </w:tr>
      <w:tr w:rsidR="00285DF4" w14:paraId="6BABB918" w14:textId="77777777">
        <w:tc>
          <w:tcPr>
            <w:tcW w:w="0" w:type="auto"/>
          </w:tcPr>
          <w:p w14:paraId="687287C5" w14:textId="77777777" w:rsidR="00285DF4" w:rsidRDefault="007833F7">
            <w:pPr>
              <w:pStyle w:val="Compact"/>
            </w:pPr>
            <w:r>
              <w:t>YearsDx (median [IQR])</w:t>
            </w:r>
          </w:p>
        </w:tc>
        <w:tc>
          <w:tcPr>
            <w:tcW w:w="0" w:type="auto"/>
          </w:tcPr>
          <w:p w14:paraId="0CCF9139" w14:textId="77777777" w:rsidR="00285DF4" w:rsidRDefault="00285DF4"/>
        </w:tc>
        <w:tc>
          <w:tcPr>
            <w:tcW w:w="0" w:type="auto"/>
          </w:tcPr>
          <w:p w14:paraId="1202F1EE" w14:textId="77777777" w:rsidR="00285DF4" w:rsidRDefault="007833F7">
            <w:pPr>
              <w:pStyle w:val="Compact"/>
            </w:pPr>
            <w:r>
              <w:t>3.00 [1.00, 5.00]</w:t>
            </w:r>
          </w:p>
        </w:tc>
        <w:tc>
          <w:tcPr>
            <w:tcW w:w="0" w:type="auto"/>
          </w:tcPr>
          <w:p w14:paraId="1607F01C" w14:textId="77777777" w:rsidR="00285DF4" w:rsidRDefault="007833F7">
            <w:pPr>
              <w:pStyle w:val="Compact"/>
            </w:pPr>
            <w:r>
              <w:t>3.50 [1.00, 7.00]</w:t>
            </w:r>
          </w:p>
        </w:tc>
        <w:tc>
          <w:tcPr>
            <w:tcW w:w="0" w:type="auto"/>
          </w:tcPr>
          <w:p w14:paraId="499321F0" w14:textId="77777777" w:rsidR="00285DF4" w:rsidRDefault="007833F7">
            <w:pPr>
              <w:pStyle w:val="Compact"/>
            </w:pPr>
            <w:r>
              <w:t>4.00 [2.00, 7.00]</w:t>
            </w:r>
          </w:p>
        </w:tc>
        <w:tc>
          <w:tcPr>
            <w:tcW w:w="0" w:type="auto"/>
          </w:tcPr>
          <w:p w14:paraId="2C89BDC5" w14:textId="77777777" w:rsidR="00285DF4" w:rsidRDefault="007833F7">
            <w:pPr>
              <w:pStyle w:val="Compact"/>
            </w:pPr>
            <w:r>
              <w:t>0.258</w:t>
            </w:r>
          </w:p>
        </w:tc>
        <w:tc>
          <w:tcPr>
            <w:tcW w:w="0" w:type="auto"/>
          </w:tcPr>
          <w:p w14:paraId="3B41F047" w14:textId="77777777" w:rsidR="00285DF4" w:rsidRDefault="007833F7">
            <w:pPr>
              <w:pStyle w:val="Compact"/>
            </w:pPr>
            <w:r>
              <w:t>nonnorm</w:t>
            </w:r>
          </w:p>
        </w:tc>
      </w:tr>
      <w:tr w:rsidR="00285DF4" w14:paraId="056FBE89" w14:textId="77777777">
        <w:tc>
          <w:tcPr>
            <w:tcW w:w="0" w:type="auto"/>
          </w:tcPr>
          <w:p w14:paraId="35E8BDBD" w14:textId="77777777" w:rsidR="00285DF4" w:rsidRDefault="007833F7">
            <w:pPr>
              <w:pStyle w:val="Compact"/>
            </w:pPr>
            <w:r>
              <w:t>HYstage0 (%)</w:t>
            </w:r>
          </w:p>
        </w:tc>
        <w:tc>
          <w:tcPr>
            <w:tcW w:w="0" w:type="auto"/>
          </w:tcPr>
          <w:p w14:paraId="3CC3C46B" w14:textId="77777777" w:rsidR="00285DF4" w:rsidRDefault="007833F7">
            <w:pPr>
              <w:pStyle w:val="Compact"/>
            </w:pPr>
            <w:r>
              <w:t>1</w:t>
            </w:r>
          </w:p>
        </w:tc>
        <w:tc>
          <w:tcPr>
            <w:tcW w:w="0" w:type="auto"/>
          </w:tcPr>
          <w:p w14:paraId="3D52FEA9" w14:textId="77777777" w:rsidR="00285DF4" w:rsidRDefault="007833F7">
            <w:pPr>
              <w:pStyle w:val="Compact"/>
            </w:pPr>
            <w:r>
              <w:t>2 ( 4.9)</w:t>
            </w:r>
          </w:p>
        </w:tc>
        <w:tc>
          <w:tcPr>
            <w:tcW w:w="0" w:type="auto"/>
          </w:tcPr>
          <w:p w14:paraId="34005F4E" w14:textId="77777777" w:rsidR="00285DF4" w:rsidRDefault="007833F7">
            <w:pPr>
              <w:pStyle w:val="Compact"/>
            </w:pPr>
            <w:r>
              <w:t>0 ( 0.0)</w:t>
            </w:r>
          </w:p>
        </w:tc>
        <w:tc>
          <w:tcPr>
            <w:tcW w:w="0" w:type="auto"/>
          </w:tcPr>
          <w:p w14:paraId="0D54F8DF" w14:textId="77777777" w:rsidR="00285DF4" w:rsidRDefault="007833F7">
            <w:pPr>
              <w:pStyle w:val="Compact"/>
            </w:pPr>
            <w:r>
              <w:t>0 ( 0.0)</w:t>
            </w:r>
          </w:p>
        </w:tc>
        <w:tc>
          <w:tcPr>
            <w:tcW w:w="0" w:type="auto"/>
          </w:tcPr>
          <w:p w14:paraId="0FDC4C12" w14:textId="77777777" w:rsidR="00285DF4" w:rsidRDefault="007833F7">
            <w:pPr>
              <w:pStyle w:val="Compact"/>
            </w:pPr>
            <w:r>
              <w:t>0.945</w:t>
            </w:r>
          </w:p>
        </w:tc>
        <w:tc>
          <w:tcPr>
            <w:tcW w:w="0" w:type="auto"/>
          </w:tcPr>
          <w:p w14:paraId="115F05D7" w14:textId="77777777" w:rsidR="00285DF4" w:rsidRDefault="007833F7">
            <w:pPr>
              <w:pStyle w:val="Compact"/>
            </w:pPr>
            <w:r>
              <w:t>exact</w:t>
            </w:r>
          </w:p>
        </w:tc>
      </w:tr>
      <w:tr w:rsidR="00285DF4" w14:paraId="37F6BD14" w14:textId="77777777">
        <w:tc>
          <w:tcPr>
            <w:tcW w:w="0" w:type="auto"/>
          </w:tcPr>
          <w:p w14:paraId="2AED2E71" w14:textId="77777777" w:rsidR="00285DF4" w:rsidRDefault="00285DF4"/>
        </w:tc>
        <w:tc>
          <w:tcPr>
            <w:tcW w:w="0" w:type="auto"/>
          </w:tcPr>
          <w:p w14:paraId="681B6004" w14:textId="77777777" w:rsidR="00285DF4" w:rsidRDefault="007833F7">
            <w:pPr>
              <w:pStyle w:val="Compact"/>
            </w:pPr>
            <w:r>
              <w:t>1.5</w:t>
            </w:r>
          </w:p>
        </w:tc>
        <w:tc>
          <w:tcPr>
            <w:tcW w:w="0" w:type="auto"/>
          </w:tcPr>
          <w:p w14:paraId="7D3F77C7" w14:textId="77777777" w:rsidR="00285DF4" w:rsidRDefault="007833F7">
            <w:pPr>
              <w:pStyle w:val="Compact"/>
            </w:pPr>
            <w:r>
              <w:t>1 ( 2.4)</w:t>
            </w:r>
          </w:p>
        </w:tc>
        <w:tc>
          <w:tcPr>
            <w:tcW w:w="0" w:type="auto"/>
          </w:tcPr>
          <w:p w14:paraId="06E316F1" w14:textId="77777777" w:rsidR="00285DF4" w:rsidRDefault="007833F7">
            <w:pPr>
              <w:pStyle w:val="Compact"/>
            </w:pPr>
            <w:r>
              <w:t>2 ( 4.9)</w:t>
            </w:r>
          </w:p>
        </w:tc>
        <w:tc>
          <w:tcPr>
            <w:tcW w:w="0" w:type="auto"/>
          </w:tcPr>
          <w:p w14:paraId="50F3C296" w14:textId="77777777" w:rsidR="00285DF4" w:rsidRDefault="007833F7">
            <w:pPr>
              <w:pStyle w:val="Compact"/>
            </w:pPr>
            <w:r>
              <w:t>1 ( 2.6)</w:t>
            </w:r>
          </w:p>
        </w:tc>
        <w:tc>
          <w:tcPr>
            <w:tcW w:w="0" w:type="auto"/>
          </w:tcPr>
          <w:p w14:paraId="327CE6AF" w14:textId="77777777" w:rsidR="00285DF4" w:rsidRDefault="00285DF4"/>
        </w:tc>
        <w:tc>
          <w:tcPr>
            <w:tcW w:w="0" w:type="auto"/>
          </w:tcPr>
          <w:p w14:paraId="7CAA9A84" w14:textId="77777777" w:rsidR="00285DF4" w:rsidRDefault="00285DF4"/>
        </w:tc>
      </w:tr>
      <w:tr w:rsidR="00285DF4" w14:paraId="2975F38C" w14:textId="77777777">
        <w:tc>
          <w:tcPr>
            <w:tcW w:w="0" w:type="auto"/>
          </w:tcPr>
          <w:p w14:paraId="0FC07D50" w14:textId="77777777" w:rsidR="00285DF4" w:rsidRDefault="00285DF4"/>
        </w:tc>
        <w:tc>
          <w:tcPr>
            <w:tcW w:w="0" w:type="auto"/>
          </w:tcPr>
          <w:p w14:paraId="66941FC1" w14:textId="77777777" w:rsidR="00285DF4" w:rsidRDefault="007833F7">
            <w:pPr>
              <w:pStyle w:val="Compact"/>
            </w:pPr>
            <w:r>
              <w:t>2</w:t>
            </w:r>
          </w:p>
        </w:tc>
        <w:tc>
          <w:tcPr>
            <w:tcW w:w="0" w:type="auto"/>
          </w:tcPr>
          <w:p w14:paraId="5B932A12" w14:textId="77777777" w:rsidR="00285DF4" w:rsidRDefault="007833F7">
            <w:pPr>
              <w:pStyle w:val="Compact"/>
            </w:pPr>
            <w:r>
              <w:t>21 (51.2)</w:t>
            </w:r>
          </w:p>
        </w:tc>
        <w:tc>
          <w:tcPr>
            <w:tcW w:w="0" w:type="auto"/>
          </w:tcPr>
          <w:p w14:paraId="37C1D127" w14:textId="77777777" w:rsidR="00285DF4" w:rsidRDefault="007833F7">
            <w:pPr>
              <w:pStyle w:val="Compact"/>
            </w:pPr>
            <w:r>
              <w:t>20 (48.8)</w:t>
            </w:r>
          </w:p>
        </w:tc>
        <w:tc>
          <w:tcPr>
            <w:tcW w:w="0" w:type="auto"/>
          </w:tcPr>
          <w:p w14:paraId="21818C21" w14:textId="77777777" w:rsidR="00285DF4" w:rsidRDefault="007833F7">
            <w:pPr>
              <w:pStyle w:val="Compact"/>
            </w:pPr>
            <w:r>
              <w:t>21 (53.8)</w:t>
            </w:r>
          </w:p>
        </w:tc>
        <w:tc>
          <w:tcPr>
            <w:tcW w:w="0" w:type="auto"/>
          </w:tcPr>
          <w:p w14:paraId="01E981FE" w14:textId="77777777" w:rsidR="00285DF4" w:rsidRDefault="00285DF4"/>
        </w:tc>
        <w:tc>
          <w:tcPr>
            <w:tcW w:w="0" w:type="auto"/>
          </w:tcPr>
          <w:p w14:paraId="762CA2FE" w14:textId="77777777" w:rsidR="00285DF4" w:rsidRDefault="00285DF4"/>
        </w:tc>
      </w:tr>
      <w:tr w:rsidR="00285DF4" w14:paraId="1DF0A138" w14:textId="77777777">
        <w:tc>
          <w:tcPr>
            <w:tcW w:w="0" w:type="auto"/>
          </w:tcPr>
          <w:p w14:paraId="2D0D036C" w14:textId="77777777" w:rsidR="00285DF4" w:rsidRDefault="00285DF4"/>
        </w:tc>
        <w:tc>
          <w:tcPr>
            <w:tcW w:w="0" w:type="auto"/>
          </w:tcPr>
          <w:p w14:paraId="67491D99" w14:textId="77777777" w:rsidR="00285DF4" w:rsidRDefault="007833F7">
            <w:pPr>
              <w:pStyle w:val="Compact"/>
            </w:pPr>
            <w:r>
              <w:t>2.5</w:t>
            </w:r>
          </w:p>
        </w:tc>
        <w:tc>
          <w:tcPr>
            <w:tcW w:w="0" w:type="auto"/>
          </w:tcPr>
          <w:p w14:paraId="7B016ED7" w14:textId="77777777" w:rsidR="00285DF4" w:rsidRDefault="007833F7">
            <w:pPr>
              <w:pStyle w:val="Compact"/>
            </w:pPr>
            <w:r>
              <w:t>13 (31.7)</w:t>
            </w:r>
          </w:p>
        </w:tc>
        <w:tc>
          <w:tcPr>
            <w:tcW w:w="0" w:type="auto"/>
          </w:tcPr>
          <w:p w14:paraId="01061C67" w14:textId="77777777" w:rsidR="00285DF4" w:rsidRDefault="007833F7">
            <w:pPr>
              <w:pStyle w:val="Compact"/>
            </w:pPr>
            <w:r>
              <w:t>15 (36.6)</w:t>
            </w:r>
          </w:p>
        </w:tc>
        <w:tc>
          <w:tcPr>
            <w:tcW w:w="0" w:type="auto"/>
          </w:tcPr>
          <w:p w14:paraId="627C5D47" w14:textId="77777777" w:rsidR="00285DF4" w:rsidRDefault="007833F7">
            <w:pPr>
              <w:pStyle w:val="Compact"/>
            </w:pPr>
            <w:r>
              <w:t>13 (33.3)</w:t>
            </w:r>
          </w:p>
        </w:tc>
        <w:tc>
          <w:tcPr>
            <w:tcW w:w="0" w:type="auto"/>
          </w:tcPr>
          <w:p w14:paraId="58136008" w14:textId="77777777" w:rsidR="00285DF4" w:rsidRDefault="00285DF4"/>
        </w:tc>
        <w:tc>
          <w:tcPr>
            <w:tcW w:w="0" w:type="auto"/>
          </w:tcPr>
          <w:p w14:paraId="7A580625" w14:textId="77777777" w:rsidR="00285DF4" w:rsidRDefault="00285DF4"/>
        </w:tc>
      </w:tr>
      <w:tr w:rsidR="00285DF4" w14:paraId="1E11D253" w14:textId="77777777">
        <w:tc>
          <w:tcPr>
            <w:tcW w:w="0" w:type="auto"/>
          </w:tcPr>
          <w:p w14:paraId="3365AAD9" w14:textId="77777777" w:rsidR="00285DF4" w:rsidRDefault="00285DF4"/>
        </w:tc>
        <w:tc>
          <w:tcPr>
            <w:tcW w:w="0" w:type="auto"/>
          </w:tcPr>
          <w:p w14:paraId="5E5827F0" w14:textId="77777777" w:rsidR="00285DF4" w:rsidRDefault="007833F7">
            <w:pPr>
              <w:pStyle w:val="Compact"/>
            </w:pPr>
            <w:r>
              <w:t>3</w:t>
            </w:r>
          </w:p>
        </w:tc>
        <w:tc>
          <w:tcPr>
            <w:tcW w:w="0" w:type="auto"/>
          </w:tcPr>
          <w:p w14:paraId="77010B9C" w14:textId="77777777" w:rsidR="00285DF4" w:rsidRDefault="007833F7">
            <w:pPr>
              <w:pStyle w:val="Compact"/>
            </w:pPr>
            <w:r>
              <w:t>4 ( 9.8)</w:t>
            </w:r>
          </w:p>
        </w:tc>
        <w:tc>
          <w:tcPr>
            <w:tcW w:w="0" w:type="auto"/>
          </w:tcPr>
          <w:p w14:paraId="7E274F50" w14:textId="77777777" w:rsidR="00285DF4" w:rsidRDefault="007833F7">
            <w:pPr>
              <w:pStyle w:val="Compact"/>
            </w:pPr>
            <w:r>
              <w:t>4 ( 9.8)</w:t>
            </w:r>
          </w:p>
        </w:tc>
        <w:tc>
          <w:tcPr>
            <w:tcW w:w="0" w:type="auto"/>
          </w:tcPr>
          <w:p w14:paraId="451AA2C7" w14:textId="77777777" w:rsidR="00285DF4" w:rsidRDefault="007833F7">
            <w:pPr>
              <w:pStyle w:val="Compact"/>
            </w:pPr>
            <w:r>
              <w:t>4 (10.3)</w:t>
            </w:r>
          </w:p>
        </w:tc>
        <w:tc>
          <w:tcPr>
            <w:tcW w:w="0" w:type="auto"/>
          </w:tcPr>
          <w:p w14:paraId="29E389BB" w14:textId="77777777" w:rsidR="00285DF4" w:rsidRDefault="00285DF4"/>
        </w:tc>
        <w:tc>
          <w:tcPr>
            <w:tcW w:w="0" w:type="auto"/>
          </w:tcPr>
          <w:p w14:paraId="192791D2" w14:textId="77777777" w:rsidR="00285DF4" w:rsidRDefault="00285DF4"/>
        </w:tc>
      </w:tr>
      <w:tr w:rsidR="00285DF4" w14:paraId="4F184513" w14:textId="77777777">
        <w:tc>
          <w:tcPr>
            <w:tcW w:w="0" w:type="auto"/>
          </w:tcPr>
          <w:p w14:paraId="2CBE7400" w14:textId="77777777" w:rsidR="00285DF4" w:rsidRDefault="007833F7">
            <w:pPr>
              <w:pStyle w:val="Compact"/>
            </w:pPr>
            <w:r>
              <w:lastRenderedPageBreak/>
              <w:t>FiveM_Wk0 (median [IQR])</w:t>
            </w:r>
          </w:p>
        </w:tc>
        <w:tc>
          <w:tcPr>
            <w:tcW w:w="0" w:type="auto"/>
          </w:tcPr>
          <w:p w14:paraId="2174E02B" w14:textId="77777777" w:rsidR="00285DF4" w:rsidRDefault="00285DF4"/>
        </w:tc>
        <w:tc>
          <w:tcPr>
            <w:tcW w:w="0" w:type="auto"/>
          </w:tcPr>
          <w:p w14:paraId="1BC8A5FE" w14:textId="77777777" w:rsidR="00285DF4" w:rsidRDefault="007833F7">
            <w:pPr>
              <w:pStyle w:val="Compact"/>
            </w:pPr>
            <w:r>
              <w:t>8.00 [7.00, 9.00]</w:t>
            </w:r>
          </w:p>
        </w:tc>
        <w:tc>
          <w:tcPr>
            <w:tcW w:w="0" w:type="auto"/>
          </w:tcPr>
          <w:p w14:paraId="7B94C8FA" w14:textId="77777777" w:rsidR="00285DF4" w:rsidRDefault="007833F7">
            <w:pPr>
              <w:pStyle w:val="Compact"/>
            </w:pPr>
            <w:r>
              <w:t>8.00 [8.00, 9.50]</w:t>
            </w:r>
          </w:p>
        </w:tc>
        <w:tc>
          <w:tcPr>
            <w:tcW w:w="0" w:type="auto"/>
          </w:tcPr>
          <w:p w14:paraId="15EF1882" w14:textId="77777777" w:rsidR="00285DF4" w:rsidRDefault="007833F7">
            <w:pPr>
              <w:pStyle w:val="Compact"/>
            </w:pPr>
            <w:r>
              <w:t>8.00 [7.25, 8.75]</w:t>
            </w:r>
          </w:p>
        </w:tc>
        <w:tc>
          <w:tcPr>
            <w:tcW w:w="0" w:type="auto"/>
          </w:tcPr>
          <w:p w14:paraId="108BE61B" w14:textId="77777777" w:rsidR="00285DF4" w:rsidRDefault="007833F7">
            <w:pPr>
              <w:pStyle w:val="Compact"/>
            </w:pPr>
            <w:r>
              <w:t>0.323</w:t>
            </w:r>
          </w:p>
        </w:tc>
        <w:tc>
          <w:tcPr>
            <w:tcW w:w="0" w:type="auto"/>
          </w:tcPr>
          <w:p w14:paraId="62075A18" w14:textId="77777777" w:rsidR="00285DF4" w:rsidRDefault="007833F7">
            <w:pPr>
              <w:pStyle w:val="Compact"/>
            </w:pPr>
            <w:r>
              <w:t>nonnorm</w:t>
            </w:r>
          </w:p>
        </w:tc>
      </w:tr>
      <w:tr w:rsidR="00285DF4" w14:paraId="27AD4186" w14:textId="77777777">
        <w:tc>
          <w:tcPr>
            <w:tcW w:w="0" w:type="auto"/>
          </w:tcPr>
          <w:p w14:paraId="711EDB7E" w14:textId="77777777" w:rsidR="00285DF4" w:rsidRDefault="007833F7">
            <w:pPr>
              <w:pStyle w:val="Compact"/>
            </w:pPr>
            <w:r>
              <w:t>FiveM_Tm0 (median [IQR])</w:t>
            </w:r>
          </w:p>
        </w:tc>
        <w:tc>
          <w:tcPr>
            <w:tcW w:w="0" w:type="auto"/>
          </w:tcPr>
          <w:p w14:paraId="47D758B3" w14:textId="77777777" w:rsidR="00285DF4" w:rsidRDefault="00285DF4"/>
        </w:tc>
        <w:tc>
          <w:tcPr>
            <w:tcW w:w="0" w:type="auto"/>
          </w:tcPr>
          <w:p w14:paraId="2B72A278" w14:textId="77777777" w:rsidR="00285DF4" w:rsidRDefault="007833F7">
            <w:pPr>
              <w:pStyle w:val="Compact"/>
            </w:pPr>
            <w:r>
              <w:t>3.60 [3.28, 4.18]</w:t>
            </w:r>
          </w:p>
        </w:tc>
        <w:tc>
          <w:tcPr>
            <w:tcW w:w="0" w:type="auto"/>
          </w:tcPr>
          <w:p w14:paraId="67CFAE75" w14:textId="77777777" w:rsidR="00285DF4" w:rsidRDefault="007833F7">
            <w:pPr>
              <w:pStyle w:val="Compact"/>
            </w:pPr>
            <w:r>
              <w:t>3.86 [3.51, 4.42]</w:t>
            </w:r>
          </w:p>
        </w:tc>
        <w:tc>
          <w:tcPr>
            <w:tcW w:w="0" w:type="auto"/>
          </w:tcPr>
          <w:p w14:paraId="2564A8AE" w14:textId="77777777" w:rsidR="00285DF4" w:rsidRDefault="007833F7">
            <w:pPr>
              <w:pStyle w:val="Compact"/>
            </w:pPr>
            <w:r>
              <w:t>3.66 [3.25, 4.01]</w:t>
            </w:r>
          </w:p>
        </w:tc>
        <w:tc>
          <w:tcPr>
            <w:tcW w:w="0" w:type="auto"/>
          </w:tcPr>
          <w:p w14:paraId="21A7DD73" w14:textId="77777777" w:rsidR="00285DF4" w:rsidRDefault="007833F7">
            <w:pPr>
              <w:pStyle w:val="Compact"/>
            </w:pPr>
            <w:r>
              <w:t>0.136</w:t>
            </w:r>
          </w:p>
        </w:tc>
        <w:tc>
          <w:tcPr>
            <w:tcW w:w="0" w:type="auto"/>
          </w:tcPr>
          <w:p w14:paraId="3FE74E22" w14:textId="77777777" w:rsidR="00285DF4" w:rsidRDefault="007833F7">
            <w:pPr>
              <w:pStyle w:val="Compact"/>
            </w:pPr>
            <w:r>
              <w:t>nonnorm</w:t>
            </w:r>
          </w:p>
        </w:tc>
      </w:tr>
      <w:tr w:rsidR="00285DF4" w14:paraId="26AB9F3C" w14:textId="77777777">
        <w:tc>
          <w:tcPr>
            <w:tcW w:w="0" w:type="auto"/>
          </w:tcPr>
          <w:p w14:paraId="3CB77CFC" w14:textId="77777777" w:rsidR="00285DF4" w:rsidRDefault="007833F7">
            <w:pPr>
              <w:pStyle w:val="Compact"/>
            </w:pPr>
            <w:r>
              <w:t>TUG0 (median [IQR])</w:t>
            </w:r>
          </w:p>
        </w:tc>
        <w:tc>
          <w:tcPr>
            <w:tcW w:w="0" w:type="auto"/>
          </w:tcPr>
          <w:p w14:paraId="66429813" w14:textId="77777777" w:rsidR="00285DF4" w:rsidRDefault="00285DF4"/>
        </w:tc>
        <w:tc>
          <w:tcPr>
            <w:tcW w:w="0" w:type="auto"/>
          </w:tcPr>
          <w:p w14:paraId="23D10A83" w14:textId="77777777" w:rsidR="00285DF4" w:rsidRDefault="007833F7">
            <w:pPr>
              <w:pStyle w:val="Compact"/>
            </w:pPr>
            <w:r>
              <w:t>9.81 [8.80, 10.80]</w:t>
            </w:r>
          </w:p>
        </w:tc>
        <w:tc>
          <w:tcPr>
            <w:tcW w:w="0" w:type="auto"/>
          </w:tcPr>
          <w:p w14:paraId="258D15DD" w14:textId="77777777" w:rsidR="00285DF4" w:rsidRDefault="007833F7">
            <w:pPr>
              <w:pStyle w:val="Compact"/>
            </w:pPr>
            <w:r>
              <w:t>10.61 [9.50, 11.68]</w:t>
            </w:r>
          </w:p>
        </w:tc>
        <w:tc>
          <w:tcPr>
            <w:tcW w:w="0" w:type="auto"/>
          </w:tcPr>
          <w:p w14:paraId="308C83B2" w14:textId="77777777" w:rsidR="00285DF4" w:rsidRDefault="007833F7">
            <w:pPr>
              <w:pStyle w:val="Compact"/>
            </w:pPr>
            <w:r>
              <w:t>9.64 [8.44, 11.53]</w:t>
            </w:r>
          </w:p>
        </w:tc>
        <w:tc>
          <w:tcPr>
            <w:tcW w:w="0" w:type="auto"/>
          </w:tcPr>
          <w:p w14:paraId="19A51749" w14:textId="77777777" w:rsidR="00285DF4" w:rsidRDefault="007833F7">
            <w:pPr>
              <w:pStyle w:val="Compact"/>
            </w:pPr>
            <w:r>
              <w:t>0.052</w:t>
            </w:r>
          </w:p>
        </w:tc>
        <w:tc>
          <w:tcPr>
            <w:tcW w:w="0" w:type="auto"/>
          </w:tcPr>
          <w:p w14:paraId="6D7B1A44" w14:textId="77777777" w:rsidR="00285DF4" w:rsidRDefault="007833F7">
            <w:pPr>
              <w:pStyle w:val="Compact"/>
            </w:pPr>
            <w:r>
              <w:t>nonnorm</w:t>
            </w:r>
          </w:p>
        </w:tc>
      </w:tr>
      <w:tr w:rsidR="00285DF4" w14:paraId="386F5629" w14:textId="77777777">
        <w:tc>
          <w:tcPr>
            <w:tcW w:w="0" w:type="auto"/>
          </w:tcPr>
          <w:p w14:paraId="21089671" w14:textId="77777777" w:rsidR="00285DF4" w:rsidRDefault="007833F7">
            <w:pPr>
              <w:pStyle w:val="Compact"/>
            </w:pPr>
            <w:r>
              <w:t>UPDRS0 (mean (sd))</w:t>
            </w:r>
          </w:p>
        </w:tc>
        <w:tc>
          <w:tcPr>
            <w:tcW w:w="0" w:type="auto"/>
          </w:tcPr>
          <w:p w14:paraId="61803821" w14:textId="77777777" w:rsidR="00285DF4" w:rsidRDefault="00285DF4"/>
        </w:tc>
        <w:tc>
          <w:tcPr>
            <w:tcW w:w="0" w:type="auto"/>
          </w:tcPr>
          <w:p w14:paraId="0EF623FB" w14:textId="77777777" w:rsidR="00285DF4" w:rsidRDefault="007833F7">
            <w:pPr>
              <w:pStyle w:val="Compact"/>
            </w:pPr>
            <w:r>
              <w:t>34.62 (13.00)</w:t>
            </w:r>
          </w:p>
        </w:tc>
        <w:tc>
          <w:tcPr>
            <w:tcW w:w="0" w:type="auto"/>
          </w:tcPr>
          <w:p w14:paraId="13CF0D6F" w14:textId="77777777" w:rsidR="00285DF4" w:rsidRDefault="007833F7">
            <w:pPr>
              <w:pStyle w:val="Compact"/>
            </w:pPr>
            <w:r>
              <w:t>37.49 (13.74)</w:t>
            </w:r>
          </w:p>
        </w:tc>
        <w:tc>
          <w:tcPr>
            <w:tcW w:w="0" w:type="auto"/>
          </w:tcPr>
          <w:p w14:paraId="0943061D" w14:textId="77777777" w:rsidR="00285DF4" w:rsidRDefault="007833F7">
            <w:pPr>
              <w:pStyle w:val="Compact"/>
            </w:pPr>
            <w:r>
              <w:t>35.53 (13.93)</w:t>
            </w:r>
          </w:p>
        </w:tc>
        <w:tc>
          <w:tcPr>
            <w:tcW w:w="0" w:type="auto"/>
          </w:tcPr>
          <w:p w14:paraId="6B4E2F25" w14:textId="77777777" w:rsidR="00285DF4" w:rsidRDefault="007833F7">
            <w:pPr>
              <w:pStyle w:val="Compact"/>
            </w:pPr>
            <w:r>
              <w:t>0.621</w:t>
            </w:r>
          </w:p>
        </w:tc>
        <w:tc>
          <w:tcPr>
            <w:tcW w:w="0" w:type="auto"/>
          </w:tcPr>
          <w:p w14:paraId="31738984" w14:textId="77777777" w:rsidR="00285DF4" w:rsidRDefault="00285DF4"/>
        </w:tc>
      </w:tr>
      <w:tr w:rsidR="00285DF4" w14:paraId="291B19B7" w14:textId="77777777">
        <w:tc>
          <w:tcPr>
            <w:tcW w:w="0" w:type="auto"/>
          </w:tcPr>
          <w:p w14:paraId="22492821" w14:textId="77777777" w:rsidR="00285DF4" w:rsidRDefault="007833F7">
            <w:pPr>
              <w:pStyle w:val="Compact"/>
            </w:pPr>
            <w:r>
              <w:t>SixMn_Wk0 (mean (sd))</w:t>
            </w:r>
          </w:p>
        </w:tc>
        <w:tc>
          <w:tcPr>
            <w:tcW w:w="0" w:type="auto"/>
          </w:tcPr>
          <w:p w14:paraId="6B954D88" w14:textId="77777777" w:rsidR="00285DF4" w:rsidRDefault="00285DF4"/>
        </w:tc>
        <w:tc>
          <w:tcPr>
            <w:tcW w:w="0" w:type="auto"/>
          </w:tcPr>
          <w:p w14:paraId="59CC488D" w14:textId="77777777" w:rsidR="00285DF4" w:rsidRDefault="007833F7">
            <w:pPr>
              <w:pStyle w:val="Compact"/>
            </w:pPr>
            <w:r>
              <w:t>535.66 (102.97)</w:t>
            </w:r>
          </w:p>
        </w:tc>
        <w:tc>
          <w:tcPr>
            <w:tcW w:w="0" w:type="auto"/>
          </w:tcPr>
          <w:p w14:paraId="0D0823AA" w14:textId="77777777" w:rsidR="00285DF4" w:rsidRDefault="007833F7">
            <w:pPr>
              <w:pStyle w:val="Compact"/>
            </w:pPr>
            <w:r>
              <w:t>484.12 (106.58)</w:t>
            </w:r>
          </w:p>
        </w:tc>
        <w:tc>
          <w:tcPr>
            <w:tcW w:w="0" w:type="auto"/>
          </w:tcPr>
          <w:p w14:paraId="0C4CED74" w14:textId="77777777" w:rsidR="00285DF4" w:rsidRDefault="007833F7">
            <w:pPr>
              <w:pStyle w:val="Compact"/>
            </w:pPr>
            <w:r>
              <w:t>519.72 (108.39)</w:t>
            </w:r>
          </w:p>
        </w:tc>
        <w:tc>
          <w:tcPr>
            <w:tcW w:w="0" w:type="auto"/>
          </w:tcPr>
          <w:p w14:paraId="7E3E338F" w14:textId="77777777" w:rsidR="00285DF4" w:rsidRDefault="007833F7">
            <w:pPr>
              <w:pStyle w:val="Compact"/>
            </w:pPr>
            <w:r>
              <w:t>0.083</w:t>
            </w:r>
          </w:p>
        </w:tc>
        <w:tc>
          <w:tcPr>
            <w:tcW w:w="0" w:type="auto"/>
          </w:tcPr>
          <w:p w14:paraId="334CEC89" w14:textId="77777777" w:rsidR="00285DF4" w:rsidRDefault="00285DF4"/>
        </w:tc>
      </w:tr>
      <w:tr w:rsidR="00285DF4" w14:paraId="6571560B" w14:textId="77777777">
        <w:tc>
          <w:tcPr>
            <w:tcW w:w="0" w:type="auto"/>
          </w:tcPr>
          <w:p w14:paraId="0FB64212" w14:textId="77777777" w:rsidR="00285DF4" w:rsidRDefault="007833F7">
            <w:pPr>
              <w:pStyle w:val="Compact"/>
            </w:pPr>
            <w:r>
              <w:t>LEDD0 (median [IQR])</w:t>
            </w:r>
          </w:p>
        </w:tc>
        <w:tc>
          <w:tcPr>
            <w:tcW w:w="0" w:type="auto"/>
          </w:tcPr>
          <w:p w14:paraId="5E11760B" w14:textId="77777777" w:rsidR="00285DF4" w:rsidRDefault="00285DF4"/>
        </w:tc>
        <w:tc>
          <w:tcPr>
            <w:tcW w:w="0" w:type="auto"/>
          </w:tcPr>
          <w:p w14:paraId="5EEA651A" w14:textId="77777777" w:rsidR="00285DF4" w:rsidRDefault="007833F7">
            <w:pPr>
              <w:pStyle w:val="Compact"/>
            </w:pPr>
            <w:r>
              <w:t>400.00 [295.00, 636.25]</w:t>
            </w:r>
          </w:p>
        </w:tc>
        <w:tc>
          <w:tcPr>
            <w:tcW w:w="0" w:type="auto"/>
          </w:tcPr>
          <w:p w14:paraId="61357FDE" w14:textId="77777777" w:rsidR="00285DF4" w:rsidRDefault="007833F7">
            <w:pPr>
              <w:pStyle w:val="Compact"/>
            </w:pPr>
            <w:r>
              <w:t>460.50 [266.25, 825.00]</w:t>
            </w:r>
          </w:p>
        </w:tc>
        <w:tc>
          <w:tcPr>
            <w:tcW w:w="0" w:type="auto"/>
          </w:tcPr>
          <w:p w14:paraId="5C77574A" w14:textId="77777777" w:rsidR="00285DF4" w:rsidRDefault="007833F7">
            <w:pPr>
              <w:pStyle w:val="Compact"/>
            </w:pPr>
            <w:r>
              <w:t>530.00 [387.50, 800.00]</w:t>
            </w:r>
          </w:p>
        </w:tc>
        <w:tc>
          <w:tcPr>
            <w:tcW w:w="0" w:type="auto"/>
          </w:tcPr>
          <w:p w14:paraId="695CA472" w14:textId="77777777" w:rsidR="00285DF4" w:rsidRDefault="007833F7">
            <w:pPr>
              <w:pStyle w:val="Compact"/>
            </w:pPr>
            <w:r>
              <w:t>0.275</w:t>
            </w:r>
          </w:p>
        </w:tc>
        <w:tc>
          <w:tcPr>
            <w:tcW w:w="0" w:type="auto"/>
          </w:tcPr>
          <w:p w14:paraId="221D9F34" w14:textId="77777777" w:rsidR="00285DF4" w:rsidRDefault="007833F7">
            <w:pPr>
              <w:pStyle w:val="Compact"/>
            </w:pPr>
            <w:r>
              <w:t>nonnorm</w:t>
            </w:r>
          </w:p>
        </w:tc>
      </w:tr>
    </w:tbl>
    <w:p w14:paraId="47FEE120" w14:textId="77777777" w:rsidR="00285DF4" w:rsidRDefault="007833F7">
      <w:pPr>
        <w:pStyle w:val="SourceCode"/>
      </w:pPr>
      <w:r>
        <w:rPr>
          <w:rStyle w:val="VerbatimChar"/>
        </w:rPr>
        <w:t>## [1] 33.49299</w:t>
      </w:r>
    </w:p>
    <w:p w14:paraId="180F6F81" w14:textId="77777777" w:rsidR="00285DF4" w:rsidRDefault="007833F7">
      <w:pPr>
        <w:pStyle w:val="SourceCode"/>
      </w:pPr>
      <w:r>
        <w:rPr>
          <w:rStyle w:val="VerbatimChar"/>
        </w:rPr>
        <w:t>## [1] 38.28105</w:t>
      </w:r>
    </w:p>
    <w:p w14:paraId="23356A67" w14:textId="77777777" w:rsidR="00285DF4" w:rsidRDefault="007833F7">
      <w:pPr>
        <w:pStyle w:val="SourceCode"/>
      </w:pPr>
      <w:r>
        <w:rPr>
          <w:rStyle w:val="VerbatimChar"/>
        </w:rPr>
        <w:t>## [1] 0.02346</w:t>
      </w:r>
    </w:p>
    <w:p w14:paraId="533FB048" w14:textId="77777777" w:rsidR="00285DF4" w:rsidRDefault="007833F7">
      <w:pPr>
        <w:pStyle w:val="SourceCode"/>
      </w:pPr>
      <w:r>
        <w:rPr>
          <w:rStyle w:val="VerbatimChar"/>
        </w:rPr>
        <w:t>## [1] 0.02661</w:t>
      </w:r>
    </w:p>
    <w:p w14:paraId="4D5AA335" w14:textId="77777777" w:rsidR="00285DF4" w:rsidRDefault="007833F7">
      <w:pPr>
        <w:pStyle w:val="SourceCode"/>
      </w:pPr>
      <w:r>
        <w:rPr>
          <w:rStyle w:val="VerbatimChar"/>
        </w:rPr>
        <w:t xml:space="preserve">##     2.5%    97.5% </w:t>
      </w:r>
      <w:r>
        <w:br/>
      </w:r>
      <w:r>
        <w:rPr>
          <w:rStyle w:val="VerbatimChar"/>
        </w:rPr>
        <w:t>## 33.52479 38.30992</w:t>
      </w:r>
    </w:p>
    <w:p w14:paraId="2933F50F" w14:textId="77777777" w:rsidR="00285DF4" w:rsidRDefault="007833F7">
      <w:pPr>
        <w:pStyle w:val="FirstParagraph"/>
      </w:pPr>
      <w:r>
        <w:lastRenderedPageBreak/>
        <w:t xml:space="preserve">Figure 1: Bootstrap Distribution of Baseline UPDRS Score </w:t>
      </w:r>
      <w:r>
        <w:rPr>
          <w:noProof/>
        </w:rPr>
        <w:drawing>
          <wp:inline distT="0" distB="0" distL="0" distR="0" wp14:anchorId="20F89480" wp14:editId="7B65A9B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thods_Final_Project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62CF308" wp14:editId="05741EB3">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thods_Final_Project_files/figure-docx/unnamed-chunk-5-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94CFAE5" w14:textId="77777777" w:rsidR="00285DF4" w:rsidRDefault="007833F7">
      <w:pPr>
        <w:pStyle w:val="SourceCode"/>
      </w:pPr>
      <w:r>
        <w:rPr>
          <w:rStyle w:val="VerbatimChar"/>
        </w:rPr>
        <w:t>## [1] 31.88737</w:t>
      </w:r>
    </w:p>
    <w:p w14:paraId="2941F0BE" w14:textId="77777777" w:rsidR="00285DF4" w:rsidRDefault="007833F7">
      <w:pPr>
        <w:pStyle w:val="SourceCode"/>
      </w:pPr>
      <w:r>
        <w:rPr>
          <w:rStyle w:val="VerbatimChar"/>
        </w:rPr>
        <w:t>## [1] 36.84575</w:t>
      </w:r>
    </w:p>
    <w:p w14:paraId="61BD82C9" w14:textId="77777777" w:rsidR="00285DF4" w:rsidRDefault="007833F7">
      <w:pPr>
        <w:pStyle w:val="SourceCode"/>
      </w:pPr>
      <w:r>
        <w:rPr>
          <w:rStyle w:val="VerbatimChar"/>
        </w:rPr>
        <w:t>## [1] 0.02463</w:t>
      </w:r>
    </w:p>
    <w:p w14:paraId="3E4F4A16" w14:textId="77777777" w:rsidR="00285DF4" w:rsidRDefault="007833F7">
      <w:pPr>
        <w:pStyle w:val="SourceCode"/>
      </w:pPr>
      <w:r>
        <w:rPr>
          <w:rStyle w:val="VerbatimChar"/>
        </w:rPr>
        <w:t>## [1] 0.02539</w:t>
      </w:r>
    </w:p>
    <w:p w14:paraId="02DA0B82" w14:textId="77777777" w:rsidR="00285DF4" w:rsidRDefault="007833F7">
      <w:pPr>
        <w:pStyle w:val="SourceCode"/>
      </w:pPr>
      <w:r>
        <w:rPr>
          <w:rStyle w:val="VerbatimChar"/>
        </w:rPr>
        <w:t xml:space="preserve">##     2.5%    97.5% </w:t>
      </w:r>
      <w:r>
        <w:br/>
      </w:r>
      <w:r>
        <w:rPr>
          <w:rStyle w:val="VerbatimChar"/>
        </w:rPr>
        <w:t>## 31.89545 36.85500</w:t>
      </w:r>
    </w:p>
    <w:p w14:paraId="01F821B8" w14:textId="77777777" w:rsidR="00285DF4" w:rsidRDefault="007833F7">
      <w:pPr>
        <w:pStyle w:val="FirstParagraph"/>
      </w:pPr>
      <w:r>
        <w:lastRenderedPageBreak/>
        <w:t xml:space="preserve">Figure 2: Bootstrap Distribution of 4 Month UPDRS Score </w:t>
      </w:r>
      <w:r>
        <w:rPr>
          <w:noProof/>
        </w:rPr>
        <w:drawing>
          <wp:inline distT="0" distB="0" distL="0" distR="0" wp14:anchorId="52CA739F" wp14:editId="3BC2764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thods_Final_Project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E3F46C6" wp14:editId="4C8AE56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thods_Final_Project_files/figure-docx/unnamed-chunk-7-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73238C2" w14:textId="77777777" w:rsidR="00285DF4" w:rsidRDefault="007833F7">
      <w:pPr>
        <w:pStyle w:val="SourceCode"/>
      </w:pPr>
      <w:r>
        <w:rPr>
          <w:rStyle w:val="VerbatimChar"/>
        </w:rPr>
        <w:t>## [1] 33.58109</w:t>
      </w:r>
    </w:p>
    <w:p w14:paraId="4CB83BB2" w14:textId="77777777" w:rsidR="00285DF4" w:rsidRDefault="007833F7">
      <w:pPr>
        <w:pStyle w:val="SourceCode"/>
      </w:pPr>
      <w:r>
        <w:rPr>
          <w:rStyle w:val="VerbatimChar"/>
        </w:rPr>
        <w:t>## [1] 39.21805</w:t>
      </w:r>
    </w:p>
    <w:p w14:paraId="52D6E9F7" w14:textId="77777777" w:rsidR="00285DF4" w:rsidRDefault="007833F7">
      <w:pPr>
        <w:pStyle w:val="SourceCode"/>
      </w:pPr>
      <w:r>
        <w:rPr>
          <w:rStyle w:val="VerbatimChar"/>
        </w:rPr>
        <w:t>## [1] 0.0239</w:t>
      </w:r>
    </w:p>
    <w:p w14:paraId="19DA7B74" w14:textId="77777777" w:rsidR="00285DF4" w:rsidRDefault="007833F7">
      <w:pPr>
        <w:pStyle w:val="SourceCode"/>
      </w:pPr>
      <w:r>
        <w:rPr>
          <w:rStyle w:val="VerbatimChar"/>
        </w:rPr>
        <w:t>## [1] 0.02572</w:t>
      </w:r>
    </w:p>
    <w:p w14:paraId="6DBED8FF" w14:textId="77777777" w:rsidR="00285DF4" w:rsidRDefault="007833F7">
      <w:pPr>
        <w:pStyle w:val="SourceCode"/>
      </w:pPr>
      <w:r>
        <w:rPr>
          <w:rStyle w:val="VerbatimChar"/>
        </w:rPr>
        <w:t xml:space="preserve">##     2.5%    97.5% </w:t>
      </w:r>
      <w:r>
        <w:br/>
      </w:r>
      <w:r>
        <w:rPr>
          <w:rStyle w:val="VerbatimChar"/>
        </w:rPr>
        <w:t>## 33.60605 39.23159</w:t>
      </w:r>
    </w:p>
    <w:p w14:paraId="4D978FE5" w14:textId="77777777" w:rsidR="00285DF4" w:rsidRDefault="007833F7">
      <w:pPr>
        <w:pStyle w:val="FirstParagraph"/>
      </w:pPr>
      <w:r>
        <w:lastRenderedPageBreak/>
        <w:t xml:space="preserve">Figure 3: Bootstrap Distribution of 10 Month UPDRS Score </w:t>
      </w:r>
      <w:r>
        <w:rPr>
          <w:noProof/>
        </w:rPr>
        <w:drawing>
          <wp:inline distT="0" distB="0" distL="0" distR="0" wp14:anchorId="078EB713" wp14:editId="0911F88C">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thods_Final_Project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178BF85" wp14:editId="60580EA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thods_Final_Project_files/figure-docx/unnamed-chunk-9-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D731559" w14:textId="77777777" w:rsidR="002A6ADD" w:rsidRDefault="002A6ADD">
      <w:pPr>
        <w:pStyle w:val="BodyText"/>
      </w:pPr>
    </w:p>
    <w:p w14:paraId="4A781557" w14:textId="5BAD967D" w:rsidR="00285DF4" w:rsidRDefault="007833F7">
      <w:pPr>
        <w:pStyle w:val="BodyText"/>
      </w:pPr>
      <w:r>
        <w:t>Table 2a: Analysis of Variance Baseline to 4 Month UPDRS Score</w:t>
      </w:r>
    </w:p>
    <w:tbl>
      <w:tblPr>
        <w:tblStyle w:val="Table"/>
        <w:tblW w:w="0" w:type="pct"/>
        <w:tblLook w:val="07E0" w:firstRow="1" w:lastRow="1" w:firstColumn="1" w:lastColumn="1" w:noHBand="1" w:noVBand="1"/>
      </w:tblPr>
      <w:tblGrid>
        <w:gridCol w:w="1204"/>
        <w:gridCol w:w="615"/>
        <w:gridCol w:w="1329"/>
        <w:gridCol w:w="1196"/>
        <w:gridCol w:w="1196"/>
        <w:gridCol w:w="1329"/>
      </w:tblGrid>
      <w:tr w:rsidR="00285DF4" w14:paraId="5695985A" w14:textId="77777777">
        <w:tc>
          <w:tcPr>
            <w:tcW w:w="0" w:type="auto"/>
            <w:tcBorders>
              <w:bottom w:val="single" w:sz="0" w:space="0" w:color="auto"/>
            </w:tcBorders>
            <w:vAlign w:val="bottom"/>
          </w:tcPr>
          <w:p w14:paraId="7BD77994" w14:textId="77777777" w:rsidR="00285DF4" w:rsidRDefault="00285DF4"/>
        </w:tc>
        <w:tc>
          <w:tcPr>
            <w:tcW w:w="0" w:type="auto"/>
            <w:tcBorders>
              <w:bottom w:val="single" w:sz="0" w:space="0" w:color="auto"/>
            </w:tcBorders>
            <w:vAlign w:val="bottom"/>
          </w:tcPr>
          <w:p w14:paraId="14600DD7" w14:textId="77777777" w:rsidR="00285DF4" w:rsidRDefault="007833F7">
            <w:pPr>
              <w:pStyle w:val="Compact"/>
              <w:jc w:val="right"/>
            </w:pPr>
            <w:r>
              <w:t>Df</w:t>
            </w:r>
          </w:p>
        </w:tc>
        <w:tc>
          <w:tcPr>
            <w:tcW w:w="0" w:type="auto"/>
            <w:tcBorders>
              <w:bottom w:val="single" w:sz="0" w:space="0" w:color="auto"/>
            </w:tcBorders>
            <w:vAlign w:val="bottom"/>
          </w:tcPr>
          <w:p w14:paraId="43FFBA4F" w14:textId="77777777" w:rsidR="00285DF4" w:rsidRDefault="007833F7">
            <w:pPr>
              <w:pStyle w:val="Compact"/>
              <w:jc w:val="right"/>
            </w:pPr>
            <w:r>
              <w:t>Sum Sq</w:t>
            </w:r>
          </w:p>
        </w:tc>
        <w:tc>
          <w:tcPr>
            <w:tcW w:w="0" w:type="auto"/>
            <w:tcBorders>
              <w:bottom w:val="single" w:sz="0" w:space="0" w:color="auto"/>
            </w:tcBorders>
            <w:vAlign w:val="bottom"/>
          </w:tcPr>
          <w:p w14:paraId="449B544C" w14:textId="77777777" w:rsidR="00285DF4" w:rsidRDefault="007833F7">
            <w:pPr>
              <w:pStyle w:val="Compact"/>
              <w:jc w:val="right"/>
            </w:pPr>
            <w:r>
              <w:t>Mean Sq</w:t>
            </w:r>
          </w:p>
        </w:tc>
        <w:tc>
          <w:tcPr>
            <w:tcW w:w="0" w:type="auto"/>
            <w:tcBorders>
              <w:bottom w:val="single" w:sz="0" w:space="0" w:color="auto"/>
            </w:tcBorders>
            <w:vAlign w:val="bottom"/>
          </w:tcPr>
          <w:p w14:paraId="15FDBB28" w14:textId="77777777" w:rsidR="00285DF4" w:rsidRDefault="007833F7">
            <w:pPr>
              <w:pStyle w:val="Compact"/>
              <w:jc w:val="right"/>
            </w:pPr>
            <w:r>
              <w:t>F value</w:t>
            </w:r>
          </w:p>
        </w:tc>
        <w:tc>
          <w:tcPr>
            <w:tcW w:w="0" w:type="auto"/>
            <w:tcBorders>
              <w:bottom w:val="single" w:sz="0" w:space="0" w:color="auto"/>
            </w:tcBorders>
            <w:vAlign w:val="bottom"/>
          </w:tcPr>
          <w:p w14:paraId="4201B550" w14:textId="77777777" w:rsidR="00285DF4" w:rsidRDefault="007833F7">
            <w:pPr>
              <w:pStyle w:val="Compact"/>
              <w:jc w:val="right"/>
            </w:pPr>
            <w:r>
              <w:t>Pr(&gt;F)</w:t>
            </w:r>
          </w:p>
        </w:tc>
      </w:tr>
      <w:tr w:rsidR="00285DF4" w14:paraId="54ABC61B" w14:textId="77777777">
        <w:tc>
          <w:tcPr>
            <w:tcW w:w="0" w:type="auto"/>
          </w:tcPr>
          <w:p w14:paraId="440289D0" w14:textId="77777777" w:rsidR="00285DF4" w:rsidRDefault="007833F7">
            <w:pPr>
              <w:pStyle w:val="Compact"/>
            </w:pPr>
            <w:r>
              <w:t>Group</w:t>
            </w:r>
          </w:p>
        </w:tc>
        <w:tc>
          <w:tcPr>
            <w:tcW w:w="0" w:type="auto"/>
          </w:tcPr>
          <w:p w14:paraId="306DD797" w14:textId="77777777" w:rsidR="00285DF4" w:rsidRDefault="007833F7">
            <w:pPr>
              <w:pStyle w:val="Compact"/>
              <w:jc w:val="right"/>
            </w:pPr>
            <w:r>
              <w:t>2</w:t>
            </w:r>
          </w:p>
        </w:tc>
        <w:tc>
          <w:tcPr>
            <w:tcW w:w="0" w:type="auto"/>
          </w:tcPr>
          <w:p w14:paraId="00F48C55" w14:textId="77777777" w:rsidR="00285DF4" w:rsidRDefault="007833F7">
            <w:pPr>
              <w:pStyle w:val="Compact"/>
              <w:jc w:val="right"/>
            </w:pPr>
            <w:r>
              <w:t>175.4829</w:t>
            </w:r>
          </w:p>
        </w:tc>
        <w:tc>
          <w:tcPr>
            <w:tcW w:w="0" w:type="auto"/>
          </w:tcPr>
          <w:p w14:paraId="40B84F80" w14:textId="77777777" w:rsidR="00285DF4" w:rsidRDefault="007833F7">
            <w:pPr>
              <w:pStyle w:val="Compact"/>
              <w:jc w:val="right"/>
            </w:pPr>
            <w:r>
              <w:t>87.74146</w:t>
            </w:r>
          </w:p>
        </w:tc>
        <w:tc>
          <w:tcPr>
            <w:tcW w:w="0" w:type="auto"/>
          </w:tcPr>
          <w:p w14:paraId="79CECB4C" w14:textId="77777777" w:rsidR="00285DF4" w:rsidRDefault="007833F7">
            <w:pPr>
              <w:pStyle w:val="Compact"/>
              <w:jc w:val="right"/>
            </w:pPr>
            <w:r>
              <w:t>1.553791</w:t>
            </w:r>
          </w:p>
        </w:tc>
        <w:tc>
          <w:tcPr>
            <w:tcW w:w="0" w:type="auto"/>
          </w:tcPr>
          <w:p w14:paraId="0D5A1A33" w14:textId="77777777" w:rsidR="00285DF4" w:rsidRDefault="007833F7">
            <w:pPr>
              <w:pStyle w:val="Compact"/>
              <w:jc w:val="right"/>
            </w:pPr>
            <w:r>
              <w:t>0.2164075</w:t>
            </w:r>
          </w:p>
        </w:tc>
      </w:tr>
      <w:tr w:rsidR="00285DF4" w14:paraId="39AEEE7D" w14:textId="77777777">
        <w:tc>
          <w:tcPr>
            <w:tcW w:w="0" w:type="auto"/>
          </w:tcPr>
          <w:p w14:paraId="5CDBE0C2" w14:textId="77777777" w:rsidR="00285DF4" w:rsidRDefault="007833F7">
            <w:pPr>
              <w:pStyle w:val="Compact"/>
            </w:pPr>
            <w:r>
              <w:t>Residuals</w:t>
            </w:r>
          </w:p>
        </w:tc>
        <w:tc>
          <w:tcPr>
            <w:tcW w:w="0" w:type="auto"/>
          </w:tcPr>
          <w:p w14:paraId="7A4A6257" w14:textId="77777777" w:rsidR="00285DF4" w:rsidRDefault="007833F7">
            <w:pPr>
              <w:pStyle w:val="Compact"/>
              <w:jc w:val="right"/>
            </w:pPr>
            <w:r>
              <w:t>102</w:t>
            </w:r>
          </w:p>
        </w:tc>
        <w:tc>
          <w:tcPr>
            <w:tcW w:w="0" w:type="auto"/>
          </w:tcPr>
          <w:p w14:paraId="12ABAB14" w14:textId="77777777" w:rsidR="00285DF4" w:rsidRDefault="007833F7">
            <w:pPr>
              <w:pStyle w:val="Compact"/>
              <w:jc w:val="right"/>
            </w:pPr>
            <w:r>
              <w:t>5759.8647</w:t>
            </w:r>
          </w:p>
        </w:tc>
        <w:tc>
          <w:tcPr>
            <w:tcW w:w="0" w:type="auto"/>
          </w:tcPr>
          <w:p w14:paraId="5ECEE153" w14:textId="77777777" w:rsidR="00285DF4" w:rsidRDefault="007833F7">
            <w:pPr>
              <w:pStyle w:val="Compact"/>
              <w:jc w:val="right"/>
            </w:pPr>
            <w:r>
              <w:t>56.46926</w:t>
            </w:r>
          </w:p>
        </w:tc>
        <w:tc>
          <w:tcPr>
            <w:tcW w:w="0" w:type="auto"/>
          </w:tcPr>
          <w:p w14:paraId="41A71CCC" w14:textId="77777777" w:rsidR="00285DF4" w:rsidRDefault="007833F7">
            <w:pPr>
              <w:pStyle w:val="Compact"/>
              <w:jc w:val="right"/>
            </w:pPr>
            <w:r>
              <w:t>NA</w:t>
            </w:r>
          </w:p>
        </w:tc>
        <w:tc>
          <w:tcPr>
            <w:tcW w:w="0" w:type="auto"/>
          </w:tcPr>
          <w:p w14:paraId="43088A50" w14:textId="77777777" w:rsidR="00285DF4" w:rsidRDefault="007833F7">
            <w:pPr>
              <w:pStyle w:val="Compact"/>
              <w:jc w:val="right"/>
            </w:pPr>
            <w:r>
              <w:t>NA</w:t>
            </w:r>
          </w:p>
        </w:tc>
      </w:tr>
    </w:tbl>
    <w:p w14:paraId="06FFF992" w14:textId="77777777" w:rsidR="00DB1FF0" w:rsidRDefault="00DB1FF0">
      <w:pPr>
        <w:pStyle w:val="BodyText"/>
      </w:pPr>
    </w:p>
    <w:p w14:paraId="524CE39F" w14:textId="77777777" w:rsidR="003173F6" w:rsidRDefault="003173F6">
      <w:pPr>
        <w:pStyle w:val="BodyText"/>
      </w:pPr>
    </w:p>
    <w:p w14:paraId="25160672" w14:textId="704997AE" w:rsidR="00285DF4" w:rsidRDefault="007833F7">
      <w:pPr>
        <w:pStyle w:val="BodyText"/>
      </w:pPr>
      <w:r>
        <w:t>Table 2b: Analysis of Variance Baseline to 10 Month UPDRS Score</w:t>
      </w:r>
    </w:p>
    <w:tbl>
      <w:tblPr>
        <w:tblStyle w:val="Table"/>
        <w:tblW w:w="0" w:type="pct"/>
        <w:tblLook w:val="07E0" w:firstRow="1" w:lastRow="1" w:firstColumn="1" w:lastColumn="1" w:noHBand="1" w:noVBand="1"/>
      </w:tblPr>
      <w:tblGrid>
        <w:gridCol w:w="1204"/>
        <w:gridCol w:w="482"/>
        <w:gridCol w:w="1329"/>
        <w:gridCol w:w="1196"/>
        <w:gridCol w:w="1196"/>
        <w:gridCol w:w="1196"/>
      </w:tblGrid>
      <w:tr w:rsidR="00285DF4" w14:paraId="122BFF64" w14:textId="77777777">
        <w:tc>
          <w:tcPr>
            <w:tcW w:w="0" w:type="auto"/>
            <w:tcBorders>
              <w:bottom w:val="single" w:sz="0" w:space="0" w:color="auto"/>
            </w:tcBorders>
            <w:vAlign w:val="bottom"/>
          </w:tcPr>
          <w:p w14:paraId="590203ED" w14:textId="77777777" w:rsidR="00285DF4" w:rsidRDefault="00285DF4"/>
        </w:tc>
        <w:tc>
          <w:tcPr>
            <w:tcW w:w="0" w:type="auto"/>
            <w:tcBorders>
              <w:bottom w:val="single" w:sz="0" w:space="0" w:color="auto"/>
            </w:tcBorders>
            <w:vAlign w:val="bottom"/>
          </w:tcPr>
          <w:p w14:paraId="3D5D83FF" w14:textId="77777777" w:rsidR="00285DF4" w:rsidRDefault="007833F7">
            <w:pPr>
              <w:pStyle w:val="Compact"/>
              <w:jc w:val="right"/>
            </w:pPr>
            <w:r>
              <w:t>Df</w:t>
            </w:r>
          </w:p>
        </w:tc>
        <w:tc>
          <w:tcPr>
            <w:tcW w:w="0" w:type="auto"/>
            <w:tcBorders>
              <w:bottom w:val="single" w:sz="0" w:space="0" w:color="auto"/>
            </w:tcBorders>
            <w:vAlign w:val="bottom"/>
          </w:tcPr>
          <w:p w14:paraId="479DB2DD" w14:textId="77777777" w:rsidR="00285DF4" w:rsidRDefault="007833F7">
            <w:pPr>
              <w:pStyle w:val="Compact"/>
              <w:jc w:val="right"/>
            </w:pPr>
            <w:r>
              <w:t>Sum Sq</w:t>
            </w:r>
          </w:p>
        </w:tc>
        <w:tc>
          <w:tcPr>
            <w:tcW w:w="0" w:type="auto"/>
            <w:tcBorders>
              <w:bottom w:val="single" w:sz="0" w:space="0" w:color="auto"/>
            </w:tcBorders>
            <w:vAlign w:val="bottom"/>
          </w:tcPr>
          <w:p w14:paraId="07E3B157" w14:textId="77777777" w:rsidR="00285DF4" w:rsidRDefault="007833F7">
            <w:pPr>
              <w:pStyle w:val="Compact"/>
              <w:jc w:val="right"/>
            </w:pPr>
            <w:r>
              <w:t>Mean Sq</w:t>
            </w:r>
          </w:p>
        </w:tc>
        <w:tc>
          <w:tcPr>
            <w:tcW w:w="0" w:type="auto"/>
            <w:tcBorders>
              <w:bottom w:val="single" w:sz="0" w:space="0" w:color="auto"/>
            </w:tcBorders>
            <w:vAlign w:val="bottom"/>
          </w:tcPr>
          <w:p w14:paraId="4516FD0B" w14:textId="77777777" w:rsidR="00285DF4" w:rsidRDefault="007833F7">
            <w:pPr>
              <w:pStyle w:val="Compact"/>
              <w:jc w:val="right"/>
            </w:pPr>
            <w:r>
              <w:t>F value</w:t>
            </w:r>
          </w:p>
        </w:tc>
        <w:tc>
          <w:tcPr>
            <w:tcW w:w="0" w:type="auto"/>
            <w:tcBorders>
              <w:bottom w:val="single" w:sz="0" w:space="0" w:color="auto"/>
            </w:tcBorders>
            <w:vAlign w:val="bottom"/>
          </w:tcPr>
          <w:p w14:paraId="1DF66FCE" w14:textId="77777777" w:rsidR="00285DF4" w:rsidRDefault="007833F7">
            <w:pPr>
              <w:pStyle w:val="Compact"/>
              <w:jc w:val="right"/>
            </w:pPr>
            <w:r>
              <w:t>Pr(&gt;F)</w:t>
            </w:r>
          </w:p>
        </w:tc>
      </w:tr>
      <w:tr w:rsidR="00285DF4" w14:paraId="64A27DF3" w14:textId="77777777">
        <w:tc>
          <w:tcPr>
            <w:tcW w:w="0" w:type="auto"/>
          </w:tcPr>
          <w:p w14:paraId="3CF152BB" w14:textId="77777777" w:rsidR="00285DF4" w:rsidRDefault="007833F7">
            <w:pPr>
              <w:pStyle w:val="Compact"/>
            </w:pPr>
            <w:r>
              <w:t>Group</w:t>
            </w:r>
          </w:p>
        </w:tc>
        <w:tc>
          <w:tcPr>
            <w:tcW w:w="0" w:type="auto"/>
          </w:tcPr>
          <w:p w14:paraId="10FF9AA4" w14:textId="77777777" w:rsidR="00285DF4" w:rsidRDefault="007833F7">
            <w:pPr>
              <w:pStyle w:val="Compact"/>
              <w:jc w:val="right"/>
            </w:pPr>
            <w:r>
              <w:t>2</w:t>
            </w:r>
          </w:p>
        </w:tc>
        <w:tc>
          <w:tcPr>
            <w:tcW w:w="0" w:type="auto"/>
          </w:tcPr>
          <w:p w14:paraId="38DC3CBA" w14:textId="77777777" w:rsidR="00285DF4" w:rsidRDefault="007833F7">
            <w:pPr>
              <w:pStyle w:val="Compact"/>
              <w:jc w:val="right"/>
            </w:pPr>
            <w:r>
              <w:t>147.9826</w:t>
            </w:r>
          </w:p>
        </w:tc>
        <w:tc>
          <w:tcPr>
            <w:tcW w:w="0" w:type="auto"/>
          </w:tcPr>
          <w:p w14:paraId="7412796B" w14:textId="77777777" w:rsidR="00285DF4" w:rsidRDefault="007833F7">
            <w:pPr>
              <w:pStyle w:val="Compact"/>
              <w:jc w:val="right"/>
            </w:pPr>
            <w:r>
              <w:t>73.99131</w:t>
            </w:r>
          </w:p>
        </w:tc>
        <w:tc>
          <w:tcPr>
            <w:tcW w:w="0" w:type="auto"/>
          </w:tcPr>
          <w:p w14:paraId="03C8F383" w14:textId="77777777" w:rsidR="00285DF4" w:rsidRDefault="007833F7">
            <w:pPr>
              <w:pStyle w:val="Compact"/>
              <w:jc w:val="right"/>
            </w:pPr>
            <w:r>
              <w:t>0.794578</w:t>
            </w:r>
          </w:p>
        </w:tc>
        <w:tc>
          <w:tcPr>
            <w:tcW w:w="0" w:type="auto"/>
          </w:tcPr>
          <w:p w14:paraId="4F32A2F5" w14:textId="77777777" w:rsidR="00285DF4" w:rsidRDefault="007833F7">
            <w:pPr>
              <w:pStyle w:val="Compact"/>
              <w:jc w:val="right"/>
            </w:pPr>
            <w:r>
              <w:t>0.454751</w:t>
            </w:r>
          </w:p>
        </w:tc>
      </w:tr>
      <w:tr w:rsidR="00285DF4" w14:paraId="02D8D885" w14:textId="77777777">
        <w:tc>
          <w:tcPr>
            <w:tcW w:w="0" w:type="auto"/>
          </w:tcPr>
          <w:p w14:paraId="48C6B12A" w14:textId="77777777" w:rsidR="00285DF4" w:rsidRDefault="007833F7">
            <w:pPr>
              <w:pStyle w:val="Compact"/>
            </w:pPr>
            <w:r>
              <w:t>Residuals</w:t>
            </w:r>
          </w:p>
        </w:tc>
        <w:tc>
          <w:tcPr>
            <w:tcW w:w="0" w:type="auto"/>
          </w:tcPr>
          <w:p w14:paraId="09876297" w14:textId="77777777" w:rsidR="00285DF4" w:rsidRDefault="007833F7">
            <w:pPr>
              <w:pStyle w:val="Compact"/>
              <w:jc w:val="right"/>
            </w:pPr>
            <w:r>
              <w:t>95</w:t>
            </w:r>
          </w:p>
        </w:tc>
        <w:tc>
          <w:tcPr>
            <w:tcW w:w="0" w:type="auto"/>
          </w:tcPr>
          <w:p w14:paraId="29DDF587" w14:textId="77777777" w:rsidR="00285DF4" w:rsidRDefault="007833F7">
            <w:pPr>
              <w:pStyle w:val="Compact"/>
              <w:jc w:val="right"/>
            </w:pPr>
            <w:r>
              <w:t>8846.4255</w:t>
            </w:r>
          </w:p>
        </w:tc>
        <w:tc>
          <w:tcPr>
            <w:tcW w:w="0" w:type="auto"/>
          </w:tcPr>
          <w:p w14:paraId="4320F823" w14:textId="77777777" w:rsidR="00285DF4" w:rsidRDefault="007833F7">
            <w:pPr>
              <w:pStyle w:val="Compact"/>
              <w:jc w:val="right"/>
            </w:pPr>
            <w:r>
              <w:t>93.12027</w:t>
            </w:r>
          </w:p>
        </w:tc>
        <w:tc>
          <w:tcPr>
            <w:tcW w:w="0" w:type="auto"/>
          </w:tcPr>
          <w:p w14:paraId="62DC241D" w14:textId="77777777" w:rsidR="00285DF4" w:rsidRDefault="007833F7">
            <w:pPr>
              <w:pStyle w:val="Compact"/>
              <w:jc w:val="right"/>
            </w:pPr>
            <w:r>
              <w:t>NA</w:t>
            </w:r>
          </w:p>
        </w:tc>
        <w:tc>
          <w:tcPr>
            <w:tcW w:w="0" w:type="auto"/>
          </w:tcPr>
          <w:p w14:paraId="32625EBA" w14:textId="77777777" w:rsidR="00285DF4" w:rsidRDefault="007833F7">
            <w:pPr>
              <w:pStyle w:val="Compact"/>
              <w:jc w:val="right"/>
            </w:pPr>
            <w:r>
              <w:t>NA</w:t>
            </w:r>
          </w:p>
        </w:tc>
      </w:tr>
    </w:tbl>
    <w:p w14:paraId="7322F8FB" w14:textId="77777777" w:rsidR="00DB1FF0" w:rsidRDefault="00DB1FF0">
      <w:pPr>
        <w:pStyle w:val="BodyText"/>
      </w:pPr>
    </w:p>
    <w:p w14:paraId="500402A5" w14:textId="77777777" w:rsidR="00800049" w:rsidRDefault="00800049">
      <w:pPr>
        <w:pStyle w:val="BodyText"/>
      </w:pPr>
    </w:p>
    <w:p w14:paraId="53F71CB7" w14:textId="2D988A72" w:rsidR="00285DF4" w:rsidRDefault="007833F7">
      <w:pPr>
        <w:pStyle w:val="BodyText"/>
      </w:pPr>
      <w:r>
        <w:lastRenderedPageBreak/>
        <w:t>Table 3a: Parameter Estimates Baseline to 4 Month UPDRS Score</w:t>
      </w:r>
    </w:p>
    <w:tbl>
      <w:tblPr>
        <w:tblStyle w:val="Table"/>
        <w:tblW w:w="0" w:type="pct"/>
        <w:tblLook w:val="07E0" w:firstRow="1" w:lastRow="1" w:firstColumn="1" w:lastColumn="1" w:noHBand="1" w:noVBand="1"/>
      </w:tblPr>
      <w:tblGrid>
        <w:gridCol w:w="1347"/>
        <w:gridCol w:w="1276"/>
        <w:gridCol w:w="1196"/>
        <w:gridCol w:w="1409"/>
        <w:gridCol w:w="1329"/>
      </w:tblGrid>
      <w:tr w:rsidR="00285DF4" w14:paraId="016C0962" w14:textId="77777777">
        <w:tc>
          <w:tcPr>
            <w:tcW w:w="0" w:type="auto"/>
            <w:tcBorders>
              <w:bottom w:val="single" w:sz="0" w:space="0" w:color="auto"/>
            </w:tcBorders>
            <w:vAlign w:val="bottom"/>
          </w:tcPr>
          <w:p w14:paraId="4A156D60" w14:textId="77777777" w:rsidR="00285DF4" w:rsidRDefault="007833F7">
            <w:pPr>
              <w:pStyle w:val="Compact"/>
            </w:pPr>
            <w:r>
              <w:t>term</w:t>
            </w:r>
          </w:p>
        </w:tc>
        <w:tc>
          <w:tcPr>
            <w:tcW w:w="0" w:type="auto"/>
            <w:tcBorders>
              <w:bottom w:val="single" w:sz="0" w:space="0" w:color="auto"/>
            </w:tcBorders>
            <w:vAlign w:val="bottom"/>
          </w:tcPr>
          <w:p w14:paraId="3311E500" w14:textId="77777777" w:rsidR="00285DF4" w:rsidRDefault="007833F7">
            <w:pPr>
              <w:pStyle w:val="Compact"/>
              <w:jc w:val="right"/>
            </w:pPr>
            <w:r>
              <w:t>estimate</w:t>
            </w:r>
          </w:p>
        </w:tc>
        <w:tc>
          <w:tcPr>
            <w:tcW w:w="0" w:type="auto"/>
            <w:tcBorders>
              <w:bottom w:val="single" w:sz="0" w:space="0" w:color="auto"/>
            </w:tcBorders>
            <w:vAlign w:val="bottom"/>
          </w:tcPr>
          <w:p w14:paraId="508B04C5" w14:textId="77777777" w:rsidR="00285DF4" w:rsidRDefault="007833F7">
            <w:pPr>
              <w:pStyle w:val="Compact"/>
              <w:jc w:val="right"/>
            </w:pPr>
            <w:r>
              <w:t>std.error</w:t>
            </w:r>
          </w:p>
        </w:tc>
        <w:tc>
          <w:tcPr>
            <w:tcW w:w="0" w:type="auto"/>
            <w:tcBorders>
              <w:bottom w:val="single" w:sz="0" w:space="0" w:color="auto"/>
            </w:tcBorders>
            <w:vAlign w:val="bottom"/>
          </w:tcPr>
          <w:p w14:paraId="0042D642" w14:textId="77777777" w:rsidR="00285DF4" w:rsidRDefault="007833F7">
            <w:pPr>
              <w:pStyle w:val="Compact"/>
              <w:jc w:val="right"/>
            </w:pPr>
            <w:r>
              <w:t>statistic</w:t>
            </w:r>
          </w:p>
        </w:tc>
        <w:tc>
          <w:tcPr>
            <w:tcW w:w="0" w:type="auto"/>
            <w:tcBorders>
              <w:bottom w:val="single" w:sz="0" w:space="0" w:color="auto"/>
            </w:tcBorders>
            <w:vAlign w:val="bottom"/>
          </w:tcPr>
          <w:p w14:paraId="1F22498B" w14:textId="77777777" w:rsidR="00285DF4" w:rsidRDefault="007833F7">
            <w:pPr>
              <w:pStyle w:val="Compact"/>
              <w:jc w:val="right"/>
            </w:pPr>
            <w:r>
              <w:t>p.value</w:t>
            </w:r>
          </w:p>
        </w:tc>
      </w:tr>
      <w:tr w:rsidR="00285DF4" w14:paraId="36594A3F" w14:textId="77777777">
        <w:tc>
          <w:tcPr>
            <w:tcW w:w="0" w:type="auto"/>
          </w:tcPr>
          <w:p w14:paraId="28B092B9" w14:textId="77777777" w:rsidR="00285DF4" w:rsidRDefault="007833F7">
            <w:pPr>
              <w:pStyle w:val="Compact"/>
            </w:pPr>
            <w:r>
              <w:t>(Intercept)</w:t>
            </w:r>
          </w:p>
        </w:tc>
        <w:tc>
          <w:tcPr>
            <w:tcW w:w="0" w:type="auto"/>
          </w:tcPr>
          <w:p w14:paraId="18F99DCD" w14:textId="77777777" w:rsidR="00285DF4" w:rsidRDefault="007833F7">
            <w:pPr>
              <w:pStyle w:val="Compact"/>
              <w:jc w:val="right"/>
            </w:pPr>
            <w:r>
              <w:t>-1.852941</w:t>
            </w:r>
          </w:p>
        </w:tc>
        <w:tc>
          <w:tcPr>
            <w:tcW w:w="0" w:type="auto"/>
          </w:tcPr>
          <w:p w14:paraId="3B27713D" w14:textId="77777777" w:rsidR="00285DF4" w:rsidRDefault="007833F7">
            <w:pPr>
              <w:pStyle w:val="Compact"/>
              <w:jc w:val="right"/>
            </w:pPr>
            <w:r>
              <w:t>1.288744</w:t>
            </w:r>
          </w:p>
        </w:tc>
        <w:tc>
          <w:tcPr>
            <w:tcW w:w="0" w:type="auto"/>
          </w:tcPr>
          <w:p w14:paraId="73301659" w14:textId="77777777" w:rsidR="00285DF4" w:rsidRDefault="007833F7">
            <w:pPr>
              <w:pStyle w:val="Compact"/>
              <w:jc w:val="right"/>
            </w:pPr>
            <w:r>
              <w:t>-1.4377886</w:t>
            </w:r>
          </w:p>
        </w:tc>
        <w:tc>
          <w:tcPr>
            <w:tcW w:w="0" w:type="auto"/>
          </w:tcPr>
          <w:p w14:paraId="16D64D1F" w14:textId="77777777" w:rsidR="00285DF4" w:rsidRDefault="007833F7">
            <w:pPr>
              <w:pStyle w:val="Compact"/>
              <w:jc w:val="right"/>
            </w:pPr>
            <w:r>
              <w:t>0.1535550</w:t>
            </w:r>
          </w:p>
        </w:tc>
      </w:tr>
      <w:tr w:rsidR="00285DF4" w14:paraId="0C0B8443" w14:textId="77777777">
        <w:tc>
          <w:tcPr>
            <w:tcW w:w="0" w:type="auto"/>
          </w:tcPr>
          <w:p w14:paraId="1A821E44" w14:textId="77777777" w:rsidR="00285DF4" w:rsidRDefault="007833F7">
            <w:pPr>
              <w:pStyle w:val="Compact"/>
            </w:pPr>
            <w:r>
              <w:t>GroupCON</w:t>
            </w:r>
          </w:p>
        </w:tc>
        <w:tc>
          <w:tcPr>
            <w:tcW w:w="0" w:type="auto"/>
          </w:tcPr>
          <w:p w14:paraId="0CCFE635" w14:textId="77777777" w:rsidR="00285DF4" w:rsidRDefault="007833F7">
            <w:pPr>
              <w:pStyle w:val="Compact"/>
              <w:jc w:val="right"/>
            </w:pPr>
            <w:r>
              <w:t>3.152941</w:t>
            </w:r>
          </w:p>
        </w:tc>
        <w:tc>
          <w:tcPr>
            <w:tcW w:w="0" w:type="auto"/>
          </w:tcPr>
          <w:p w14:paraId="1EBF2804" w14:textId="77777777" w:rsidR="00285DF4" w:rsidRDefault="007833F7">
            <w:pPr>
              <w:pStyle w:val="Compact"/>
              <w:jc w:val="right"/>
            </w:pPr>
            <w:r>
              <w:t>1.809494</w:t>
            </w:r>
          </w:p>
        </w:tc>
        <w:tc>
          <w:tcPr>
            <w:tcW w:w="0" w:type="auto"/>
          </w:tcPr>
          <w:p w14:paraId="266EF41A" w14:textId="77777777" w:rsidR="00285DF4" w:rsidRDefault="007833F7">
            <w:pPr>
              <w:pStyle w:val="Compact"/>
              <w:jc w:val="right"/>
            </w:pPr>
            <w:r>
              <w:t>1.7424437</w:t>
            </w:r>
          </w:p>
        </w:tc>
        <w:tc>
          <w:tcPr>
            <w:tcW w:w="0" w:type="auto"/>
          </w:tcPr>
          <w:p w14:paraId="09974A56" w14:textId="77777777" w:rsidR="00285DF4" w:rsidRDefault="007833F7">
            <w:pPr>
              <w:pStyle w:val="Compact"/>
              <w:jc w:val="right"/>
            </w:pPr>
            <w:r>
              <w:t>0.0844449</w:t>
            </w:r>
          </w:p>
        </w:tc>
      </w:tr>
      <w:tr w:rsidR="00285DF4" w14:paraId="0D1AEA01" w14:textId="77777777">
        <w:tc>
          <w:tcPr>
            <w:tcW w:w="0" w:type="auto"/>
          </w:tcPr>
          <w:p w14:paraId="30DDA89A" w14:textId="77777777" w:rsidR="00285DF4" w:rsidRDefault="007833F7">
            <w:pPr>
              <w:pStyle w:val="Compact"/>
            </w:pPr>
            <w:r>
              <w:t>GroupFBF</w:t>
            </w:r>
          </w:p>
        </w:tc>
        <w:tc>
          <w:tcPr>
            <w:tcW w:w="0" w:type="auto"/>
          </w:tcPr>
          <w:p w14:paraId="4299E081" w14:textId="77777777" w:rsidR="00285DF4" w:rsidRDefault="007833F7">
            <w:pPr>
              <w:pStyle w:val="Compact"/>
              <w:jc w:val="right"/>
            </w:pPr>
            <w:r>
              <w:t>1.186274</w:t>
            </w:r>
          </w:p>
        </w:tc>
        <w:tc>
          <w:tcPr>
            <w:tcW w:w="0" w:type="auto"/>
          </w:tcPr>
          <w:p w14:paraId="2446966C" w14:textId="77777777" w:rsidR="00285DF4" w:rsidRDefault="007833F7">
            <w:pPr>
              <w:pStyle w:val="Compact"/>
              <w:jc w:val="right"/>
            </w:pPr>
            <w:r>
              <w:t>1.797067</w:t>
            </w:r>
          </w:p>
        </w:tc>
        <w:tc>
          <w:tcPr>
            <w:tcW w:w="0" w:type="auto"/>
          </w:tcPr>
          <w:p w14:paraId="430573BE" w14:textId="77777777" w:rsidR="00285DF4" w:rsidRDefault="007833F7">
            <w:pPr>
              <w:pStyle w:val="Compact"/>
              <w:jc w:val="right"/>
            </w:pPr>
            <w:r>
              <w:t>0.6601169</w:t>
            </w:r>
          </w:p>
        </w:tc>
        <w:tc>
          <w:tcPr>
            <w:tcW w:w="0" w:type="auto"/>
          </w:tcPr>
          <w:p w14:paraId="433616F1" w14:textId="77777777" w:rsidR="00285DF4" w:rsidRDefault="007833F7">
            <w:pPr>
              <w:pStyle w:val="Compact"/>
              <w:jc w:val="right"/>
            </w:pPr>
            <w:r>
              <w:t>0.5106668</w:t>
            </w:r>
          </w:p>
        </w:tc>
      </w:tr>
    </w:tbl>
    <w:p w14:paraId="5147E317" w14:textId="77777777" w:rsidR="00DF7A14" w:rsidRDefault="00DF7A14">
      <w:pPr>
        <w:pStyle w:val="BodyText"/>
      </w:pPr>
    </w:p>
    <w:p w14:paraId="1A815BA9" w14:textId="77777777" w:rsidR="00DF7A14" w:rsidRDefault="00DF7A14">
      <w:pPr>
        <w:pStyle w:val="BodyText"/>
      </w:pPr>
    </w:p>
    <w:p w14:paraId="5C8FE2A8" w14:textId="4DDFB721" w:rsidR="00285DF4" w:rsidRDefault="007833F7">
      <w:pPr>
        <w:pStyle w:val="BodyText"/>
      </w:pPr>
      <w:bookmarkStart w:id="5" w:name="_GoBack"/>
      <w:bookmarkEnd w:id="5"/>
      <w:r>
        <w:t>Table 3b: Parameter Estimates Baseline to 10 Month UPDRS Score</w:t>
      </w:r>
    </w:p>
    <w:tbl>
      <w:tblPr>
        <w:tblStyle w:val="Table"/>
        <w:tblW w:w="0" w:type="pct"/>
        <w:tblLook w:val="07E0" w:firstRow="1" w:lastRow="1" w:firstColumn="1" w:lastColumn="1" w:noHBand="1" w:noVBand="1"/>
      </w:tblPr>
      <w:tblGrid>
        <w:gridCol w:w="1347"/>
        <w:gridCol w:w="1276"/>
        <w:gridCol w:w="1196"/>
        <w:gridCol w:w="1409"/>
        <w:gridCol w:w="1329"/>
      </w:tblGrid>
      <w:tr w:rsidR="00285DF4" w14:paraId="63973E1D" w14:textId="77777777">
        <w:tc>
          <w:tcPr>
            <w:tcW w:w="0" w:type="auto"/>
            <w:tcBorders>
              <w:bottom w:val="single" w:sz="0" w:space="0" w:color="auto"/>
            </w:tcBorders>
            <w:vAlign w:val="bottom"/>
          </w:tcPr>
          <w:p w14:paraId="16F72D03" w14:textId="77777777" w:rsidR="00285DF4" w:rsidRDefault="007833F7">
            <w:pPr>
              <w:pStyle w:val="Compact"/>
            </w:pPr>
            <w:r>
              <w:t>term</w:t>
            </w:r>
          </w:p>
        </w:tc>
        <w:tc>
          <w:tcPr>
            <w:tcW w:w="0" w:type="auto"/>
            <w:tcBorders>
              <w:bottom w:val="single" w:sz="0" w:space="0" w:color="auto"/>
            </w:tcBorders>
            <w:vAlign w:val="bottom"/>
          </w:tcPr>
          <w:p w14:paraId="238687BC" w14:textId="77777777" w:rsidR="00285DF4" w:rsidRDefault="007833F7">
            <w:pPr>
              <w:pStyle w:val="Compact"/>
              <w:jc w:val="right"/>
            </w:pPr>
            <w:r>
              <w:t>estimate</w:t>
            </w:r>
          </w:p>
        </w:tc>
        <w:tc>
          <w:tcPr>
            <w:tcW w:w="0" w:type="auto"/>
            <w:tcBorders>
              <w:bottom w:val="single" w:sz="0" w:space="0" w:color="auto"/>
            </w:tcBorders>
            <w:vAlign w:val="bottom"/>
          </w:tcPr>
          <w:p w14:paraId="7B12013F" w14:textId="77777777" w:rsidR="00285DF4" w:rsidRDefault="007833F7">
            <w:pPr>
              <w:pStyle w:val="Compact"/>
              <w:jc w:val="right"/>
            </w:pPr>
            <w:r>
              <w:t>std.error</w:t>
            </w:r>
          </w:p>
        </w:tc>
        <w:tc>
          <w:tcPr>
            <w:tcW w:w="0" w:type="auto"/>
            <w:tcBorders>
              <w:bottom w:val="single" w:sz="0" w:space="0" w:color="auto"/>
            </w:tcBorders>
            <w:vAlign w:val="bottom"/>
          </w:tcPr>
          <w:p w14:paraId="7CC6D8CD" w14:textId="77777777" w:rsidR="00285DF4" w:rsidRDefault="007833F7">
            <w:pPr>
              <w:pStyle w:val="Compact"/>
              <w:jc w:val="right"/>
            </w:pPr>
            <w:r>
              <w:t>statistic</w:t>
            </w:r>
          </w:p>
        </w:tc>
        <w:tc>
          <w:tcPr>
            <w:tcW w:w="0" w:type="auto"/>
            <w:tcBorders>
              <w:bottom w:val="single" w:sz="0" w:space="0" w:color="auto"/>
            </w:tcBorders>
            <w:vAlign w:val="bottom"/>
          </w:tcPr>
          <w:p w14:paraId="737827AE" w14:textId="77777777" w:rsidR="00285DF4" w:rsidRDefault="007833F7">
            <w:pPr>
              <w:pStyle w:val="Compact"/>
              <w:jc w:val="right"/>
            </w:pPr>
            <w:r>
              <w:t>p.value</w:t>
            </w:r>
          </w:p>
        </w:tc>
      </w:tr>
      <w:tr w:rsidR="00285DF4" w14:paraId="097382E4" w14:textId="77777777">
        <w:tc>
          <w:tcPr>
            <w:tcW w:w="0" w:type="auto"/>
          </w:tcPr>
          <w:p w14:paraId="3C36BAC6" w14:textId="77777777" w:rsidR="00285DF4" w:rsidRDefault="007833F7">
            <w:pPr>
              <w:pStyle w:val="Compact"/>
            </w:pPr>
            <w:r>
              <w:t>(Intercept)</w:t>
            </w:r>
          </w:p>
        </w:tc>
        <w:tc>
          <w:tcPr>
            <w:tcW w:w="0" w:type="auto"/>
          </w:tcPr>
          <w:p w14:paraId="1AA80869" w14:textId="77777777" w:rsidR="00285DF4" w:rsidRDefault="007833F7">
            <w:pPr>
              <w:pStyle w:val="Compact"/>
              <w:jc w:val="right"/>
            </w:pPr>
            <w:r>
              <w:t>-0.516129</w:t>
            </w:r>
          </w:p>
        </w:tc>
        <w:tc>
          <w:tcPr>
            <w:tcW w:w="0" w:type="auto"/>
          </w:tcPr>
          <w:p w14:paraId="3B576CC0" w14:textId="77777777" w:rsidR="00285DF4" w:rsidRDefault="007833F7">
            <w:pPr>
              <w:pStyle w:val="Compact"/>
              <w:jc w:val="right"/>
            </w:pPr>
            <w:r>
              <w:t>1.733170</w:t>
            </w:r>
          </w:p>
        </w:tc>
        <w:tc>
          <w:tcPr>
            <w:tcW w:w="0" w:type="auto"/>
          </w:tcPr>
          <w:p w14:paraId="23F3DBF7" w14:textId="77777777" w:rsidR="00285DF4" w:rsidRDefault="007833F7">
            <w:pPr>
              <w:pStyle w:val="Compact"/>
              <w:jc w:val="right"/>
            </w:pPr>
            <w:r>
              <w:t>-0.2977947</w:t>
            </w:r>
          </w:p>
        </w:tc>
        <w:tc>
          <w:tcPr>
            <w:tcW w:w="0" w:type="auto"/>
          </w:tcPr>
          <w:p w14:paraId="5D4A60E1" w14:textId="77777777" w:rsidR="00285DF4" w:rsidRDefault="007833F7">
            <w:pPr>
              <w:pStyle w:val="Compact"/>
              <w:jc w:val="right"/>
            </w:pPr>
            <w:r>
              <w:t>0.7665101</w:t>
            </w:r>
          </w:p>
        </w:tc>
      </w:tr>
      <w:tr w:rsidR="00285DF4" w14:paraId="65FEC360" w14:textId="77777777">
        <w:tc>
          <w:tcPr>
            <w:tcW w:w="0" w:type="auto"/>
          </w:tcPr>
          <w:p w14:paraId="2F710E91" w14:textId="77777777" w:rsidR="00285DF4" w:rsidRDefault="007833F7">
            <w:pPr>
              <w:pStyle w:val="Compact"/>
            </w:pPr>
            <w:r>
              <w:t>GroupCON</w:t>
            </w:r>
          </w:p>
        </w:tc>
        <w:tc>
          <w:tcPr>
            <w:tcW w:w="0" w:type="auto"/>
          </w:tcPr>
          <w:p w14:paraId="1F488AD3" w14:textId="77777777" w:rsidR="00285DF4" w:rsidRDefault="007833F7">
            <w:pPr>
              <w:pStyle w:val="Compact"/>
              <w:jc w:val="right"/>
            </w:pPr>
            <w:r>
              <w:t>3.031280</w:t>
            </w:r>
          </w:p>
        </w:tc>
        <w:tc>
          <w:tcPr>
            <w:tcW w:w="0" w:type="auto"/>
          </w:tcPr>
          <w:p w14:paraId="3D027255" w14:textId="77777777" w:rsidR="00285DF4" w:rsidRDefault="007833F7">
            <w:pPr>
              <w:pStyle w:val="Compact"/>
              <w:jc w:val="right"/>
            </w:pPr>
            <w:r>
              <w:t>2.413650</w:t>
            </w:r>
          </w:p>
        </w:tc>
        <w:tc>
          <w:tcPr>
            <w:tcW w:w="0" w:type="auto"/>
          </w:tcPr>
          <w:p w14:paraId="21E8EAC4" w14:textId="77777777" w:rsidR="00285DF4" w:rsidRDefault="007833F7">
            <w:pPr>
              <w:pStyle w:val="Compact"/>
              <w:jc w:val="right"/>
            </w:pPr>
            <w:r>
              <w:t>1.2558907</w:t>
            </w:r>
          </w:p>
        </w:tc>
        <w:tc>
          <w:tcPr>
            <w:tcW w:w="0" w:type="auto"/>
          </w:tcPr>
          <w:p w14:paraId="7F832A68" w14:textId="77777777" w:rsidR="00285DF4" w:rsidRDefault="007833F7">
            <w:pPr>
              <w:pStyle w:val="Compact"/>
              <w:jc w:val="right"/>
            </w:pPr>
            <w:r>
              <w:t>0.2122355</w:t>
            </w:r>
          </w:p>
        </w:tc>
      </w:tr>
      <w:tr w:rsidR="00285DF4" w14:paraId="066D15DD" w14:textId="77777777">
        <w:tc>
          <w:tcPr>
            <w:tcW w:w="0" w:type="auto"/>
          </w:tcPr>
          <w:p w14:paraId="799A33C8" w14:textId="77777777" w:rsidR="00285DF4" w:rsidRDefault="007833F7">
            <w:pPr>
              <w:pStyle w:val="Compact"/>
            </w:pPr>
            <w:r>
              <w:t>GroupFBF</w:t>
            </w:r>
          </w:p>
        </w:tc>
        <w:tc>
          <w:tcPr>
            <w:tcW w:w="0" w:type="auto"/>
          </w:tcPr>
          <w:p w14:paraId="2BC16DCD" w14:textId="77777777" w:rsidR="00285DF4" w:rsidRDefault="007833F7">
            <w:pPr>
              <w:pStyle w:val="Compact"/>
              <w:jc w:val="right"/>
            </w:pPr>
            <w:r>
              <w:t>1.339658</w:t>
            </w:r>
          </w:p>
        </w:tc>
        <w:tc>
          <w:tcPr>
            <w:tcW w:w="0" w:type="auto"/>
          </w:tcPr>
          <w:p w14:paraId="369E2BE9" w14:textId="77777777" w:rsidR="00285DF4" w:rsidRDefault="007833F7">
            <w:pPr>
              <w:pStyle w:val="Compact"/>
              <w:jc w:val="right"/>
            </w:pPr>
            <w:r>
              <w:t>2.396395</w:t>
            </w:r>
          </w:p>
        </w:tc>
        <w:tc>
          <w:tcPr>
            <w:tcW w:w="0" w:type="auto"/>
          </w:tcPr>
          <w:p w14:paraId="6D076CB3" w14:textId="77777777" w:rsidR="00285DF4" w:rsidRDefault="007833F7">
            <w:pPr>
              <w:pStyle w:val="Compact"/>
              <w:jc w:val="right"/>
            </w:pPr>
            <w:r>
              <w:t>0.5590306</w:t>
            </w:r>
          </w:p>
        </w:tc>
        <w:tc>
          <w:tcPr>
            <w:tcW w:w="0" w:type="auto"/>
          </w:tcPr>
          <w:p w14:paraId="50E1EDD0" w14:textId="77777777" w:rsidR="00285DF4" w:rsidRDefault="007833F7">
            <w:pPr>
              <w:pStyle w:val="Compact"/>
              <w:jc w:val="right"/>
            </w:pPr>
            <w:r>
              <w:t>0.5774563</w:t>
            </w:r>
          </w:p>
        </w:tc>
      </w:tr>
    </w:tbl>
    <w:p w14:paraId="21EC75D6" w14:textId="77777777" w:rsidR="00285DF4" w:rsidRDefault="007833F7">
      <w:pPr>
        <w:pStyle w:val="Heading1"/>
      </w:pPr>
      <w:bookmarkStart w:id="6" w:name="references"/>
      <w:r>
        <w:t>References</w:t>
      </w:r>
      <w:bookmarkEnd w:id="6"/>
    </w:p>
    <w:p w14:paraId="07714F37" w14:textId="77777777" w:rsidR="00285DF4" w:rsidRDefault="007833F7">
      <w:pPr>
        <w:pStyle w:val="FirstParagraph"/>
      </w:pPr>
      <w:r>
        <w:t>Schenkman, M., Hall, D. A., Baron, A. E., Schwartz, R. S., Mettler, P., &amp; Kohrt, W.M. (2012). Exercise for People in Early- or Mid-Stage Parkinson Disease: A 16-Month Randomized Controlled Trial. Physical Therapy, 92(11), 13</w:t>
      </w:r>
      <w:r>
        <w:t xml:space="preserve">95–1410. </w:t>
      </w:r>
      <w:hyperlink r:id="rId13">
        <w:r>
          <w:rPr>
            <w:rStyle w:val="Hyperlink"/>
          </w:rPr>
          <w:t>https://doi.org/10.2522/ptj.20110472</w:t>
        </w:r>
      </w:hyperlink>
    </w:p>
    <w:sectPr w:rsidR="00285D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F3FFE" w14:textId="77777777" w:rsidR="007833F7" w:rsidRDefault="007833F7">
      <w:pPr>
        <w:spacing w:after="0"/>
      </w:pPr>
      <w:r>
        <w:separator/>
      </w:r>
    </w:p>
  </w:endnote>
  <w:endnote w:type="continuationSeparator" w:id="0">
    <w:p w14:paraId="24FCECB9" w14:textId="77777777" w:rsidR="007833F7" w:rsidRDefault="007833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D08CA" w14:textId="77777777" w:rsidR="007833F7" w:rsidRDefault="007833F7">
      <w:r>
        <w:separator/>
      </w:r>
    </w:p>
  </w:footnote>
  <w:footnote w:type="continuationSeparator" w:id="0">
    <w:p w14:paraId="2B2C9683" w14:textId="77777777" w:rsidR="007833F7" w:rsidRDefault="00783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04CE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1F40E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5DF4"/>
    <w:rsid w:val="002A6ADD"/>
    <w:rsid w:val="003173F6"/>
    <w:rsid w:val="004E29B3"/>
    <w:rsid w:val="00590D07"/>
    <w:rsid w:val="007833F7"/>
    <w:rsid w:val="00784D58"/>
    <w:rsid w:val="00800049"/>
    <w:rsid w:val="008D6863"/>
    <w:rsid w:val="00B86B75"/>
    <w:rsid w:val="00BC48D5"/>
    <w:rsid w:val="00C36279"/>
    <w:rsid w:val="00DB1FF0"/>
    <w:rsid w:val="00DF7A1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23E27"/>
  <w15:docId w15:val="{21430381-5728-8E4D-B9F3-B6AE153C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2522/ptj.2011047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Final Project</dc:title>
  <dc:creator>Tim Vigers</dc:creator>
  <cp:keywords/>
  <cp:lastModifiedBy>Tim Vigers</cp:lastModifiedBy>
  <cp:revision>6</cp:revision>
  <dcterms:created xsi:type="dcterms:W3CDTF">2018-12-05T02:56:00Z</dcterms:created>
  <dcterms:modified xsi:type="dcterms:W3CDTF">2018-12-05T02:58:00Z</dcterms:modified>
</cp:coreProperties>
</file>